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drawings/drawing2.xml" ContentType="application/vnd.openxmlformats-officedocument.drawingml.chartshapes+xml"/>
  <Override PartName="/word/charts/chart23.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drawings/drawing3.xml" ContentType="application/vnd.openxmlformats-officedocument.drawingml.chartshapes+xml"/>
  <Override PartName="/word/charts/chart28.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6.xml" ContentType="application/vnd.openxmlformats-officedocument.themeOverride+xml"/>
  <Override PartName="/word/charts/chart2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30.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7.xml" ContentType="application/vnd.openxmlformats-officedocument.themeOverride+xml"/>
  <Override PartName="/word/charts/chart31.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8.xml" ContentType="application/vnd.openxmlformats-officedocument.themeOverride+xml"/>
  <Override PartName="/word/charts/chart32.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9.xml" ContentType="application/vnd.openxmlformats-officedocument.themeOverride+xml"/>
  <Override PartName="/word/charts/chart33.xml" ContentType="application/vnd.openxmlformats-officedocument.drawingml.chart+xml"/>
  <Override PartName="/word/theme/themeOverride30.xml" ContentType="application/vnd.openxmlformats-officedocument.themeOverride+xml"/>
  <Override PartName="/word/charts/chart3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31.xml" ContentType="application/vnd.openxmlformats-officedocument.themeOverride+xml"/>
  <Override PartName="/word/charts/chart3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3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9C9372C" w14:textId="3CEC62A2" w:rsidR="00946991" w:rsidRPr="00D37923" w:rsidRDefault="00ED4CE1" w:rsidP="00946991">
      <w:pPr>
        <w:spacing w:after="160" w:line="259" w:lineRule="auto"/>
        <w:jc w:val="left"/>
        <w:rPr>
          <w:rFonts w:eastAsia="Calibri" w:cs="Times New Roman"/>
          <w:color w:val="auto"/>
        </w:rPr>
      </w:pPr>
      <w:r w:rsidRPr="00D37923">
        <w:rPr>
          <w:rFonts w:eastAsia="Calibri" w:cs="Times New Roman"/>
          <w:noProof/>
          <w:color w:val="auto"/>
          <w:lang w:eastAsia="el-GR"/>
        </w:rPr>
        <mc:AlternateContent>
          <mc:Choice Requires="wps">
            <w:drawing>
              <wp:anchor distT="0" distB="0" distL="114300" distR="114300" simplePos="0" relativeHeight="251660288" behindDoc="0" locked="0" layoutInCell="1" allowOverlap="1" wp14:anchorId="315425E9" wp14:editId="192A2039">
                <wp:simplePos x="0" y="0"/>
                <wp:positionH relativeFrom="page">
                  <wp:posOffset>3506400</wp:posOffset>
                </wp:positionH>
                <wp:positionV relativeFrom="page">
                  <wp:posOffset>266400</wp:posOffset>
                </wp:positionV>
                <wp:extent cx="2875915" cy="3437785"/>
                <wp:effectExtent l="0" t="0" r="3175" b="0"/>
                <wp:wrapNone/>
                <wp:docPr id="467" name="Ορθογώνιο 467"/>
                <wp:cNvGraphicFramePr/>
                <a:graphic xmlns:a="http://schemas.openxmlformats.org/drawingml/2006/main">
                  <a:graphicData uri="http://schemas.microsoft.com/office/word/2010/wordprocessingShape">
                    <wps:wsp>
                      <wps:cNvSpPr/>
                      <wps:spPr>
                        <a:xfrm>
                          <a:off x="0" y="0"/>
                          <a:ext cx="2875915" cy="3437785"/>
                        </a:xfrm>
                        <a:prstGeom prst="rect">
                          <a:avLst/>
                        </a:prstGeom>
                        <a:solidFill>
                          <a:srgbClr val="44546A"/>
                        </a:solidFill>
                        <a:ln w="12700" cap="flat" cmpd="sng" algn="ctr">
                          <a:noFill/>
                          <a:prstDash val="solid"/>
                          <a:miter lim="800000"/>
                        </a:ln>
                        <a:effectLst/>
                      </wps:spPr>
                      <wps:txbx>
                        <w:txbxContent>
                          <w:p w14:paraId="5F9A9754" w14:textId="46D27F69" w:rsidR="00F36164" w:rsidRDefault="00F36164" w:rsidP="00946991">
                            <w:pPr>
                              <w:spacing w:before="240"/>
                              <w:jc w:val="center"/>
                              <w:rPr>
                                <w:color w:val="FFFFFF" w:themeColor="background1"/>
                              </w:rPr>
                            </w:pPr>
                            <w:r w:rsidRPr="007B5BDE">
                              <w:rPr>
                                <w:noProof/>
                                <w:color w:val="FFFFFF" w:themeColor="background1"/>
                                <w:lang w:eastAsia="el-GR"/>
                              </w:rPr>
                              <w:drawing>
                                <wp:inline distT="0" distB="0" distL="0" distR="0" wp14:anchorId="146EB28B" wp14:editId="6AEA363C">
                                  <wp:extent cx="2415540" cy="1062907"/>
                                  <wp:effectExtent l="0" t="0" r="3810" b="444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5540" cy="1062907"/>
                                          </a:xfrm>
                                          <a:prstGeom prst="rect">
                                            <a:avLst/>
                                          </a:prstGeom>
                                          <a:noFill/>
                                          <a:ln>
                                            <a:noFill/>
                                          </a:ln>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w14:anchorId="315425E9" id="Ορθογώνιο 467" o:spid="_x0000_s1026" style="position:absolute;margin-left:276.1pt;margin-top:21pt;width:226.45pt;height:270.7pt;z-index:251660288;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" fillcolor="#44546a" stroked="f" strokeweight="1pt">
                <v:textbox inset="14.4pt,14.4pt,14.4pt,28.8pt">
                  <w:txbxContent>
                    <w:p w14:paraId="5F9A9754" w14:textId="46D27F69" w:rsidR="00F36164" w:rsidRDefault="00F36164" w:rsidP="00946991">
                      <w:pPr>
                        <w:spacing w:before="240"/>
                        <w:jc w:val="center"/>
                        <w:rPr>
                          <w:color w:val="FFFFFF" w:themeColor="background1"/>
                        </w:rPr>
                      </w:pPr>
                      <w:r w:rsidRPr="007B5BDE">
                        <w:rPr>
                          <w:noProof/>
                          <w:color w:val="FFFFFF" w:themeColor="background1"/>
                          <w:lang w:eastAsia="el-GR"/>
                        </w:rPr>
                        <w:drawing>
                          <wp:inline distT="0" distB="0" distL="0" distR="0" wp14:anchorId="146EB28B" wp14:editId="6AEA363C">
                            <wp:extent cx="2415540" cy="1062907"/>
                            <wp:effectExtent l="0" t="0" r="3810" b="444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5540" cy="1062907"/>
                                    </a:xfrm>
                                    <a:prstGeom prst="rect">
                                      <a:avLst/>
                                    </a:prstGeom>
                                    <a:noFill/>
                                    <a:ln>
                                      <a:noFill/>
                                    </a:ln>
                                  </pic:spPr>
                                </pic:pic>
                              </a:graphicData>
                            </a:graphic>
                          </wp:inline>
                        </w:drawing>
                      </w:r>
                    </w:p>
                  </w:txbxContent>
                </v:textbox>
                <w10:wrap anchorx="page" anchory="page"/>
              </v:rect>
            </w:pict>
          </mc:Fallback>
        </mc:AlternateContent>
      </w:r>
      <w:r w:rsidR="00946991" w:rsidRPr="00D37923">
        <w:rPr>
          <w:rFonts w:eastAsia="Calibri" w:cs="Times New Roman"/>
          <w:noProof/>
          <w:color w:val="auto"/>
          <w:lang w:eastAsia="el-GR"/>
        </w:rPr>
        <mc:AlternateContent>
          <mc:Choice Requires="wps">
            <w:drawing>
              <wp:anchor distT="0" distB="0" distL="114300" distR="114300" simplePos="0" relativeHeight="251659264" behindDoc="0" locked="0" layoutInCell="1" allowOverlap="1" wp14:anchorId="06ABF677" wp14:editId="597888B4">
                <wp:simplePos x="0" y="0"/>
                <wp:positionH relativeFrom="page">
                  <wp:posOffset>3031435</wp:posOffset>
                </wp:positionH>
                <wp:positionV relativeFrom="page">
                  <wp:posOffset>268357</wp:posOffset>
                </wp:positionV>
                <wp:extent cx="3568148" cy="7040880"/>
                <wp:effectExtent l="0" t="0" r="13335" b="20955"/>
                <wp:wrapNone/>
                <wp:docPr id="468" name="Ορθογώνιο 468"/>
                <wp:cNvGraphicFramePr/>
                <a:graphic xmlns:a="http://schemas.openxmlformats.org/drawingml/2006/main">
                  <a:graphicData uri="http://schemas.microsoft.com/office/word/2010/wordprocessingShape">
                    <wps:wsp>
                      <wps:cNvSpPr/>
                      <wps:spPr>
                        <a:xfrm>
                          <a:off x="0" y="0"/>
                          <a:ext cx="3568148" cy="7040880"/>
                        </a:xfrm>
                        <a:prstGeom prst="rect">
                          <a:avLst/>
                        </a:prstGeom>
                        <a:solidFill>
                          <a:sysClr val="window" lastClr="FFFFFF"/>
                        </a:solid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70000</wp14:pctHeight>
                </wp14:sizeRelV>
              </wp:anchor>
            </w:drawing>
          </mc:Choice>
          <mc:Fallback>
            <w:pict>
              <v:rect w14:anchorId="06B24A39" id="Ορθογώνιο 468" o:spid="_x0000_s1026" style="position:absolute;margin-left:238.7pt;margin-top:21.15pt;width:280.95pt;height:554.4pt;z-index:251659264;visibility:visible;mso-wrap-style:square;mso-width-percent:0;mso-height-percent:700;mso-wrap-distance-left:9pt;mso-wrap-distance-top:0;mso-wrap-distance-right:9pt;mso-wrap-distance-bottom:0;mso-position-horizontal:absolute;mso-position-horizontal-relative:page;mso-position-vertical:absolute;mso-position-vertical-relative:page;mso-width-percent: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" fillcolor="window" strokecolor="#767171" strokeweight="1.25pt">
                <w10:wrap anchorx="page" anchory="page"/>
              </v:rect>
            </w:pict>
          </mc:Fallback>
        </mc:AlternateContent>
      </w:r>
      <w:r w:rsidR="00946991" w:rsidRPr="00D37923">
        <w:rPr>
          <w:rFonts w:eastAsia="Calibri" w:cs="Times New Roman"/>
          <w:noProof/>
          <w:color w:val="auto"/>
          <w:lang w:eastAsia="el-GR"/>
        </w:rPr>
        <mc:AlternateContent>
          <mc:Choice Requires="wps">
            <w:drawing>
              <wp:anchor distT="0" distB="0" distL="114300" distR="114300" simplePos="0" relativeHeight="251663360" behindDoc="1" locked="0" layoutInCell="1" allowOverlap="1" wp14:anchorId="07563D19" wp14:editId="12729EB5">
                <wp:simplePos x="0" y="0"/>
                <wp:positionH relativeFrom="page">
                  <wp:posOffset>104774</wp:posOffset>
                </wp:positionH>
                <wp:positionV relativeFrom="page">
                  <wp:posOffset>266700</wp:posOffset>
                </wp:positionV>
                <wp:extent cx="7324725" cy="10163175"/>
                <wp:effectExtent l="0" t="0" r="9525" b="9525"/>
                <wp:wrapNone/>
                <wp:docPr id="466" name="Ορθογώνιο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4725" cy="10163175"/>
                        </a:xfrm>
                        <a:prstGeom prst="rect">
                          <a:avLst/>
                        </a:prstGeom>
                        <a:gradFill rotWithShape="1">
                          <a:gsLst>
                            <a:gs pos="0">
                              <a:srgbClr val="5B9BD5">
                                <a:lumMod val="20000"/>
                                <a:lumOff val="80000"/>
                              </a:srgbClr>
                            </a:gs>
                            <a:gs pos="100000">
                              <a:srgbClr val="5B9BD5">
                                <a:lumMod val="60000"/>
                                <a:lumOff val="40000"/>
                              </a:srgbClr>
                            </a:gs>
                          </a:gsLst>
                          <a:lin ang="5400000" scaled="0"/>
                        </a:gradFill>
                        <a:ln w="12700" cap="flat" cmpd="sng" algn="ctr">
                          <a:noFill/>
                          <a:prstDash val="solid"/>
                          <a:miter lim="800000"/>
                        </a:ln>
                        <a:effectLst/>
                      </wps:spPr>
                      <wps:txbx>
                        <w:txbxContent>
                          <w:p w14:paraId="5E38A881" w14:textId="77777777" w:rsidR="00F36164" w:rsidRDefault="00F36164" w:rsidP="00946991"/>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563D19" id="Ορθογώνιο 466" o:spid="_x0000_s1027" style="position:absolute;margin-left:8.25pt;margin-top:21pt;width:576.75pt;height:800.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" fillcolor="#deebf7" stroked="f" strokeweight="1pt">
                <v:fill color2="#9dc3e6" rotate="t" focus="100%" type="gradient">
                  <o:fill v:ext="view" type="gradientUnscaled"/>
                </v:fill>
                <v:path arrowok="t"/>
                <v:textbox inset="21.6pt,,21.6pt">
                  <w:txbxContent>
                    <w:p w14:paraId="5E38A881" w14:textId="77777777" w:rsidR="00F36164" w:rsidRDefault="00F36164" w:rsidP="00946991"/>
                  </w:txbxContent>
                </v:textbox>
                <w10:wrap anchorx="page" anchory="page"/>
              </v:rect>
            </w:pict>
          </mc:Fallback>
        </mc:AlternateContent>
      </w:r>
      <w:r w:rsidR="00946991" w:rsidRPr="00D37923">
        <w:rPr>
          <w:rFonts w:eastAsia="Calibri" w:cs="Times New Roman"/>
          <w:noProof/>
          <w:color w:val="auto"/>
          <w:lang w:eastAsia="el-GR"/>
        </w:rPr>
        <mc:AlternateContent>
          <mc:Choice Requires="wps">
            <w:drawing>
              <wp:anchor distT="0" distB="0" distL="114300" distR="114300" simplePos="0" relativeHeight="251664384" behindDoc="0" locked="0" layoutInCell="1" allowOverlap="1" wp14:anchorId="523F4930" wp14:editId="5390B99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Πλαίσιο κειμένου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674C79BA" w14:textId="4825BD6B" w:rsidR="00F36164" w:rsidRPr="00301125" w:rsidRDefault="00F36164" w:rsidP="00946991">
                            <w:pPr>
                              <w:pStyle w:val="af7"/>
                              <w:jc w:val="center"/>
                              <w:rPr>
                                <w:rFonts w:ascii="Trebuchet MS" w:hAnsi="Trebuchet MS"/>
                                <w:color w:val="44546A" w:themeColor="text2"/>
                                <w:sz w:val="28"/>
                                <w:szCs w:val="28"/>
                              </w:rPr>
                            </w:pPr>
                            <w:r>
                              <w:rPr>
                                <w:rFonts w:ascii="Trebuchet MS" w:hAnsi="Trebuchet MS"/>
                                <w:color w:val="44546A" w:themeColor="text2"/>
                                <w:sz w:val="28"/>
                                <w:szCs w:val="28"/>
                              </w:rPr>
                              <w:t xml:space="preserve">ΝΟΕΜΒΡΙΟΣ </w:t>
                            </w:r>
                            <w:r>
                              <w:rPr>
                                <w:rFonts w:ascii="Trebuchet MS" w:hAnsi="Trebuchet MS"/>
                                <w:color w:val="44546A" w:themeColor="text2"/>
                                <w:sz w:val="28"/>
                                <w:szCs w:val="28"/>
                                <w:lang w:val="en-US"/>
                              </w:rPr>
                              <w:t>202</w:t>
                            </w:r>
                            <w:r>
                              <w:rPr>
                                <w:rFonts w:ascii="Trebuchet MS" w:hAnsi="Trebuchet MS"/>
                                <w:color w:val="44546A" w:themeColor="text2"/>
                                <w:sz w:val="28"/>
                                <w:szCs w:val="28"/>
                              </w:rPr>
                              <w:t>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523F4930" id="_x0000_t202" coordsize="21600,21600" o:spt="202" path="m,l,21600r21600,l21600,xe">
                <v:stroke joinstyle="miter"/>
                <v:path gradientshapeok="t" o:connecttype="rect"/>
              </v:shapetype>
              <v:shape id="Πλαίσιο κειμένου 465" o:spid="_x0000_s1028" type="#_x0000_t202"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" filled="f" stroked="f" strokeweight=".5pt">
                <v:textbox style="mso-fit-shape-to-text:t">
                  <w:txbxContent>
                    <w:p w14:paraId="674C79BA" w14:textId="4825BD6B" w:rsidR="00F36164" w:rsidRPr="00301125" w:rsidRDefault="00F36164" w:rsidP="00946991">
                      <w:pPr>
                        <w:pStyle w:val="af7"/>
                        <w:jc w:val="center"/>
                        <w:rPr>
                          <w:rFonts w:ascii="Trebuchet MS" w:hAnsi="Trebuchet MS"/>
                          <w:color w:val="44546A" w:themeColor="text2"/>
                          <w:sz w:val="28"/>
                          <w:szCs w:val="28"/>
                        </w:rPr>
                      </w:pPr>
                      <w:r>
                        <w:rPr>
                          <w:rFonts w:ascii="Trebuchet MS" w:hAnsi="Trebuchet MS"/>
                          <w:color w:val="44546A" w:themeColor="text2"/>
                          <w:sz w:val="28"/>
                          <w:szCs w:val="28"/>
                        </w:rPr>
                        <w:t xml:space="preserve">ΝΟΕΜΒΡΙΟΣ </w:t>
                      </w:r>
                      <w:r>
                        <w:rPr>
                          <w:rFonts w:ascii="Trebuchet MS" w:hAnsi="Trebuchet MS"/>
                          <w:color w:val="44546A" w:themeColor="text2"/>
                          <w:sz w:val="28"/>
                          <w:szCs w:val="28"/>
                          <w:lang w:val="en-US"/>
                        </w:rPr>
                        <w:t>202</w:t>
                      </w:r>
                      <w:r>
                        <w:rPr>
                          <w:rFonts w:ascii="Trebuchet MS" w:hAnsi="Trebuchet MS"/>
                          <w:color w:val="44546A" w:themeColor="text2"/>
                          <w:sz w:val="28"/>
                          <w:szCs w:val="28"/>
                        </w:rPr>
                        <w:t>1</w:t>
                      </w:r>
                    </w:p>
                  </w:txbxContent>
                </v:textbox>
                <w10:wrap type="square" anchorx="page" anchory="page"/>
              </v:shape>
            </w:pict>
          </mc:Fallback>
        </mc:AlternateContent>
      </w:r>
      <w:r w:rsidR="00946991" w:rsidRPr="00D37923">
        <w:rPr>
          <w:rFonts w:eastAsia="Calibri" w:cs="Times New Roman"/>
          <w:noProof/>
          <w:color w:val="auto"/>
          <w:lang w:eastAsia="el-GR"/>
        </w:rPr>
        <mc:AlternateContent>
          <mc:Choice Requires="wps">
            <w:drawing>
              <wp:anchor distT="0" distB="0" distL="114300" distR="114300" simplePos="0" relativeHeight="251662336" behindDoc="0" locked="0" layoutInCell="1" allowOverlap="1" wp14:anchorId="3A6A6FE8" wp14:editId="2053F4DE">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Ορθογώνιο 469"/>
                <wp:cNvGraphicFramePr/>
                <a:graphic xmlns:a="http://schemas.openxmlformats.org/drawingml/2006/main">
                  <a:graphicData uri="http://schemas.microsoft.com/office/word/2010/wordprocessingShape">
                    <wps:wsp>
                      <wps:cNvSpPr/>
                      <wps:spPr>
                        <a:xfrm>
                          <a:off x="0" y="0"/>
                          <a:ext cx="2875915" cy="118745"/>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7D2EA215" id="Ορθογώνιο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" fillcolor="#5b9bd5" stroked="f" strokeweight="1pt">
                <w10:wrap anchorx="page" anchory="page"/>
              </v:rect>
            </w:pict>
          </mc:Fallback>
        </mc:AlternateContent>
      </w:r>
    </w:p>
    <w:p w14:paraId="25B8CF3C" w14:textId="578DCB4F" w:rsidR="00247E25" w:rsidRPr="00D37923" w:rsidRDefault="00946991" w:rsidP="008E5601">
      <w:r w:rsidRPr="00D37923">
        <w:rPr>
          <w:rFonts w:eastAsia="Calibri" w:cs="Times New Roman"/>
          <w:noProof/>
          <w:color w:val="auto"/>
          <w:lang w:eastAsia="el-GR"/>
        </w:rPr>
        <mc:AlternateContent>
          <mc:Choice Requires="wps">
            <w:drawing>
              <wp:anchor distT="0" distB="0" distL="114300" distR="114300" simplePos="0" relativeHeight="251661312" behindDoc="0" locked="0" layoutInCell="1" allowOverlap="1" wp14:anchorId="4FE5BD77" wp14:editId="393D2DA6">
                <wp:simplePos x="0" y="0"/>
                <wp:positionH relativeFrom="page">
                  <wp:posOffset>3210339</wp:posOffset>
                </wp:positionH>
                <wp:positionV relativeFrom="page">
                  <wp:posOffset>3747052</wp:posOffset>
                </wp:positionV>
                <wp:extent cx="3220085" cy="2475230"/>
                <wp:effectExtent l="0" t="0" r="0" b="0"/>
                <wp:wrapSquare wrapText="bothSides"/>
                <wp:docPr id="470" name="Πλαίσιο κειμένου 470"/>
                <wp:cNvGraphicFramePr/>
                <a:graphic xmlns:a="http://schemas.openxmlformats.org/drawingml/2006/main">
                  <a:graphicData uri="http://schemas.microsoft.com/office/word/2010/wordprocessingShape">
                    <wps:wsp>
                      <wps:cNvSpPr txBox="1"/>
                      <wps:spPr>
                        <a:xfrm>
                          <a:off x="0" y="0"/>
                          <a:ext cx="3220085" cy="2475230"/>
                        </a:xfrm>
                        <a:prstGeom prst="rect">
                          <a:avLst/>
                        </a:prstGeom>
                        <a:noFill/>
                        <a:ln w="6350">
                          <a:noFill/>
                        </a:ln>
                        <a:effectLst/>
                      </wps:spPr>
                      <wps:txbx>
                        <w:txbxContent>
                          <w:sdt>
                            <w:sdtPr>
                              <w:rPr>
                                <w:rFonts w:eastAsia="Times New Roman" w:cs="Times New Roman"/>
                                <w:b/>
                                <w:color w:val="5B9BD5" w:themeColor="accent1"/>
                                <w:sz w:val="62"/>
                                <w:szCs w:val="62"/>
                              </w:rPr>
                              <w:alias w:val="Τίτλος"/>
                              <w:id w:val="-958338334"/>
                              <w:dataBinding w:prefixMappings="xmlns:ns0='http://schemas.openxmlformats.org/package/2006/metadata/core-properties' xmlns:ns1='http://purl.org/dc/elements/1.1/'" w:xpath="/ns0:coreProperties[1]/ns1:title[1]" w:storeItemID="{6C3C8BC8-F283-45AE-878A-BAB7291924A1}"/>
                              <w:text/>
                            </w:sdtPr>
                            <w:sdtEndPr/>
                            <w:sdtContent>
                              <w:p w14:paraId="7E61106E" w14:textId="7EDCD051" w:rsidR="00F36164" w:rsidRPr="008131E1" w:rsidRDefault="00F36164" w:rsidP="00946991">
                                <w:pPr>
                                  <w:spacing w:line="240" w:lineRule="auto"/>
                                  <w:jc w:val="center"/>
                                  <w:rPr>
                                    <w:rFonts w:asciiTheme="majorHAnsi" w:eastAsiaTheme="majorEastAsia" w:hAnsiTheme="majorHAnsi" w:cstheme="majorBidi"/>
                                    <w:b/>
                                    <w:color w:val="5B9BD5" w:themeColor="accent1"/>
                                    <w:sz w:val="72"/>
                                    <w:szCs w:val="72"/>
                                  </w:rPr>
                                </w:pPr>
                                <w:r>
                                  <w:rPr>
                                    <w:rFonts w:eastAsia="Times New Roman" w:cs="Times New Roman"/>
                                    <w:b/>
                                    <w:color w:val="5B9BD5" w:themeColor="accent1"/>
                                    <w:sz w:val="62"/>
                                    <w:szCs w:val="62"/>
                                  </w:rPr>
                                  <w:t>ΦΘΙΝΟΠΩΡΙΝΗ</w:t>
                                </w:r>
                                <w:r w:rsidRPr="00946991">
                                  <w:rPr>
                                    <w:rFonts w:eastAsia="Times New Roman" w:cs="Times New Roman"/>
                                    <w:b/>
                                    <w:color w:val="5B9BD5" w:themeColor="accent1"/>
                                    <w:sz w:val="62"/>
                                    <w:szCs w:val="62"/>
                                  </w:rPr>
                                  <w:t xml:space="preserve"> ΕΚΘΕΣΗ </w:t>
                                </w:r>
                                <w:r>
                                  <w:rPr>
                                    <w:rFonts w:eastAsia="Times New Roman" w:cs="Times New Roman"/>
                                    <w:b/>
                                    <w:color w:val="5B9BD5" w:themeColor="accent1"/>
                                    <w:sz w:val="62"/>
                                    <w:szCs w:val="62"/>
                                    <w:lang w:val="en-US"/>
                                  </w:rPr>
                                  <w:t>202</w:t>
                                </w:r>
                                <w:r>
                                  <w:rPr>
                                    <w:rFonts w:eastAsia="Times New Roman" w:cs="Times New Roman"/>
                                    <w:b/>
                                    <w:color w:val="5B9BD5" w:themeColor="accent1"/>
                                    <w:sz w:val="62"/>
                                    <w:szCs w:val="62"/>
                                  </w:rPr>
                                  <w:t>1</w:t>
                                </w:r>
                              </w:p>
                            </w:sdtContent>
                          </w:sdt>
                          <w:p w14:paraId="6CC0445E" w14:textId="77777777" w:rsidR="00F36164" w:rsidRDefault="00F36164" w:rsidP="00946991">
                            <w:pPr>
                              <w:rPr>
                                <w:rFonts w:asciiTheme="majorHAnsi" w:eastAsiaTheme="majorEastAsia" w:hAnsiTheme="majorHAnsi" w:cstheme="majorBidi"/>
                                <w:color w:val="44546A" w:themeColor="text2"/>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4FE5BD77" id="Πλαίσιο κειμένου 470" o:spid="_x0000_s1029" type="#_x0000_t202" style="position:absolute;left:0;text-align:left;margin-left:252.8pt;margin-top:295.05pt;width:253.55pt;height:194.9pt;z-index:251661312;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" filled="f" stroked="f" strokeweight=".5pt">
                <v:textbox style="mso-fit-shape-to-text:t">
                  <w:txbxContent>
                    <w:sdt>
                      <w:sdtPr>
                        <w:rPr>
                          <w:rFonts w:eastAsia="Times New Roman" w:cs="Times New Roman"/>
                          <w:b/>
                          <w:color w:val="5B9BD5" w:themeColor="accent1"/>
                          <w:sz w:val="62"/>
                          <w:szCs w:val="62"/>
                        </w:rPr>
                        <w:alias w:val="Τίτλος"/>
                        <w:id w:val="-958338334"/>
                        <w:dataBinding w:prefixMappings="xmlns:ns0='http://schemas.openxmlformats.org/package/2006/metadata/core-properties' xmlns:ns1='http://purl.org/dc/elements/1.1/'" w:xpath="/ns0:coreProperties[1]/ns1:title[1]" w:storeItemID="{6C3C8BC8-F283-45AE-878A-BAB7291924A1}"/>
                        <w:text/>
                      </w:sdtPr>
                      <w:sdtContent>
                        <w:p w14:paraId="7E61106E" w14:textId="7EDCD051" w:rsidR="00F36164" w:rsidRPr="008131E1" w:rsidRDefault="00F36164" w:rsidP="00946991">
                          <w:pPr>
                            <w:spacing w:line="240" w:lineRule="auto"/>
                            <w:jc w:val="center"/>
                            <w:rPr>
                              <w:rFonts w:asciiTheme="majorHAnsi" w:eastAsiaTheme="majorEastAsia" w:hAnsiTheme="majorHAnsi" w:cstheme="majorBidi"/>
                              <w:b/>
                              <w:color w:val="5B9BD5" w:themeColor="accent1"/>
                              <w:sz w:val="72"/>
                              <w:szCs w:val="72"/>
                            </w:rPr>
                          </w:pPr>
                          <w:r>
                            <w:rPr>
                              <w:rFonts w:eastAsia="Times New Roman" w:cs="Times New Roman"/>
                              <w:b/>
                              <w:color w:val="5B9BD5" w:themeColor="accent1"/>
                              <w:sz w:val="62"/>
                              <w:szCs w:val="62"/>
                            </w:rPr>
                            <w:t>ΦΘΙΝΟΠΩΡΙΝΗ</w:t>
                          </w:r>
                          <w:r w:rsidRPr="00946991">
                            <w:rPr>
                              <w:rFonts w:eastAsia="Times New Roman" w:cs="Times New Roman"/>
                              <w:b/>
                              <w:color w:val="5B9BD5" w:themeColor="accent1"/>
                              <w:sz w:val="62"/>
                              <w:szCs w:val="62"/>
                            </w:rPr>
                            <w:t xml:space="preserve"> ΕΚΘΕΣΗ </w:t>
                          </w:r>
                          <w:r>
                            <w:rPr>
                              <w:rFonts w:eastAsia="Times New Roman" w:cs="Times New Roman"/>
                              <w:b/>
                              <w:color w:val="5B9BD5" w:themeColor="accent1"/>
                              <w:sz w:val="62"/>
                              <w:szCs w:val="62"/>
                              <w:lang w:val="en-US"/>
                            </w:rPr>
                            <w:t>202</w:t>
                          </w:r>
                          <w:r>
                            <w:rPr>
                              <w:rFonts w:eastAsia="Times New Roman" w:cs="Times New Roman"/>
                              <w:b/>
                              <w:color w:val="5B9BD5" w:themeColor="accent1"/>
                              <w:sz w:val="62"/>
                              <w:szCs w:val="62"/>
                            </w:rPr>
                            <w:t>1</w:t>
                          </w:r>
                        </w:p>
                      </w:sdtContent>
                    </w:sdt>
                    <w:p w14:paraId="6CC0445E" w14:textId="77777777" w:rsidR="00F36164" w:rsidRDefault="00F36164" w:rsidP="00946991">
                      <w:pPr>
                        <w:rPr>
                          <w:rFonts w:asciiTheme="majorHAnsi" w:eastAsiaTheme="majorEastAsia" w:hAnsiTheme="majorHAnsi" w:cstheme="majorBidi"/>
                          <w:color w:val="44546A" w:themeColor="text2"/>
                          <w:sz w:val="32"/>
                          <w:szCs w:val="32"/>
                        </w:rPr>
                      </w:pPr>
                    </w:p>
                  </w:txbxContent>
                </v:textbox>
                <w10:wrap type="square" anchorx="page" anchory="page"/>
              </v:shape>
            </w:pict>
          </mc:Fallback>
        </mc:AlternateContent>
      </w:r>
    </w:p>
    <w:p w14:paraId="2D426C3B" w14:textId="030728B4" w:rsidR="00247E25" w:rsidRPr="00D37923" w:rsidRDefault="00247E25">
      <w:pPr>
        <w:spacing w:after="160" w:line="0" w:lineRule="auto"/>
        <w:jc w:val="left"/>
        <w:rPr>
          <w:color w:val="FFFFFF" w:themeColor="background1"/>
        </w:rPr>
      </w:pPr>
      <w:r w:rsidRPr="00D37923">
        <w:br w:type="page"/>
      </w:r>
      <w:r w:rsidRPr="00D37923">
        <w:rPr>
          <w:color w:val="FFFFFF" w:themeColor="background1"/>
        </w:rPr>
        <w:lastRenderedPageBreak/>
        <w:t>Σ</w:t>
      </w:r>
    </w:p>
    <w:p w14:paraId="4BB417CF" w14:textId="4BA4DD9D" w:rsidR="00D5158D" w:rsidRDefault="00D5158D" w:rsidP="008E5601">
      <w:pPr>
        <w:rPr>
          <w:color w:val="FFFFFF" w:themeColor="background1"/>
        </w:rPr>
      </w:pPr>
    </w:p>
    <w:p w14:paraId="0ED6B6EA" w14:textId="77777777" w:rsidR="00D5158D" w:rsidRPr="00D37923" w:rsidRDefault="00D5158D" w:rsidP="008E5601">
      <w:pPr>
        <w:rPr>
          <w:color w:val="FFFFFF" w:themeColor="background1"/>
        </w:rPr>
      </w:pPr>
    </w:p>
    <w:p w14:paraId="3A959EC3" w14:textId="7FFFB404" w:rsidR="00247E25" w:rsidRPr="00D37923" w:rsidRDefault="00247E25" w:rsidP="008E5601">
      <w:pPr>
        <w:rPr>
          <w:color w:val="FFFFFF" w:themeColor="background1"/>
        </w:rPr>
      </w:pPr>
    </w:p>
    <w:p w14:paraId="0FA9EE4C" w14:textId="2EC4DB43" w:rsidR="00247E25" w:rsidRPr="00D37923" w:rsidRDefault="00247E25" w:rsidP="008E5601">
      <w:pPr>
        <w:rPr>
          <w:color w:val="FFFFFF" w:themeColor="background1"/>
        </w:rPr>
      </w:pPr>
    </w:p>
    <w:p w14:paraId="5510B9C4" w14:textId="77777777" w:rsidR="006516D7" w:rsidRPr="00D37923" w:rsidRDefault="006516D7" w:rsidP="008E5601">
      <w:pPr>
        <w:rPr>
          <w:color w:val="FFFFFF" w:themeColor="background1"/>
        </w:rPr>
      </w:pPr>
    </w:p>
    <w:p w14:paraId="11F48093" w14:textId="77777777" w:rsidR="006516D7" w:rsidRPr="00D37923" w:rsidRDefault="006516D7" w:rsidP="008E5601">
      <w:pPr>
        <w:rPr>
          <w:color w:val="FFFFFF" w:themeColor="background1"/>
        </w:rPr>
      </w:pPr>
    </w:p>
    <w:p w14:paraId="349336DB" w14:textId="77777777" w:rsidR="006516D7" w:rsidRPr="00D37923" w:rsidRDefault="006516D7" w:rsidP="008E5601">
      <w:pPr>
        <w:rPr>
          <w:color w:val="FFFFFF" w:themeColor="background1"/>
        </w:rPr>
      </w:pPr>
    </w:p>
    <w:p w14:paraId="07CF42BB" w14:textId="77777777" w:rsidR="006516D7" w:rsidRPr="00D37923" w:rsidRDefault="006516D7" w:rsidP="008E5601">
      <w:pPr>
        <w:rPr>
          <w:color w:val="FFFFFF" w:themeColor="background1"/>
        </w:rPr>
      </w:pPr>
    </w:p>
    <w:p w14:paraId="3DBE1CA2" w14:textId="77777777" w:rsidR="006516D7" w:rsidRPr="00D37923" w:rsidRDefault="006516D7" w:rsidP="008E5601">
      <w:pPr>
        <w:rPr>
          <w:color w:val="FFFFFF" w:themeColor="background1"/>
        </w:rPr>
      </w:pPr>
    </w:p>
    <w:p w14:paraId="4CC2629F" w14:textId="77777777" w:rsidR="006516D7" w:rsidRPr="00D37923" w:rsidRDefault="006516D7" w:rsidP="008E5601">
      <w:pPr>
        <w:rPr>
          <w:color w:val="FFFFFF" w:themeColor="background1"/>
        </w:rPr>
      </w:pPr>
    </w:p>
    <w:p w14:paraId="4F26DA2A" w14:textId="77777777" w:rsidR="006516D7" w:rsidRPr="00D37923" w:rsidRDefault="006516D7" w:rsidP="008E5601">
      <w:pPr>
        <w:rPr>
          <w:color w:val="FFFFFF" w:themeColor="background1"/>
        </w:rPr>
      </w:pPr>
    </w:p>
    <w:p w14:paraId="64D9D214" w14:textId="77777777" w:rsidR="006516D7" w:rsidRPr="00D37923" w:rsidRDefault="006516D7" w:rsidP="008E5601">
      <w:pPr>
        <w:rPr>
          <w:color w:val="FFFFFF" w:themeColor="background1"/>
        </w:rPr>
      </w:pPr>
    </w:p>
    <w:p w14:paraId="1AE07450" w14:textId="77777777" w:rsidR="006516D7" w:rsidRPr="00D37923" w:rsidRDefault="006516D7" w:rsidP="008E5601">
      <w:pPr>
        <w:rPr>
          <w:color w:val="FFFFFF" w:themeColor="background1"/>
        </w:rPr>
      </w:pPr>
    </w:p>
    <w:p w14:paraId="1768C7B1" w14:textId="77777777" w:rsidR="006516D7" w:rsidRPr="00D37923" w:rsidRDefault="006516D7" w:rsidP="008E5601">
      <w:pPr>
        <w:rPr>
          <w:color w:val="FFFFFF" w:themeColor="background1"/>
        </w:rPr>
      </w:pPr>
    </w:p>
    <w:p w14:paraId="4CD49AC3" w14:textId="77777777" w:rsidR="006516D7" w:rsidRPr="00D37923" w:rsidRDefault="006516D7" w:rsidP="008E5601">
      <w:pPr>
        <w:rPr>
          <w:color w:val="FFFFFF" w:themeColor="background1"/>
        </w:rPr>
      </w:pPr>
    </w:p>
    <w:p w14:paraId="60727975" w14:textId="77777777" w:rsidR="006516D7" w:rsidRPr="00D37923" w:rsidRDefault="006516D7" w:rsidP="008E5601">
      <w:pPr>
        <w:rPr>
          <w:color w:val="FFFFFF" w:themeColor="background1"/>
        </w:rPr>
      </w:pPr>
    </w:p>
    <w:p w14:paraId="407CB8C6" w14:textId="77777777" w:rsidR="006516D7" w:rsidRPr="00D37923" w:rsidRDefault="006516D7" w:rsidP="006516D7">
      <w:pPr>
        <w:spacing w:after="120"/>
        <w:rPr>
          <w:b/>
          <w:color w:val="00A3E0"/>
        </w:rPr>
      </w:pPr>
    </w:p>
    <w:p w14:paraId="0041E37D" w14:textId="77777777" w:rsidR="006516D7" w:rsidRPr="00D37923" w:rsidRDefault="006516D7" w:rsidP="006516D7">
      <w:pPr>
        <w:spacing w:after="120"/>
        <w:rPr>
          <w:b/>
          <w:color w:val="00A3E0"/>
        </w:rPr>
      </w:pPr>
    </w:p>
    <w:p w14:paraId="5CBA6A77" w14:textId="22BECC69" w:rsidR="00946991" w:rsidRPr="00D37923" w:rsidRDefault="006516D7" w:rsidP="009F1EF9">
      <w:pPr>
        <w:spacing w:after="80"/>
        <w:rPr>
          <w:b/>
          <w:color w:val="00A3E0"/>
        </w:rPr>
      </w:pPr>
      <w:r w:rsidRPr="00D37923">
        <w:rPr>
          <w:b/>
          <w:color w:val="00A3E0"/>
        </w:rPr>
        <w:t>ΕΛΛΗΝΙΚΟ ΔΗΜΟΣΙΟΝΟΜΙΚΟ ΣΥΜΒΟΥΛΙΟ</w:t>
      </w:r>
    </w:p>
    <w:p w14:paraId="2C2D5AB2" w14:textId="7DBC4390" w:rsidR="006516D7" w:rsidRPr="00D37923" w:rsidRDefault="006516D7" w:rsidP="009F1EF9">
      <w:pPr>
        <w:spacing w:after="80"/>
      </w:pPr>
      <w:r w:rsidRPr="00D37923">
        <w:t>Αμερικής 11</w:t>
      </w:r>
    </w:p>
    <w:p w14:paraId="3A78E765" w14:textId="638B1397" w:rsidR="006516D7" w:rsidRPr="00D37923" w:rsidRDefault="006516D7" w:rsidP="009F1EF9">
      <w:pPr>
        <w:spacing w:after="80"/>
      </w:pPr>
      <w:r w:rsidRPr="00D37923">
        <w:t>Αθήνα 106 72</w:t>
      </w:r>
    </w:p>
    <w:p w14:paraId="697B7FBD" w14:textId="36D0033C" w:rsidR="006516D7" w:rsidRPr="00D37923" w:rsidRDefault="006516D7" w:rsidP="009F1EF9">
      <w:pPr>
        <w:spacing w:after="120"/>
      </w:pPr>
    </w:p>
    <w:p w14:paraId="6518D54F" w14:textId="39CF5296" w:rsidR="006516D7" w:rsidRPr="00D37923" w:rsidRDefault="00500704" w:rsidP="008E5601">
      <w:hyperlink r:id="rId10" w:history="1">
        <w:r w:rsidR="006516D7" w:rsidRPr="00D37923">
          <w:rPr>
            <w:rStyle w:val="-"/>
            <w:lang w:val="en-US"/>
          </w:rPr>
          <w:t>www</w:t>
        </w:r>
        <w:r w:rsidR="006516D7" w:rsidRPr="00D37923">
          <w:rPr>
            <w:rStyle w:val="-"/>
          </w:rPr>
          <w:t>.</w:t>
        </w:r>
        <w:r w:rsidR="006516D7" w:rsidRPr="00D37923">
          <w:rPr>
            <w:rStyle w:val="-"/>
            <w:lang w:val="en-US"/>
          </w:rPr>
          <w:t>hfisc</w:t>
        </w:r>
        <w:r w:rsidR="006516D7" w:rsidRPr="00D37923">
          <w:rPr>
            <w:rStyle w:val="-"/>
          </w:rPr>
          <w:t>.</w:t>
        </w:r>
        <w:r w:rsidR="006516D7" w:rsidRPr="00D37923">
          <w:rPr>
            <w:rStyle w:val="-"/>
            <w:lang w:val="en-US"/>
          </w:rPr>
          <w:t>gr</w:t>
        </w:r>
      </w:hyperlink>
    </w:p>
    <w:p w14:paraId="7BE6E74E" w14:textId="615F5336" w:rsidR="006516D7" w:rsidRPr="00D37923" w:rsidRDefault="006516D7" w:rsidP="009F1EF9">
      <w:pPr>
        <w:spacing w:after="120"/>
      </w:pPr>
    </w:p>
    <w:p w14:paraId="21082340" w14:textId="7592CD7E" w:rsidR="006516D7" w:rsidRPr="0068122D" w:rsidRDefault="006516D7" w:rsidP="009F1EF9">
      <w:pPr>
        <w:spacing w:after="80"/>
      </w:pPr>
      <w:r w:rsidRPr="00D37923">
        <w:rPr>
          <w:lang w:val="en-US"/>
        </w:rPr>
        <w:t>T</w:t>
      </w:r>
      <w:r w:rsidRPr="0068122D">
        <w:t>: 211 1039600</w:t>
      </w:r>
    </w:p>
    <w:p w14:paraId="1BE25DFA" w14:textId="222BBC25" w:rsidR="006516D7" w:rsidRPr="00DB1DCB" w:rsidRDefault="006516D7" w:rsidP="009F1EF9">
      <w:pPr>
        <w:spacing w:after="80"/>
        <w:rPr>
          <w:lang w:val="en-US"/>
        </w:rPr>
      </w:pPr>
      <w:r w:rsidRPr="00D37923">
        <w:t>Φ</w:t>
      </w:r>
      <w:r w:rsidRPr="00DB1DCB">
        <w:rPr>
          <w:lang w:val="en-US"/>
        </w:rPr>
        <w:t>: 210 3615531</w:t>
      </w:r>
    </w:p>
    <w:p w14:paraId="02DD95B6" w14:textId="6D76286F" w:rsidR="006516D7" w:rsidRDefault="006516D7" w:rsidP="009F1EF9">
      <w:pPr>
        <w:spacing w:after="80"/>
        <w:rPr>
          <w:lang w:val="en-US"/>
        </w:rPr>
      </w:pPr>
      <w:r w:rsidRPr="00D37923">
        <w:rPr>
          <w:lang w:val="en-US"/>
        </w:rPr>
        <w:t xml:space="preserve">e-mail: </w:t>
      </w:r>
      <w:hyperlink r:id="rId11" w:history="1">
        <w:r w:rsidR="00D5158D" w:rsidRPr="00CA11A6">
          <w:rPr>
            <w:rStyle w:val="-"/>
            <w:lang w:val="en-US"/>
          </w:rPr>
          <w:t>hfisc@hfisc.gr</w:t>
        </w:r>
      </w:hyperlink>
    </w:p>
    <w:p w14:paraId="08CB6226" w14:textId="7D095AF9" w:rsidR="00D5158D" w:rsidRDefault="00D5158D" w:rsidP="009F1EF9">
      <w:pPr>
        <w:spacing w:after="80"/>
        <w:rPr>
          <w:lang w:val="en-US"/>
        </w:rPr>
      </w:pPr>
    </w:p>
    <w:p w14:paraId="6AF3EF07" w14:textId="3654475C" w:rsidR="00D5158D" w:rsidRDefault="00D5158D" w:rsidP="009F1EF9">
      <w:pPr>
        <w:spacing w:after="80"/>
        <w:rPr>
          <w:lang w:val="en-US"/>
        </w:rPr>
      </w:pPr>
    </w:p>
    <w:p w14:paraId="5A4267D1" w14:textId="3EC13EF0" w:rsidR="00D5158D" w:rsidRDefault="00D5158D" w:rsidP="009F1EF9">
      <w:pPr>
        <w:spacing w:after="80"/>
        <w:rPr>
          <w:lang w:val="en-US"/>
        </w:rPr>
      </w:pPr>
    </w:p>
    <w:p w14:paraId="489562B9" w14:textId="77777777" w:rsidR="00946991" w:rsidRPr="006535B0" w:rsidRDefault="00946991">
      <w:pPr>
        <w:spacing w:after="160" w:line="0" w:lineRule="auto"/>
        <w:jc w:val="left"/>
        <w:rPr>
          <w:lang w:val="en-US"/>
        </w:rPr>
      </w:pPr>
      <w:r w:rsidRPr="006535B0">
        <w:rPr>
          <w:lang w:val="en-US"/>
        </w:rPr>
        <w:br w:type="page"/>
      </w:r>
    </w:p>
    <w:sdt>
      <w:sdtPr>
        <w:rPr>
          <w:rFonts w:ascii="Trebuchet MS" w:eastAsiaTheme="minorHAnsi" w:hAnsi="Trebuchet MS" w:cstheme="minorBidi"/>
          <w:b/>
          <w:i/>
          <w:noProof/>
          <w:color w:val="auto"/>
          <w:spacing w:val="20"/>
          <w:sz w:val="22"/>
          <w:szCs w:val="22"/>
          <w:lang w:eastAsia="en-US"/>
        </w:rPr>
        <w:id w:val="8959902"/>
        <w:docPartObj>
          <w:docPartGallery w:val="Table of Contents"/>
          <w:docPartUnique/>
        </w:docPartObj>
      </w:sdtPr>
      <w:sdtEndPr>
        <w:rPr>
          <w:rFonts w:eastAsia="Calibri" w:cs="Times New Roman"/>
          <w:b w:val="0"/>
          <w:color w:val="00B0F0"/>
          <w:lang w:eastAsia="el-GR"/>
        </w:rPr>
      </w:sdtEndPr>
      <w:sdtContent>
        <w:p w14:paraId="432F52F6" w14:textId="0A3926C0" w:rsidR="00247E25" w:rsidRPr="00B103F0" w:rsidRDefault="00D65F57" w:rsidP="008D2932">
          <w:pPr>
            <w:pStyle w:val="a9"/>
            <w:spacing w:after="120"/>
            <w:jc w:val="center"/>
            <w:rPr>
              <w:rFonts w:ascii="Trebuchet MS" w:hAnsi="Trebuchet MS"/>
              <w:b/>
              <w:color w:val="auto"/>
              <w:sz w:val="24"/>
              <w:szCs w:val="24"/>
              <w:lang w:val="en-US"/>
            </w:rPr>
          </w:pPr>
          <w:r w:rsidRPr="00B103F0">
            <w:rPr>
              <w:rFonts w:ascii="Trebuchet MS" w:hAnsi="Trebuchet MS"/>
              <w:b/>
              <w:color w:val="auto"/>
              <w:sz w:val="24"/>
              <w:szCs w:val="24"/>
            </w:rPr>
            <w:t>ΠΕΡΙΕΧΟΜΕΝΑ</w:t>
          </w:r>
        </w:p>
        <w:p w14:paraId="5A96B31D" w14:textId="6D51F797" w:rsidR="00230B3D" w:rsidRPr="00910A75" w:rsidRDefault="00230B3D" w:rsidP="00A94AB4">
          <w:pPr>
            <w:pStyle w:val="10"/>
          </w:pPr>
          <w:r w:rsidRPr="00B103F0">
            <w:t>Πρόλογος</w:t>
          </w:r>
          <w:r w:rsidRPr="00910A75">
            <w:t xml:space="preserve"> </w:t>
          </w:r>
          <w:r w:rsidRPr="00174E94">
            <w:t>………………………………………………………………………………………………….</w:t>
          </w:r>
          <w:r w:rsidRPr="00910A75">
            <w:t xml:space="preserve"> </w:t>
          </w:r>
          <w:r w:rsidRPr="00174E94">
            <w:t>6</w:t>
          </w:r>
        </w:p>
        <w:p w14:paraId="4DEAD089" w14:textId="562F60D0" w:rsidR="00BE2523" w:rsidRDefault="00247E25">
          <w:pPr>
            <w:pStyle w:val="10"/>
            <w:rPr>
              <w:rFonts w:asciiTheme="minorHAnsi" w:eastAsiaTheme="minorEastAsia" w:hAnsiTheme="minorHAnsi" w:cstheme="minorBidi"/>
              <w:i w:val="0"/>
              <w:color w:val="auto"/>
              <w:spacing w:val="0"/>
            </w:rPr>
          </w:pPr>
          <w:r w:rsidRPr="00910A75">
            <w:rPr>
              <w:color w:val="auto"/>
            </w:rPr>
            <w:fldChar w:fldCharType="begin"/>
          </w:r>
          <w:r w:rsidRPr="00910A75">
            <w:rPr>
              <w:color w:val="auto"/>
            </w:rPr>
            <w:instrText xml:space="preserve"> TOC \o "1-3" \h \z \u </w:instrText>
          </w:r>
          <w:r w:rsidRPr="00910A75">
            <w:rPr>
              <w:color w:val="auto"/>
            </w:rPr>
            <w:fldChar w:fldCharType="separate"/>
          </w:r>
          <w:hyperlink w:anchor="_Toc89172815" w:history="1">
            <w:r w:rsidR="00BE2523" w:rsidRPr="00F53081">
              <w:rPr>
                <w:rStyle w:val="-"/>
              </w:rPr>
              <w:t>ΚΕΦΑΛΑΙΟ I: ΜΑΚΡΟΟΙΚΟΝΟΜΙΚΕΣ &amp; ΧΡΗΜΑΤΟΠΙΣΤΩΤΙΚΕΣ ΕΞΕΛΙΞΕΙΣ &amp; ΠΡΟΟΠΤΙΚΕΣ 2021-2022</w:t>
            </w:r>
            <w:r w:rsidR="00BE2523">
              <w:rPr>
                <w:webHidden/>
              </w:rPr>
              <w:tab/>
            </w:r>
            <w:r w:rsidR="00BE2523">
              <w:rPr>
                <w:webHidden/>
              </w:rPr>
              <w:fldChar w:fldCharType="begin"/>
            </w:r>
            <w:r w:rsidR="00BE2523">
              <w:rPr>
                <w:webHidden/>
              </w:rPr>
              <w:instrText xml:space="preserve"> PAGEREF _Toc89172815 \h </w:instrText>
            </w:r>
            <w:r w:rsidR="00BE2523">
              <w:rPr>
                <w:webHidden/>
              </w:rPr>
            </w:r>
            <w:r w:rsidR="00BE2523">
              <w:rPr>
                <w:webHidden/>
              </w:rPr>
              <w:fldChar w:fldCharType="separate"/>
            </w:r>
            <w:r w:rsidR="0038196B">
              <w:rPr>
                <w:webHidden/>
              </w:rPr>
              <w:t>9</w:t>
            </w:r>
            <w:r w:rsidR="00BE2523">
              <w:rPr>
                <w:webHidden/>
              </w:rPr>
              <w:fldChar w:fldCharType="end"/>
            </w:r>
          </w:hyperlink>
        </w:p>
        <w:p w14:paraId="444EE46C" w14:textId="589F9B74" w:rsidR="00BE2523" w:rsidRDefault="00500704">
          <w:pPr>
            <w:pStyle w:val="20"/>
            <w:rPr>
              <w:rFonts w:asciiTheme="minorHAnsi" w:eastAsiaTheme="minorEastAsia" w:hAnsiTheme="minorHAnsi"/>
              <w:lang w:eastAsia="el-GR"/>
            </w:rPr>
          </w:pPr>
          <w:hyperlink w:anchor="_Toc89172816" w:history="1">
            <w:r w:rsidR="00BE2523" w:rsidRPr="00F53081">
              <w:rPr>
                <w:rStyle w:val="-"/>
              </w:rPr>
              <w:t>1. Εξέλιξη και εκτιμήσεις ΑΕΠ 2021</w:t>
            </w:r>
            <w:r w:rsidR="00BE2523">
              <w:rPr>
                <w:webHidden/>
              </w:rPr>
              <w:tab/>
            </w:r>
            <w:r w:rsidR="00BE2523">
              <w:rPr>
                <w:webHidden/>
              </w:rPr>
              <w:fldChar w:fldCharType="begin"/>
            </w:r>
            <w:r w:rsidR="00BE2523">
              <w:rPr>
                <w:webHidden/>
              </w:rPr>
              <w:instrText xml:space="preserve"> PAGEREF _Toc89172816 \h </w:instrText>
            </w:r>
            <w:r w:rsidR="00BE2523">
              <w:rPr>
                <w:webHidden/>
              </w:rPr>
            </w:r>
            <w:r w:rsidR="00BE2523">
              <w:rPr>
                <w:webHidden/>
              </w:rPr>
              <w:fldChar w:fldCharType="separate"/>
            </w:r>
            <w:r w:rsidR="0038196B">
              <w:rPr>
                <w:webHidden/>
              </w:rPr>
              <w:t>9</w:t>
            </w:r>
            <w:r w:rsidR="00BE2523">
              <w:rPr>
                <w:webHidden/>
              </w:rPr>
              <w:fldChar w:fldCharType="end"/>
            </w:r>
          </w:hyperlink>
        </w:p>
        <w:p w14:paraId="219DD61B" w14:textId="02F7421E" w:rsidR="00BE2523" w:rsidRDefault="00500704">
          <w:pPr>
            <w:pStyle w:val="30"/>
            <w:rPr>
              <w:rFonts w:asciiTheme="minorHAnsi" w:eastAsiaTheme="minorEastAsia" w:hAnsiTheme="minorHAnsi"/>
              <w:i w:val="0"/>
              <w:sz w:val="22"/>
              <w:szCs w:val="22"/>
              <w:lang w:eastAsia="el-GR"/>
            </w:rPr>
          </w:pPr>
          <w:hyperlink w:anchor="_Toc89172817" w:history="1">
            <w:r w:rsidR="00BE2523" w:rsidRPr="00F53081">
              <w:rPr>
                <w:rStyle w:val="-"/>
              </w:rPr>
              <w:t>1.1. Ανάλυση των εξελίξεων στο ΑΕΠ το 2021</w:t>
            </w:r>
            <w:r w:rsidR="00BE2523">
              <w:rPr>
                <w:webHidden/>
              </w:rPr>
              <w:tab/>
            </w:r>
            <w:r w:rsidR="00BE2523">
              <w:rPr>
                <w:webHidden/>
              </w:rPr>
              <w:fldChar w:fldCharType="begin"/>
            </w:r>
            <w:r w:rsidR="00BE2523">
              <w:rPr>
                <w:webHidden/>
              </w:rPr>
              <w:instrText xml:space="preserve"> PAGEREF _Toc89172817 \h </w:instrText>
            </w:r>
            <w:r w:rsidR="00BE2523">
              <w:rPr>
                <w:webHidden/>
              </w:rPr>
            </w:r>
            <w:r w:rsidR="00BE2523">
              <w:rPr>
                <w:webHidden/>
              </w:rPr>
              <w:fldChar w:fldCharType="separate"/>
            </w:r>
            <w:r w:rsidR="0038196B">
              <w:rPr>
                <w:webHidden/>
              </w:rPr>
              <w:t>10</w:t>
            </w:r>
            <w:r w:rsidR="00BE2523">
              <w:rPr>
                <w:webHidden/>
              </w:rPr>
              <w:fldChar w:fldCharType="end"/>
            </w:r>
          </w:hyperlink>
        </w:p>
        <w:p w14:paraId="3F2B9F9A" w14:textId="1A27C19F" w:rsidR="00BE2523" w:rsidRDefault="00500704">
          <w:pPr>
            <w:pStyle w:val="30"/>
            <w:rPr>
              <w:rFonts w:asciiTheme="minorHAnsi" w:eastAsiaTheme="minorEastAsia" w:hAnsiTheme="minorHAnsi"/>
              <w:i w:val="0"/>
              <w:sz w:val="22"/>
              <w:szCs w:val="22"/>
              <w:lang w:eastAsia="el-GR"/>
            </w:rPr>
          </w:pPr>
          <w:hyperlink w:anchor="_Toc89172818" w:history="1">
            <w:r w:rsidR="00BE2523" w:rsidRPr="00F53081">
              <w:rPr>
                <w:rStyle w:val="-"/>
              </w:rPr>
              <w:t>1.2. Ακαθάριστη προστιθέμενη αξία κλάδων παραγωγής</w:t>
            </w:r>
            <w:r w:rsidR="00BE2523">
              <w:rPr>
                <w:webHidden/>
              </w:rPr>
              <w:tab/>
            </w:r>
            <w:r w:rsidR="00BE2523">
              <w:rPr>
                <w:webHidden/>
              </w:rPr>
              <w:fldChar w:fldCharType="begin"/>
            </w:r>
            <w:r w:rsidR="00BE2523">
              <w:rPr>
                <w:webHidden/>
              </w:rPr>
              <w:instrText xml:space="preserve"> PAGEREF _Toc89172818 \h </w:instrText>
            </w:r>
            <w:r w:rsidR="00BE2523">
              <w:rPr>
                <w:webHidden/>
              </w:rPr>
            </w:r>
            <w:r w:rsidR="00BE2523">
              <w:rPr>
                <w:webHidden/>
              </w:rPr>
              <w:fldChar w:fldCharType="separate"/>
            </w:r>
            <w:r w:rsidR="0038196B">
              <w:rPr>
                <w:webHidden/>
              </w:rPr>
              <w:t>13</w:t>
            </w:r>
            <w:r w:rsidR="00BE2523">
              <w:rPr>
                <w:webHidden/>
              </w:rPr>
              <w:fldChar w:fldCharType="end"/>
            </w:r>
          </w:hyperlink>
        </w:p>
        <w:p w14:paraId="0796AFF7" w14:textId="49823702" w:rsidR="00BE2523" w:rsidRDefault="00500704">
          <w:pPr>
            <w:pStyle w:val="20"/>
            <w:rPr>
              <w:rFonts w:asciiTheme="minorHAnsi" w:eastAsiaTheme="minorEastAsia" w:hAnsiTheme="minorHAnsi"/>
              <w:lang w:eastAsia="el-GR"/>
            </w:rPr>
          </w:pPr>
          <w:hyperlink w:anchor="_Toc89172819" w:history="1">
            <w:r w:rsidR="00BE2523" w:rsidRPr="00F53081">
              <w:rPr>
                <w:rStyle w:val="-"/>
              </w:rPr>
              <w:t>2. Άλλες μακροοικονομικές εξελίξεις</w:t>
            </w:r>
            <w:r w:rsidR="00BE2523">
              <w:rPr>
                <w:webHidden/>
              </w:rPr>
              <w:tab/>
            </w:r>
            <w:r w:rsidR="00BE2523">
              <w:rPr>
                <w:webHidden/>
              </w:rPr>
              <w:fldChar w:fldCharType="begin"/>
            </w:r>
            <w:r w:rsidR="00BE2523">
              <w:rPr>
                <w:webHidden/>
              </w:rPr>
              <w:instrText xml:space="preserve"> PAGEREF _Toc89172819 \h </w:instrText>
            </w:r>
            <w:r w:rsidR="00BE2523">
              <w:rPr>
                <w:webHidden/>
              </w:rPr>
            </w:r>
            <w:r w:rsidR="00BE2523">
              <w:rPr>
                <w:webHidden/>
              </w:rPr>
              <w:fldChar w:fldCharType="separate"/>
            </w:r>
            <w:r w:rsidR="0038196B">
              <w:rPr>
                <w:webHidden/>
              </w:rPr>
              <w:t>17</w:t>
            </w:r>
            <w:r w:rsidR="00BE2523">
              <w:rPr>
                <w:webHidden/>
              </w:rPr>
              <w:fldChar w:fldCharType="end"/>
            </w:r>
          </w:hyperlink>
        </w:p>
        <w:p w14:paraId="3AE9421D" w14:textId="44154F7B" w:rsidR="00BE2523" w:rsidRDefault="00500704">
          <w:pPr>
            <w:pStyle w:val="30"/>
            <w:rPr>
              <w:rFonts w:asciiTheme="minorHAnsi" w:eastAsiaTheme="minorEastAsia" w:hAnsiTheme="minorHAnsi"/>
              <w:i w:val="0"/>
              <w:sz w:val="22"/>
              <w:szCs w:val="22"/>
              <w:lang w:eastAsia="el-GR"/>
            </w:rPr>
          </w:pPr>
          <w:hyperlink w:anchor="_Toc89172820" w:history="1">
            <w:r w:rsidR="00BE2523" w:rsidRPr="00F53081">
              <w:rPr>
                <w:rStyle w:val="-"/>
              </w:rPr>
              <w:t>2.1. Πληθωρισμός</w:t>
            </w:r>
            <w:r w:rsidR="00BE2523">
              <w:rPr>
                <w:webHidden/>
              </w:rPr>
              <w:tab/>
            </w:r>
            <w:r w:rsidR="00BE2523">
              <w:rPr>
                <w:webHidden/>
              </w:rPr>
              <w:fldChar w:fldCharType="begin"/>
            </w:r>
            <w:r w:rsidR="00BE2523">
              <w:rPr>
                <w:webHidden/>
              </w:rPr>
              <w:instrText xml:space="preserve"> PAGEREF _Toc89172820 \h </w:instrText>
            </w:r>
            <w:r w:rsidR="00BE2523">
              <w:rPr>
                <w:webHidden/>
              </w:rPr>
            </w:r>
            <w:r w:rsidR="00BE2523">
              <w:rPr>
                <w:webHidden/>
              </w:rPr>
              <w:fldChar w:fldCharType="separate"/>
            </w:r>
            <w:r w:rsidR="0038196B">
              <w:rPr>
                <w:webHidden/>
              </w:rPr>
              <w:t>18</w:t>
            </w:r>
            <w:r w:rsidR="00BE2523">
              <w:rPr>
                <w:webHidden/>
              </w:rPr>
              <w:fldChar w:fldCharType="end"/>
            </w:r>
          </w:hyperlink>
        </w:p>
        <w:p w14:paraId="219A32E5" w14:textId="3D138025" w:rsidR="00BE2523" w:rsidRDefault="00500704">
          <w:pPr>
            <w:pStyle w:val="30"/>
            <w:rPr>
              <w:rFonts w:asciiTheme="minorHAnsi" w:eastAsiaTheme="minorEastAsia" w:hAnsiTheme="minorHAnsi"/>
              <w:i w:val="0"/>
              <w:sz w:val="22"/>
              <w:szCs w:val="22"/>
              <w:lang w:eastAsia="el-GR"/>
            </w:rPr>
          </w:pPr>
          <w:hyperlink w:anchor="_Toc89172821" w:history="1">
            <w:r w:rsidR="00BE2523" w:rsidRPr="00F53081">
              <w:rPr>
                <w:rStyle w:val="-"/>
              </w:rPr>
              <w:t>2.2. Απασχόληση, ανεργία, εργατικό δυναμικό</w:t>
            </w:r>
            <w:r w:rsidR="00BE2523">
              <w:rPr>
                <w:webHidden/>
              </w:rPr>
              <w:tab/>
            </w:r>
            <w:r w:rsidR="00BE2523">
              <w:rPr>
                <w:webHidden/>
              </w:rPr>
              <w:fldChar w:fldCharType="begin"/>
            </w:r>
            <w:r w:rsidR="00BE2523">
              <w:rPr>
                <w:webHidden/>
              </w:rPr>
              <w:instrText xml:space="preserve"> PAGEREF _Toc89172821 \h </w:instrText>
            </w:r>
            <w:r w:rsidR="00BE2523">
              <w:rPr>
                <w:webHidden/>
              </w:rPr>
            </w:r>
            <w:r w:rsidR="00BE2523">
              <w:rPr>
                <w:webHidden/>
              </w:rPr>
              <w:fldChar w:fldCharType="separate"/>
            </w:r>
            <w:r w:rsidR="0038196B">
              <w:rPr>
                <w:webHidden/>
              </w:rPr>
              <w:t>21</w:t>
            </w:r>
            <w:r w:rsidR="00BE2523">
              <w:rPr>
                <w:webHidden/>
              </w:rPr>
              <w:fldChar w:fldCharType="end"/>
            </w:r>
          </w:hyperlink>
        </w:p>
        <w:p w14:paraId="339F454C" w14:textId="01F641F0" w:rsidR="00BE2523" w:rsidRDefault="00500704">
          <w:pPr>
            <w:pStyle w:val="30"/>
            <w:rPr>
              <w:rFonts w:asciiTheme="minorHAnsi" w:eastAsiaTheme="minorEastAsia" w:hAnsiTheme="minorHAnsi"/>
              <w:i w:val="0"/>
              <w:sz w:val="22"/>
              <w:szCs w:val="22"/>
              <w:lang w:eastAsia="el-GR"/>
            </w:rPr>
          </w:pPr>
          <w:hyperlink w:anchor="_Toc89172822" w:history="1">
            <w:r w:rsidR="00BE2523" w:rsidRPr="00F53081">
              <w:rPr>
                <w:rStyle w:val="-"/>
              </w:rPr>
              <w:t>2.3. Ισοζύγιο πληρωμών</w:t>
            </w:r>
            <w:r w:rsidR="00BE2523">
              <w:rPr>
                <w:webHidden/>
              </w:rPr>
              <w:tab/>
            </w:r>
            <w:r w:rsidR="00BE2523">
              <w:rPr>
                <w:webHidden/>
              </w:rPr>
              <w:fldChar w:fldCharType="begin"/>
            </w:r>
            <w:r w:rsidR="00BE2523">
              <w:rPr>
                <w:webHidden/>
              </w:rPr>
              <w:instrText xml:space="preserve"> PAGEREF _Toc89172822 \h </w:instrText>
            </w:r>
            <w:r w:rsidR="00BE2523">
              <w:rPr>
                <w:webHidden/>
              </w:rPr>
            </w:r>
            <w:r w:rsidR="00BE2523">
              <w:rPr>
                <w:webHidden/>
              </w:rPr>
              <w:fldChar w:fldCharType="separate"/>
            </w:r>
            <w:r w:rsidR="0038196B">
              <w:rPr>
                <w:webHidden/>
              </w:rPr>
              <w:t>23</w:t>
            </w:r>
            <w:r w:rsidR="00BE2523">
              <w:rPr>
                <w:webHidden/>
              </w:rPr>
              <w:fldChar w:fldCharType="end"/>
            </w:r>
          </w:hyperlink>
        </w:p>
        <w:p w14:paraId="003240BE" w14:textId="0E855DFE" w:rsidR="00BE2523" w:rsidRDefault="00500704">
          <w:pPr>
            <w:pStyle w:val="30"/>
            <w:rPr>
              <w:rFonts w:asciiTheme="minorHAnsi" w:eastAsiaTheme="minorEastAsia" w:hAnsiTheme="minorHAnsi"/>
              <w:i w:val="0"/>
              <w:sz w:val="22"/>
              <w:szCs w:val="22"/>
              <w:lang w:eastAsia="el-GR"/>
            </w:rPr>
          </w:pPr>
          <w:hyperlink w:anchor="_Toc89172823" w:history="1">
            <w:r w:rsidR="00BE2523" w:rsidRPr="00F53081">
              <w:rPr>
                <w:rStyle w:val="-"/>
              </w:rPr>
              <w:t>2.4. Δείκτες μεταποίησης</w:t>
            </w:r>
            <w:r w:rsidR="00BE2523">
              <w:rPr>
                <w:webHidden/>
              </w:rPr>
              <w:tab/>
            </w:r>
            <w:r w:rsidR="00BE2523">
              <w:rPr>
                <w:webHidden/>
              </w:rPr>
              <w:fldChar w:fldCharType="begin"/>
            </w:r>
            <w:r w:rsidR="00BE2523">
              <w:rPr>
                <w:webHidden/>
              </w:rPr>
              <w:instrText xml:space="preserve"> PAGEREF _Toc89172823 \h </w:instrText>
            </w:r>
            <w:r w:rsidR="00BE2523">
              <w:rPr>
                <w:webHidden/>
              </w:rPr>
            </w:r>
            <w:r w:rsidR="00BE2523">
              <w:rPr>
                <w:webHidden/>
              </w:rPr>
              <w:fldChar w:fldCharType="separate"/>
            </w:r>
            <w:r w:rsidR="0038196B">
              <w:rPr>
                <w:webHidden/>
              </w:rPr>
              <w:t>27</w:t>
            </w:r>
            <w:r w:rsidR="00BE2523">
              <w:rPr>
                <w:webHidden/>
              </w:rPr>
              <w:fldChar w:fldCharType="end"/>
            </w:r>
          </w:hyperlink>
        </w:p>
        <w:p w14:paraId="22EA5B1E" w14:textId="468F208A" w:rsidR="00BE2523" w:rsidRDefault="00500704">
          <w:pPr>
            <w:pStyle w:val="30"/>
            <w:rPr>
              <w:rFonts w:asciiTheme="minorHAnsi" w:eastAsiaTheme="minorEastAsia" w:hAnsiTheme="minorHAnsi"/>
              <w:i w:val="0"/>
              <w:sz w:val="22"/>
              <w:szCs w:val="22"/>
              <w:lang w:eastAsia="el-GR"/>
            </w:rPr>
          </w:pPr>
          <w:hyperlink w:anchor="_Toc89172824" w:history="1">
            <w:r w:rsidR="00BE2523" w:rsidRPr="00F53081">
              <w:rPr>
                <w:rStyle w:val="-"/>
              </w:rPr>
              <w:t>2.5. Οικονομική συγκυρία  (Προσδοκίες / PMI)</w:t>
            </w:r>
            <w:r w:rsidR="00BE2523">
              <w:rPr>
                <w:webHidden/>
              </w:rPr>
              <w:tab/>
            </w:r>
            <w:r w:rsidR="00BE2523">
              <w:rPr>
                <w:webHidden/>
              </w:rPr>
              <w:fldChar w:fldCharType="begin"/>
            </w:r>
            <w:r w:rsidR="00BE2523">
              <w:rPr>
                <w:webHidden/>
              </w:rPr>
              <w:instrText xml:space="preserve"> PAGEREF _Toc89172824 \h </w:instrText>
            </w:r>
            <w:r w:rsidR="00BE2523">
              <w:rPr>
                <w:webHidden/>
              </w:rPr>
            </w:r>
            <w:r w:rsidR="00BE2523">
              <w:rPr>
                <w:webHidden/>
              </w:rPr>
              <w:fldChar w:fldCharType="separate"/>
            </w:r>
            <w:r w:rsidR="0038196B">
              <w:rPr>
                <w:webHidden/>
              </w:rPr>
              <w:t>28</w:t>
            </w:r>
            <w:r w:rsidR="00BE2523">
              <w:rPr>
                <w:webHidden/>
              </w:rPr>
              <w:fldChar w:fldCharType="end"/>
            </w:r>
          </w:hyperlink>
        </w:p>
        <w:p w14:paraId="13B65A2E" w14:textId="632AB8F4" w:rsidR="00BE2523" w:rsidRDefault="00500704">
          <w:pPr>
            <w:pStyle w:val="20"/>
            <w:rPr>
              <w:rFonts w:asciiTheme="minorHAnsi" w:eastAsiaTheme="minorEastAsia" w:hAnsiTheme="minorHAnsi"/>
              <w:lang w:eastAsia="el-GR"/>
            </w:rPr>
          </w:pPr>
          <w:hyperlink w:anchor="_Toc89172825" w:history="1">
            <w:r w:rsidR="00BE2523" w:rsidRPr="00F53081">
              <w:rPr>
                <w:rStyle w:val="-"/>
              </w:rPr>
              <w:t>3. Χρηματοπιστωτικός τομέας</w:t>
            </w:r>
            <w:r w:rsidR="00BE2523">
              <w:rPr>
                <w:webHidden/>
              </w:rPr>
              <w:tab/>
            </w:r>
            <w:r w:rsidR="00BE2523">
              <w:rPr>
                <w:webHidden/>
              </w:rPr>
              <w:fldChar w:fldCharType="begin"/>
            </w:r>
            <w:r w:rsidR="00BE2523">
              <w:rPr>
                <w:webHidden/>
              </w:rPr>
              <w:instrText xml:space="preserve"> PAGEREF _Toc89172825 \h </w:instrText>
            </w:r>
            <w:r w:rsidR="00BE2523">
              <w:rPr>
                <w:webHidden/>
              </w:rPr>
            </w:r>
            <w:r w:rsidR="00BE2523">
              <w:rPr>
                <w:webHidden/>
              </w:rPr>
              <w:fldChar w:fldCharType="separate"/>
            </w:r>
            <w:r w:rsidR="0038196B">
              <w:rPr>
                <w:webHidden/>
              </w:rPr>
              <w:t>31</w:t>
            </w:r>
            <w:r w:rsidR="00BE2523">
              <w:rPr>
                <w:webHidden/>
              </w:rPr>
              <w:fldChar w:fldCharType="end"/>
            </w:r>
          </w:hyperlink>
        </w:p>
        <w:p w14:paraId="55AE5520" w14:textId="018A2AD7" w:rsidR="00BE2523" w:rsidRDefault="00500704">
          <w:pPr>
            <w:pStyle w:val="30"/>
            <w:rPr>
              <w:rFonts w:asciiTheme="minorHAnsi" w:eastAsiaTheme="minorEastAsia" w:hAnsiTheme="minorHAnsi"/>
              <w:i w:val="0"/>
              <w:sz w:val="22"/>
              <w:szCs w:val="22"/>
              <w:lang w:eastAsia="el-GR"/>
            </w:rPr>
          </w:pPr>
          <w:hyperlink w:anchor="_Toc89172826" w:history="1">
            <w:r w:rsidR="00BE2523" w:rsidRPr="00F53081">
              <w:rPr>
                <w:rStyle w:val="-"/>
              </w:rPr>
              <w:t>3.1. Καταθέσεις-Χορηγήσεις</w:t>
            </w:r>
            <w:r w:rsidR="00BE2523">
              <w:rPr>
                <w:webHidden/>
              </w:rPr>
              <w:tab/>
            </w:r>
            <w:r w:rsidR="00BE2523">
              <w:rPr>
                <w:webHidden/>
              </w:rPr>
              <w:fldChar w:fldCharType="begin"/>
            </w:r>
            <w:r w:rsidR="00BE2523">
              <w:rPr>
                <w:webHidden/>
              </w:rPr>
              <w:instrText xml:space="preserve"> PAGEREF _Toc89172826 \h </w:instrText>
            </w:r>
            <w:r w:rsidR="00BE2523">
              <w:rPr>
                <w:webHidden/>
              </w:rPr>
            </w:r>
            <w:r w:rsidR="00BE2523">
              <w:rPr>
                <w:webHidden/>
              </w:rPr>
              <w:fldChar w:fldCharType="separate"/>
            </w:r>
            <w:r w:rsidR="0038196B">
              <w:rPr>
                <w:webHidden/>
              </w:rPr>
              <w:t>32</w:t>
            </w:r>
            <w:r w:rsidR="00BE2523">
              <w:rPr>
                <w:webHidden/>
              </w:rPr>
              <w:fldChar w:fldCharType="end"/>
            </w:r>
          </w:hyperlink>
        </w:p>
        <w:p w14:paraId="1C04923B" w14:textId="3268F814" w:rsidR="00BE2523" w:rsidRDefault="00500704">
          <w:pPr>
            <w:pStyle w:val="30"/>
            <w:rPr>
              <w:rFonts w:asciiTheme="minorHAnsi" w:eastAsiaTheme="minorEastAsia" w:hAnsiTheme="minorHAnsi"/>
              <w:i w:val="0"/>
              <w:sz w:val="22"/>
              <w:szCs w:val="22"/>
              <w:lang w:eastAsia="el-GR"/>
            </w:rPr>
          </w:pPr>
          <w:hyperlink w:anchor="_Toc89172827" w:history="1">
            <w:r w:rsidR="00BE2523" w:rsidRPr="00F53081">
              <w:rPr>
                <w:rStyle w:val="-"/>
              </w:rPr>
              <w:t>3.2. Μη εξυπηρετούμενα δάνεια (ΜΕΔ)</w:t>
            </w:r>
            <w:r w:rsidR="00BE2523">
              <w:rPr>
                <w:webHidden/>
              </w:rPr>
              <w:tab/>
            </w:r>
            <w:r w:rsidR="00BE2523">
              <w:rPr>
                <w:webHidden/>
              </w:rPr>
              <w:fldChar w:fldCharType="begin"/>
            </w:r>
            <w:r w:rsidR="00BE2523">
              <w:rPr>
                <w:webHidden/>
              </w:rPr>
              <w:instrText xml:space="preserve"> PAGEREF _Toc89172827 \h </w:instrText>
            </w:r>
            <w:r w:rsidR="00BE2523">
              <w:rPr>
                <w:webHidden/>
              </w:rPr>
            </w:r>
            <w:r w:rsidR="00BE2523">
              <w:rPr>
                <w:webHidden/>
              </w:rPr>
              <w:fldChar w:fldCharType="separate"/>
            </w:r>
            <w:r w:rsidR="0038196B">
              <w:rPr>
                <w:webHidden/>
              </w:rPr>
              <w:t>34</w:t>
            </w:r>
            <w:r w:rsidR="00BE2523">
              <w:rPr>
                <w:webHidden/>
              </w:rPr>
              <w:fldChar w:fldCharType="end"/>
            </w:r>
          </w:hyperlink>
        </w:p>
        <w:p w14:paraId="766AA098" w14:textId="63D50E33" w:rsidR="00BE2523" w:rsidRDefault="00500704">
          <w:pPr>
            <w:pStyle w:val="20"/>
            <w:rPr>
              <w:rFonts w:asciiTheme="minorHAnsi" w:eastAsiaTheme="minorEastAsia" w:hAnsiTheme="minorHAnsi"/>
              <w:lang w:eastAsia="el-GR"/>
            </w:rPr>
          </w:pPr>
          <w:hyperlink w:anchor="_Toc89172828" w:history="1">
            <w:r w:rsidR="00BE2523" w:rsidRPr="00F53081">
              <w:rPr>
                <w:rStyle w:val="-"/>
              </w:rPr>
              <w:t>4. Μακροοικονομικές προβλέψεις για το 2022</w:t>
            </w:r>
            <w:r w:rsidR="00BE2523">
              <w:rPr>
                <w:webHidden/>
              </w:rPr>
              <w:tab/>
            </w:r>
            <w:r w:rsidR="00BE2523">
              <w:rPr>
                <w:webHidden/>
              </w:rPr>
              <w:fldChar w:fldCharType="begin"/>
            </w:r>
            <w:r w:rsidR="00BE2523">
              <w:rPr>
                <w:webHidden/>
              </w:rPr>
              <w:instrText xml:space="preserve"> PAGEREF _Toc89172828 \h </w:instrText>
            </w:r>
            <w:r w:rsidR="00BE2523">
              <w:rPr>
                <w:webHidden/>
              </w:rPr>
            </w:r>
            <w:r w:rsidR="00BE2523">
              <w:rPr>
                <w:webHidden/>
              </w:rPr>
              <w:fldChar w:fldCharType="separate"/>
            </w:r>
            <w:r w:rsidR="0038196B">
              <w:rPr>
                <w:webHidden/>
              </w:rPr>
              <w:t>36</w:t>
            </w:r>
            <w:r w:rsidR="00BE2523">
              <w:rPr>
                <w:webHidden/>
              </w:rPr>
              <w:fldChar w:fldCharType="end"/>
            </w:r>
          </w:hyperlink>
        </w:p>
        <w:p w14:paraId="739FEC24" w14:textId="20DF5008" w:rsidR="00BE2523" w:rsidRDefault="00500704">
          <w:pPr>
            <w:pStyle w:val="30"/>
            <w:rPr>
              <w:rFonts w:asciiTheme="minorHAnsi" w:eastAsiaTheme="minorEastAsia" w:hAnsiTheme="minorHAnsi"/>
              <w:i w:val="0"/>
              <w:sz w:val="22"/>
              <w:szCs w:val="22"/>
              <w:lang w:eastAsia="el-GR"/>
            </w:rPr>
          </w:pPr>
          <w:hyperlink w:anchor="_Toc89172829" w:history="1">
            <w:r w:rsidR="00BE2523" w:rsidRPr="00F53081">
              <w:rPr>
                <w:rStyle w:val="-"/>
              </w:rPr>
              <w:t>4.1. Εγχώριες και διεθνείς μακροοικονομικές προβλέψεις 2022</w:t>
            </w:r>
            <w:r w:rsidR="00BE2523">
              <w:rPr>
                <w:webHidden/>
              </w:rPr>
              <w:tab/>
            </w:r>
            <w:r w:rsidR="00BE2523">
              <w:rPr>
                <w:webHidden/>
              </w:rPr>
              <w:fldChar w:fldCharType="begin"/>
            </w:r>
            <w:r w:rsidR="00BE2523">
              <w:rPr>
                <w:webHidden/>
              </w:rPr>
              <w:instrText xml:space="preserve"> PAGEREF _Toc89172829 \h </w:instrText>
            </w:r>
            <w:r w:rsidR="00BE2523">
              <w:rPr>
                <w:webHidden/>
              </w:rPr>
            </w:r>
            <w:r w:rsidR="00BE2523">
              <w:rPr>
                <w:webHidden/>
              </w:rPr>
              <w:fldChar w:fldCharType="separate"/>
            </w:r>
            <w:r w:rsidR="0038196B">
              <w:rPr>
                <w:webHidden/>
              </w:rPr>
              <w:t>37</w:t>
            </w:r>
            <w:r w:rsidR="00BE2523">
              <w:rPr>
                <w:webHidden/>
              </w:rPr>
              <w:fldChar w:fldCharType="end"/>
            </w:r>
          </w:hyperlink>
        </w:p>
        <w:p w14:paraId="593303E8" w14:textId="606C3456" w:rsidR="00BE2523" w:rsidRDefault="00500704">
          <w:pPr>
            <w:pStyle w:val="30"/>
            <w:rPr>
              <w:rFonts w:asciiTheme="minorHAnsi" w:eastAsiaTheme="minorEastAsia" w:hAnsiTheme="minorHAnsi"/>
              <w:i w:val="0"/>
              <w:sz w:val="22"/>
              <w:szCs w:val="22"/>
              <w:lang w:eastAsia="el-GR"/>
            </w:rPr>
          </w:pPr>
          <w:hyperlink w:anchor="_Toc89172830" w:history="1">
            <w:r w:rsidR="00BE2523" w:rsidRPr="00F53081">
              <w:rPr>
                <w:rStyle w:val="-"/>
              </w:rPr>
              <w:t>4.2. Αξιολόγηση μακροοικονομικών κινδύνων για το 2022</w:t>
            </w:r>
            <w:r w:rsidR="00BE2523">
              <w:rPr>
                <w:webHidden/>
              </w:rPr>
              <w:tab/>
            </w:r>
            <w:r w:rsidR="00BE2523">
              <w:rPr>
                <w:webHidden/>
              </w:rPr>
              <w:fldChar w:fldCharType="begin"/>
            </w:r>
            <w:r w:rsidR="00BE2523">
              <w:rPr>
                <w:webHidden/>
              </w:rPr>
              <w:instrText xml:space="preserve"> PAGEREF _Toc89172830 \h </w:instrText>
            </w:r>
            <w:r w:rsidR="00BE2523">
              <w:rPr>
                <w:webHidden/>
              </w:rPr>
            </w:r>
            <w:r w:rsidR="00BE2523">
              <w:rPr>
                <w:webHidden/>
              </w:rPr>
              <w:fldChar w:fldCharType="separate"/>
            </w:r>
            <w:r w:rsidR="0038196B">
              <w:rPr>
                <w:webHidden/>
              </w:rPr>
              <w:t>39</w:t>
            </w:r>
            <w:r w:rsidR="00BE2523">
              <w:rPr>
                <w:webHidden/>
              </w:rPr>
              <w:fldChar w:fldCharType="end"/>
            </w:r>
          </w:hyperlink>
        </w:p>
        <w:p w14:paraId="1529CB9A" w14:textId="2AAD9ED6" w:rsidR="00BE2523" w:rsidRDefault="00500704">
          <w:pPr>
            <w:pStyle w:val="10"/>
            <w:rPr>
              <w:rFonts w:asciiTheme="minorHAnsi" w:eastAsiaTheme="minorEastAsia" w:hAnsiTheme="minorHAnsi" w:cstheme="minorBidi"/>
              <w:i w:val="0"/>
              <w:color w:val="auto"/>
              <w:spacing w:val="0"/>
            </w:rPr>
          </w:pPr>
          <w:hyperlink w:anchor="_Toc89172831" w:history="1">
            <w:r w:rsidR="00BE2523" w:rsidRPr="00F53081">
              <w:rPr>
                <w:rStyle w:val="-"/>
              </w:rPr>
              <w:t>ΚΕΦΑΛΑΙΟ II: ΔΗΜΟΣΙΟΝΟΜΙΚΕΣ ΕΞΕΛΙΞΕΙΣ</w:t>
            </w:r>
            <w:r w:rsidR="00BE2523">
              <w:rPr>
                <w:webHidden/>
              </w:rPr>
              <w:tab/>
            </w:r>
            <w:r w:rsidR="00BE2523">
              <w:rPr>
                <w:webHidden/>
              </w:rPr>
              <w:fldChar w:fldCharType="begin"/>
            </w:r>
            <w:r w:rsidR="00BE2523">
              <w:rPr>
                <w:webHidden/>
              </w:rPr>
              <w:instrText xml:space="preserve"> PAGEREF _Toc89172831 \h </w:instrText>
            </w:r>
            <w:r w:rsidR="00BE2523">
              <w:rPr>
                <w:webHidden/>
              </w:rPr>
            </w:r>
            <w:r w:rsidR="00BE2523">
              <w:rPr>
                <w:webHidden/>
              </w:rPr>
              <w:fldChar w:fldCharType="separate"/>
            </w:r>
            <w:r w:rsidR="0038196B">
              <w:rPr>
                <w:webHidden/>
              </w:rPr>
              <w:t>41</w:t>
            </w:r>
            <w:r w:rsidR="00BE2523">
              <w:rPr>
                <w:webHidden/>
              </w:rPr>
              <w:fldChar w:fldCharType="end"/>
            </w:r>
          </w:hyperlink>
        </w:p>
        <w:p w14:paraId="7F749122" w14:textId="3273CAAC" w:rsidR="00BE2523" w:rsidRDefault="00500704">
          <w:pPr>
            <w:pStyle w:val="20"/>
            <w:rPr>
              <w:rFonts w:asciiTheme="minorHAnsi" w:eastAsiaTheme="minorEastAsia" w:hAnsiTheme="minorHAnsi"/>
              <w:lang w:eastAsia="el-GR"/>
            </w:rPr>
          </w:pPr>
          <w:hyperlink w:anchor="_Toc89172832" w:history="1">
            <w:r w:rsidR="00BE2523" w:rsidRPr="00F53081">
              <w:rPr>
                <w:rStyle w:val="-"/>
              </w:rPr>
              <w:t>1. Εκτέλεση Προϋπολογισμού ενεαμήνου 2021</w:t>
            </w:r>
            <w:r w:rsidR="00BE2523">
              <w:rPr>
                <w:webHidden/>
              </w:rPr>
              <w:tab/>
            </w:r>
            <w:r w:rsidR="00BE2523">
              <w:rPr>
                <w:webHidden/>
              </w:rPr>
              <w:fldChar w:fldCharType="begin"/>
            </w:r>
            <w:r w:rsidR="00BE2523">
              <w:rPr>
                <w:webHidden/>
              </w:rPr>
              <w:instrText xml:space="preserve"> PAGEREF _Toc89172832 \h </w:instrText>
            </w:r>
            <w:r w:rsidR="00BE2523">
              <w:rPr>
                <w:webHidden/>
              </w:rPr>
            </w:r>
            <w:r w:rsidR="00BE2523">
              <w:rPr>
                <w:webHidden/>
              </w:rPr>
              <w:fldChar w:fldCharType="separate"/>
            </w:r>
            <w:r w:rsidR="0038196B">
              <w:rPr>
                <w:webHidden/>
              </w:rPr>
              <w:t>41</w:t>
            </w:r>
            <w:r w:rsidR="00BE2523">
              <w:rPr>
                <w:webHidden/>
              </w:rPr>
              <w:fldChar w:fldCharType="end"/>
            </w:r>
          </w:hyperlink>
        </w:p>
        <w:p w14:paraId="35F0BC6A" w14:textId="7F71E3E9" w:rsidR="00BE2523" w:rsidRDefault="00500704">
          <w:pPr>
            <w:pStyle w:val="30"/>
            <w:rPr>
              <w:rFonts w:asciiTheme="minorHAnsi" w:eastAsiaTheme="minorEastAsia" w:hAnsiTheme="minorHAnsi"/>
              <w:i w:val="0"/>
              <w:sz w:val="22"/>
              <w:szCs w:val="22"/>
              <w:lang w:eastAsia="el-GR"/>
            </w:rPr>
          </w:pPr>
          <w:hyperlink w:anchor="_Toc89172833" w:history="1">
            <w:r w:rsidR="00BE2523" w:rsidRPr="00F53081">
              <w:rPr>
                <w:rStyle w:val="-"/>
              </w:rPr>
              <w:t>1.1. Εκτέλεση προϋπολογισμού Γενικής Κυβέρνησης (ΓΚ) και εκτιμήσεις για το σύνολο του έτους</w:t>
            </w:r>
            <w:r w:rsidR="00BE2523">
              <w:rPr>
                <w:webHidden/>
              </w:rPr>
              <w:tab/>
            </w:r>
            <w:r w:rsidR="00BE2523">
              <w:rPr>
                <w:webHidden/>
              </w:rPr>
              <w:fldChar w:fldCharType="begin"/>
            </w:r>
            <w:r w:rsidR="00BE2523">
              <w:rPr>
                <w:webHidden/>
              </w:rPr>
              <w:instrText xml:space="preserve"> PAGEREF _Toc89172833 \h </w:instrText>
            </w:r>
            <w:r w:rsidR="00BE2523">
              <w:rPr>
                <w:webHidden/>
              </w:rPr>
            </w:r>
            <w:r w:rsidR="00BE2523">
              <w:rPr>
                <w:webHidden/>
              </w:rPr>
              <w:fldChar w:fldCharType="separate"/>
            </w:r>
            <w:r w:rsidR="0038196B">
              <w:rPr>
                <w:webHidden/>
              </w:rPr>
              <w:t>41</w:t>
            </w:r>
            <w:r w:rsidR="00BE2523">
              <w:rPr>
                <w:webHidden/>
              </w:rPr>
              <w:fldChar w:fldCharType="end"/>
            </w:r>
          </w:hyperlink>
        </w:p>
        <w:p w14:paraId="6F78FA1C" w14:textId="1BFD0071" w:rsidR="00BE2523" w:rsidRDefault="00500704">
          <w:pPr>
            <w:pStyle w:val="10"/>
            <w:rPr>
              <w:rFonts w:asciiTheme="minorHAnsi" w:eastAsiaTheme="minorEastAsia" w:hAnsiTheme="minorHAnsi" w:cstheme="minorBidi"/>
              <w:i w:val="0"/>
              <w:color w:val="auto"/>
              <w:spacing w:val="0"/>
            </w:rPr>
          </w:pPr>
          <w:hyperlink w:anchor="_Toc89172834" w:history="1">
            <w:r w:rsidR="00BE2523" w:rsidRPr="00F53081">
              <w:rPr>
                <w:rStyle w:val="-"/>
                <w:b/>
              </w:rPr>
              <w:t>Ένθετο: Μισθολογικό κόστος, προσωπικό και φορείς Γενικής Κυβέρνησης 2015-2020.</w:t>
            </w:r>
            <w:r w:rsidR="00BE2523">
              <w:rPr>
                <w:webHidden/>
              </w:rPr>
              <w:tab/>
            </w:r>
            <w:r w:rsidR="00BE2523">
              <w:rPr>
                <w:webHidden/>
              </w:rPr>
              <w:fldChar w:fldCharType="begin"/>
            </w:r>
            <w:r w:rsidR="00BE2523">
              <w:rPr>
                <w:webHidden/>
              </w:rPr>
              <w:instrText xml:space="preserve"> PAGEREF _Toc89172834 \h </w:instrText>
            </w:r>
            <w:r w:rsidR="00BE2523">
              <w:rPr>
                <w:webHidden/>
              </w:rPr>
            </w:r>
            <w:r w:rsidR="00BE2523">
              <w:rPr>
                <w:webHidden/>
              </w:rPr>
              <w:fldChar w:fldCharType="separate"/>
            </w:r>
            <w:r w:rsidR="0038196B">
              <w:rPr>
                <w:webHidden/>
              </w:rPr>
              <w:t>43</w:t>
            </w:r>
            <w:r w:rsidR="00BE2523">
              <w:rPr>
                <w:webHidden/>
              </w:rPr>
              <w:fldChar w:fldCharType="end"/>
            </w:r>
          </w:hyperlink>
        </w:p>
        <w:p w14:paraId="0F1FE894" w14:textId="1F2574BE" w:rsidR="00BE2523" w:rsidRDefault="00500704">
          <w:pPr>
            <w:pStyle w:val="30"/>
            <w:rPr>
              <w:rFonts w:asciiTheme="minorHAnsi" w:eastAsiaTheme="minorEastAsia" w:hAnsiTheme="minorHAnsi"/>
              <w:i w:val="0"/>
              <w:sz w:val="22"/>
              <w:szCs w:val="22"/>
              <w:lang w:eastAsia="el-GR"/>
            </w:rPr>
          </w:pPr>
          <w:hyperlink w:anchor="_Toc89172835" w:history="1">
            <w:r w:rsidR="00BE2523" w:rsidRPr="00F53081">
              <w:rPr>
                <w:rStyle w:val="-"/>
              </w:rPr>
              <w:t>1.2. Κρατικός Προϋπολογισμός (ΚΠ)</w:t>
            </w:r>
            <w:r w:rsidR="00BE2523">
              <w:rPr>
                <w:webHidden/>
              </w:rPr>
              <w:tab/>
            </w:r>
            <w:r w:rsidR="00BE2523">
              <w:rPr>
                <w:webHidden/>
              </w:rPr>
              <w:fldChar w:fldCharType="begin"/>
            </w:r>
            <w:r w:rsidR="00BE2523">
              <w:rPr>
                <w:webHidden/>
              </w:rPr>
              <w:instrText xml:space="preserve"> PAGEREF _Toc89172835 \h </w:instrText>
            </w:r>
            <w:r w:rsidR="00BE2523">
              <w:rPr>
                <w:webHidden/>
              </w:rPr>
            </w:r>
            <w:r w:rsidR="00BE2523">
              <w:rPr>
                <w:webHidden/>
              </w:rPr>
              <w:fldChar w:fldCharType="separate"/>
            </w:r>
            <w:r w:rsidR="0038196B">
              <w:rPr>
                <w:webHidden/>
              </w:rPr>
              <w:t>45</w:t>
            </w:r>
            <w:r w:rsidR="00BE2523">
              <w:rPr>
                <w:webHidden/>
              </w:rPr>
              <w:fldChar w:fldCharType="end"/>
            </w:r>
          </w:hyperlink>
        </w:p>
        <w:p w14:paraId="562A3887" w14:textId="3CFC6C6C" w:rsidR="00BE2523" w:rsidRDefault="00500704">
          <w:pPr>
            <w:pStyle w:val="30"/>
            <w:rPr>
              <w:rFonts w:asciiTheme="minorHAnsi" w:eastAsiaTheme="minorEastAsia" w:hAnsiTheme="minorHAnsi"/>
              <w:i w:val="0"/>
              <w:sz w:val="22"/>
              <w:szCs w:val="22"/>
              <w:lang w:eastAsia="el-GR"/>
            </w:rPr>
          </w:pPr>
          <w:hyperlink w:anchor="_Toc89172836" w:history="1">
            <w:r w:rsidR="00BE2523" w:rsidRPr="00F53081">
              <w:rPr>
                <w:rStyle w:val="-"/>
              </w:rPr>
              <w:t>1.3. Υποτομείς Γενικής Κυβέρνησης</w:t>
            </w:r>
            <w:r w:rsidR="00BE2523">
              <w:rPr>
                <w:webHidden/>
              </w:rPr>
              <w:tab/>
            </w:r>
            <w:r w:rsidR="00BE2523">
              <w:rPr>
                <w:webHidden/>
              </w:rPr>
              <w:fldChar w:fldCharType="begin"/>
            </w:r>
            <w:r w:rsidR="00BE2523">
              <w:rPr>
                <w:webHidden/>
              </w:rPr>
              <w:instrText xml:space="preserve"> PAGEREF _Toc89172836 \h </w:instrText>
            </w:r>
            <w:r w:rsidR="00BE2523">
              <w:rPr>
                <w:webHidden/>
              </w:rPr>
            </w:r>
            <w:r w:rsidR="00BE2523">
              <w:rPr>
                <w:webHidden/>
              </w:rPr>
              <w:fldChar w:fldCharType="separate"/>
            </w:r>
            <w:r w:rsidR="0038196B">
              <w:rPr>
                <w:webHidden/>
              </w:rPr>
              <w:t>49</w:t>
            </w:r>
            <w:r w:rsidR="00BE2523">
              <w:rPr>
                <w:webHidden/>
              </w:rPr>
              <w:fldChar w:fldCharType="end"/>
            </w:r>
          </w:hyperlink>
        </w:p>
        <w:p w14:paraId="2CC766D0" w14:textId="1526C3DB" w:rsidR="00BE2523" w:rsidRDefault="00500704">
          <w:pPr>
            <w:pStyle w:val="20"/>
            <w:rPr>
              <w:rFonts w:asciiTheme="minorHAnsi" w:eastAsiaTheme="minorEastAsia" w:hAnsiTheme="minorHAnsi"/>
              <w:lang w:eastAsia="el-GR"/>
            </w:rPr>
          </w:pPr>
          <w:hyperlink w:anchor="_Toc89172837" w:history="1">
            <w:r w:rsidR="00BE2523" w:rsidRPr="00F53081">
              <w:rPr>
                <w:rStyle w:val="-"/>
              </w:rPr>
              <w:t>2. Εξέλιξη ληξιπρόθεσμων υποχρεώσεων, απαιτήσεων και εγγυήσεων ελληνικού Δημοσίου</w:t>
            </w:r>
            <w:r w:rsidR="00BE2523">
              <w:rPr>
                <w:webHidden/>
              </w:rPr>
              <w:tab/>
            </w:r>
            <w:r w:rsidR="00BE2523">
              <w:rPr>
                <w:webHidden/>
              </w:rPr>
              <w:fldChar w:fldCharType="begin"/>
            </w:r>
            <w:r w:rsidR="00BE2523">
              <w:rPr>
                <w:webHidden/>
              </w:rPr>
              <w:instrText xml:space="preserve"> PAGEREF _Toc89172837 \h </w:instrText>
            </w:r>
            <w:r w:rsidR="00BE2523">
              <w:rPr>
                <w:webHidden/>
              </w:rPr>
            </w:r>
            <w:r w:rsidR="00BE2523">
              <w:rPr>
                <w:webHidden/>
              </w:rPr>
              <w:fldChar w:fldCharType="separate"/>
            </w:r>
            <w:r w:rsidR="0038196B">
              <w:rPr>
                <w:webHidden/>
              </w:rPr>
              <w:t>51</w:t>
            </w:r>
            <w:r w:rsidR="00BE2523">
              <w:rPr>
                <w:webHidden/>
              </w:rPr>
              <w:fldChar w:fldCharType="end"/>
            </w:r>
          </w:hyperlink>
        </w:p>
        <w:p w14:paraId="78C0163F" w14:textId="71F25FFE" w:rsidR="00BE2523" w:rsidRDefault="00500704">
          <w:pPr>
            <w:pStyle w:val="30"/>
            <w:rPr>
              <w:rFonts w:asciiTheme="minorHAnsi" w:eastAsiaTheme="minorEastAsia" w:hAnsiTheme="minorHAnsi"/>
              <w:i w:val="0"/>
              <w:sz w:val="22"/>
              <w:szCs w:val="22"/>
              <w:lang w:eastAsia="el-GR"/>
            </w:rPr>
          </w:pPr>
          <w:hyperlink w:anchor="_Toc89172838" w:history="1">
            <w:r w:rsidR="00BE2523" w:rsidRPr="00F53081">
              <w:rPr>
                <w:rStyle w:val="-"/>
              </w:rPr>
              <w:t>2.1. Ληξιπρόθεσμες υποχρεώσεις Γενικής Κυβέρνησης</w:t>
            </w:r>
            <w:r w:rsidR="00BE2523">
              <w:rPr>
                <w:webHidden/>
              </w:rPr>
              <w:tab/>
            </w:r>
            <w:r w:rsidR="00BE2523">
              <w:rPr>
                <w:webHidden/>
              </w:rPr>
              <w:fldChar w:fldCharType="begin"/>
            </w:r>
            <w:r w:rsidR="00BE2523">
              <w:rPr>
                <w:webHidden/>
              </w:rPr>
              <w:instrText xml:space="preserve"> PAGEREF _Toc89172838 \h </w:instrText>
            </w:r>
            <w:r w:rsidR="00BE2523">
              <w:rPr>
                <w:webHidden/>
              </w:rPr>
            </w:r>
            <w:r w:rsidR="00BE2523">
              <w:rPr>
                <w:webHidden/>
              </w:rPr>
              <w:fldChar w:fldCharType="separate"/>
            </w:r>
            <w:r w:rsidR="0038196B">
              <w:rPr>
                <w:webHidden/>
              </w:rPr>
              <w:t>51</w:t>
            </w:r>
            <w:r w:rsidR="00BE2523">
              <w:rPr>
                <w:webHidden/>
              </w:rPr>
              <w:fldChar w:fldCharType="end"/>
            </w:r>
          </w:hyperlink>
        </w:p>
        <w:p w14:paraId="7C22632C" w14:textId="56A721A8" w:rsidR="00BE2523" w:rsidRDefault="00500704">
          <w:pPr>
            <w:pStyle w:val="30"/>
            <w:rPr>
              <w:rFonts w:asciiTheme="minorHAnsi" w:eastAsiaTheme="minorEastAsia" w:hAnsiTheme="minorHAnsi"/>
              <w:i w:val="0"/>
              <w:sz w:val="22"/>
              <w:szCs w:val="22"/>
              <w:lang w:eastAsia="el-GR"/>
            </w:rPr>
          </w:pPr>
          <w:hyperlink w:anchor="_Toc89172839" w:history="1">
            <w:r w:rsidR="00BE2523" w:rsidRPr="00F53081">
              <w:rPr>
                <w:rStyle w:val="-"/>
              </w:rPr>
              <w:t>2.2. Ληξιπρόθεσμες απαιτήσεις του ελληνικού Δημοσίου</w:t>
            </w:r>
            <w:r w:rsidR="00BE2523">
              <w:rPr>
                <w:webHidden/>
              </w:rPr>
              <w:tab/>
            </w:r>
            <w:r w:rsidR="00BE2523">
              <w:rPr>
                <w:webHidden/>
              </w:rPr>
              <w:fldChar w:fldCharType="begin"/>
            </w:r>
            <w:r w:rsidR="00BE2523">
              <w:rPr>
                <w:webHidden/>
              </w:rPr>
              <w:instrText xml:space="preserve"> PAGEREF _Toc89172839 \h </w:instrText>
            </w:r>
            <w:r w:rsidR="00BE2523">
              <w:rPr>
                <w:webHidden/>
              </w:rPr>
            </w:r>
            <w:r w:rsidR="00BE2523">
              <w:rPr>
                <w:webHidden/>
              </w:rPr>
              <w:fldChar w:fldCharType="separate"/>
            </w:r>
            <w:r w:rsidR="0038196B">
              <w:rPr>
                <w:webHidden/>
              </w:rPr>
              <w:t>53</w:t>
            </w:r>
            <w:r w:rsidR="00BE2523">
              <w:rPr>
                <w:webHidden/>
              </w:rPr>
              <w:fldChar w:fldCharType="end"/>
            </w:r>
          </w:hyperlink>
        </w:p>
        <w:p w14:paraId="4E438B97" w14:textId="29DCC3A6" w:rsidR="00BE2523" w:rsidRDefault="00500704">
          <w:pPr>
            <w:pStyle w:val="30"/>
            <w:rPr>
              <w:rFonts w:asciiTheme="minorHAnsi" w:eastAsiaTheme="minorEastAsia" w:hAnsiTheme="minorHAnsi"/>
              <w:i w:val="0"/>
              <w:sz w:val="22"/>
              <w:szCs w:val="22"/>
              <w:lang w:eastAsia="el-GR"/>
            </w:rPr>
          </w:pPr>
          <w:hyperlink w:anchor="_Toc89172840" w:history="1">
            <w:r w:rsidR="00BE2523" w:rsidRPr="00F53081">
              <w:rPr>
                <w:rStyle w:val="-"/>
              </w:rPr>
              <w:t>2.3. Εγγυήσεις ελληνικού Δημοσίου</w:t>
            </w:r>
            <w:r w:rsidR="00BE2523">
              <w:rPr>
                <w:webHidden/>
              </w:rPr>
              <w:tab/>
            </w:r>
            <w:r w:rsidR="00BE2523">
              <w:rPr>
                <w:webHidden/>
              </w:rPr>
              <w:fldChar w:fldCharType="begin"/>
            </w:r>
            <w:r w:rsidR="00BE2523">
              <w:rPr>
                <w:webHidden/>
              </w:rPr>
              <w:instrText xml:space="preserve"> PAGEREF _Toc89172840 \h </w:instrText>
            </w:r>
            <w:r w:rsidR="00BE2523">
              <w:rPr>
                <w:webHidden/>
              </w:rPr>
            </w:r>
            <w:r w:rsidR="00BE2523">
              <w:rPr>
                <w:webHidden/>
              </w:rPr>
              <w:fldChar w:fldCharType="separate"/>
            </w:r>
            <w:r w:rsidR="0038196B">
              <w:rPr>
                <w:webHidden/>
              </w:rPr>
              <w:t>54</w:t>
            </w:r>
            <w:r w:rsidR="00BE2523">
              <w:rPr>
                <w:webHidden/>
              </w:rPr>
              <w:fldChar w:fldCharType="end"/>
            </w:r>
          </w:hyperlink>
        </w:p>
        <w:p w14:paraId="104EFC65" w14:textId="66C66019" w:rsidR="00BE2523" w:rsidRDefault="00500704">
          <w:pPr>
            <w:pStyle w:val="20"/>
            <w:rPr>
              <w:rFonts w:asciiTheme="minorHAnsi" w:eastAsiaTheme="minorEastAsia" w:hAnsiTheme="minorHAnsi"/>
              <w:lang w:eastAsia="el-GR"/>
            </w:rPr>
          </w:pPr>
          <w:hyperlink w:anchor="_Toc89172841" w:history="1">
            <w:r w:rsidR="00BE2523" w:rsidRPr="00F53081">
              <w:rPr>
                <w:rStyle w:val="-"/>
              </w:rPr>
              <w:t>3. Δημόσιο Χρέος</w:t>
            </w:r>
            <w:r w:rsidR="00BE2523">
              <w:rPr>
                <w:webHidden/>
              </w:rPr>
              <w:tab/>
            </w:r>
            <w:r w:rsidR="00BE2523">
              <w:rPr>
                <w:webHidden/>
              </w:rPr>
              <w:fldChar w:fldCharType="begin"/>
            </w:r>
            <w:r w:rsidR="00BE2523">
              <w:rPr>
                <w:webHidden/>
              </w:rPr>
              <w:instrText xml:space="preserve"> PAGEREF _Toc89172841 \h </w:instrText>
            </w:r>
            <w:r w:rsidR="00BE2523">
              <w:rPr>
                <w:webHidden/>
              </w:rPr>
            </w:r>
            <w:r w:rsidR="00BE2523">
              <w:rPr>
                <w:webHidden/>
              </w:rPr>
              <w:fldChar w:fldCharType="separate"/>
            </w:r>
            <w:r w:rsidR="0038196B">
              <w:rPr>
                <w:webHidden/>
              </w:rPr>
              <w:t>58</w:t>
            </w:r>
            <w:r w:rsidR="00BE2523">
              <w:rPr>
                <w:webHidden/>
              </w:rPr>
              <w:fldChar w:fldCharType="end"/>
            </w:r>
          </w:hyperlink>
        </w:p>
        <w:p w14:paraId="41356EAE" w14:textId="2ED8B6DB" w:rsidR="00BE2523" w:rsidRDefault="00500704">
          <w:pPr>
            <w:pStyle w:val="20"/>
            <w:rPr>
              <w:rFonts w:asciiTheme="minorHAnsi" w:eastAsiaTheme="minorEastAsia" w:hAnsiTheme="minorHAnsi"/>
              <w:lang w:eastAsia="el-GR"/>
            </w:rPr>
          </w:pPr>
          <w:hyperlink w:anchor="_Toc89172842" w:history="1">
            <w:r w:rsidR="00BE2523" w:rsidRPr="00F53081">
              <w:rPr>
                <w:rStyle w:val="-"/>
              </w:rPr>
              <w:t>4. Συγκριτική ανάλυση για το 2021 και δημοσιονομικοί στόχοι για το 2022.</w:t>
            </w:r>
            <w:r w:rsidR="00BE2523">
              <w:rPr>
                <w:webHidden/>
              </w:rPr>
              <w:tab/>
            </w:r>
            <w:r w:rsidR="00BE2523">
              <w:rPr>
                <w:webHidden/>
              </w:rPr>
              <w:fldChar w:fldCharType="begin"/>
            </w:r>
            <w:r w:rsidR="00BE2523">
              <w:rPr>
                <w:webHidden/>
              </w:rPr>
              <w:instrText xml:space="preserve"> PAGEREF _Toc89172842 \h </w:instrText>
            </w:r>
            <w:r w:rsidR="00BE2523">
              <w:rPr>
                <w:webHidden/>
              </w:rPr>
            </w:r>
            <w:r w:rsidR="00BE2523">
              <w:rPr>
                <w:webHidden/>
              </w:rPr>
              <w:fldChar w:fldCharType="separate"/>
            </w:r>
            <w:r w:rsidR="0038196B">
              <w:rPr>
                <w:webHidden/>
              </w:rPr>
              <w:t>61</w:t>
            </w:r>
            <w:r w:rsidR="00BE2523">
              <w:rPr>
                <w:webHidden/>
              </w:rPr>
              <w:fldChar w:fldCharType="end"/>
            </w:r>
          </w:hyperlink>
        </w:p>
        <w:p w14:paraId="39E3E7B2" w14:textId="4E39122A" w:rsidR="00BE2523" w:rsidRDefault="00500704">
          <w:pPr>
            <w:pStyle w:val="30"/>
            <w:rPr>
              <w:rFonts w:asciiTheme="minorHAnsi" w:eastAsiaTheme="minorEastAsia" w:hAnsiTheme="minorHAnsi"/>
              <w:i w:val="0"/>
              <w:sz w:val="22"/>
              <w:szCs w:val="22"/>
              <w:lang w:eastAsia="el-GR"/>
            </w:rPr>
          </w:pPr>
          <w:hyperlink w:anchor="_Toc89172843" w:history="1">
            <w:r w:rsidR="00BE2523" w:rsidRPr="00F53081">
              <w:rPr>
                <w:rStyle w:val="-"/>
              </w:rPr>
              <w:t>4.1. Δημοσιονομικές εκτιμήσεις 2021: μια συγκριτική ανάλυση</w:t>
            </w:r>
            <w:r w:rsidR="00BE2523">
              <w:rPr>
                <w:webHidden/>
              </w:rPr>
              <w:tab/>
            </w:r>
            <w:r w:rsidR="00BE2523">
              <w:rPr>
                <w:webHidden/>
              </w:rPr>
              <w:fldChar w:fldCharType="begin"/>
            </w:r>
            <w:r w:rsidR="00BE2523">
              <w:rPr>
                <w:webHidden/>
              </w:rPr>
              <w:instrText xml:space="preserve"> PAGEREF _Toc89172843 \h </w:instrText>
            </w:r>
            <w:r w:rsidR="00BE2523">
              <w:rPr>
                <w:webHidden/>
              </w:rPr>
            </w:r>
            <w:r w:rsidR="00BE2523">
              <w:rPr>
                <w:webHidden/>
              </w:rPr>
              <w:fldChar w:fldCharType="separate"/>
            </w:r>
            <w:r w:rsidR="0038196B">
              <w:rPr>
                <w:webHidden/>
              </w:rPr>
              <w:t>61</w:t>
            </w:r>
            <w:r w:rsidR="00BE2523">
              <w:rPr>
                <w:webHidden/>
              </w:rPr>
              <w:fldChar w:fldCharType="end"/>
            </w:r>
          </w:hyperlink>
        </w:p>
        <w:p w14:paraId="773C7360" w14:textId="42EFAB83" w:rsidR="00BE2523" w:rsidRDefault="00500704">
          <w:pPr>
            <w:pStyle w:val="30"/>
            <w:rPr>
              <w:rFonts w:asciiTheme="minorHAnsi" w:eastAsiaTheme="minorEastAsia" w:hAnsiTheme="minorHAnsi"/>
              <w:i w:val="0"/>
              <w:sz w:val="22"/>
              <w:szCs w:val="22"/>
              <w:lang w:eastAsia="el-GR"/>
            </w:rPr>
          </w:pPr>
          <w:hyperlink w:anchor="_Toc89172844" w:history="1">
            <w:r w:rsidR="00BE2523" w:rsidRPr="00F53081">
              <w:rPr>
                <w:rStyle w:val="-"/>
              </w:rPr>
              <w:t>4.2. Δημοσιονομικές προβλέψεις για το 2022</w:t>
            </w:r>
            <w:r w:rsidR="00BE2523">
              <w:rPr>
                <w:webHidden/>
              </w:rPr>
              <w:tab/>
            </w:r>
            <w:r w:rsidR="00BE2523">
              <w:rPr>
                <w:webHidden/>
              </w:rPr>
              <w:fldChar w:fldCharType="begin"/>
            </w:r>
            <w:r w:rsidR="00BE2523">
              <w:rPr>
                <w:webHidden/>
              </w:rPr>
              <w:instrText xml:space="preserve"> PAGEREF _Toc89172844 \h </w:instrText>
            </w:r>
            <w:r w:rsidR="00BE2523">
              <w:rPr>
                <w:webHidden/>
              </w:rPr>
            </w:r>
            <w:r w:rsidR="00BE2523">
              <w:rPr>
                <w:webHidden/>
              </w:rPr>
              <w:fldChar w:fldCharType="separate"/>
            </w:r>
            <w:r w:rsidR="0038196B">
              <w:rPr>
                <w:webHidden/>
              </w:rPr>
              <w:t>64</w:t>
            </w:r>
            <w:r w:rsidR="00BE2523">
              <w:rPr>
                <w:webHidden/>
              </w:rPr>
              <w:fldChar w:fldCharType="end"/>
            </w:r>
          </w:hyperlink>
        </w:p>
        <w:p w14:paraId="6523104D" w14:textId="5F1C22AA" w:rsidR="00BE2523" w:rsidRDefault="00500704">
          <w:pPr>
            <w:pStyle w:val="20"/>
            <w:rPr>
              <w:rFonts w:asciiTheme="minorHAnsi" w:eastAsiaTheme="minorEastAsia" w:hAnsiTheme="minorHAnsi"/>
              <w:lang w:eastAsia="el-GR"/>
            </w:rPr>
          </w:pPr>
          <w:hyperlink w:anchor="_Toc89172845" w:history="1">
            <w:r w:rsidR="00BE2523" w:rsidRPr="00F53081">
              <w:rPr>
                <w:rStyle w:val="-"/>
                <w:i/>
              </w:rPr>
              <w:t>ΠΑΡΑΡΤΗΜΑ: Η Εξέλιξη του πλαισίου Δημοσιονομικής Διακυβέρνησης της Ευρωπαϊκής Ένωσης</w:t>
            </w:r>
            <w:r w:rsidR="00BE2523">
              <w:rPr>
                <w:webHidden/>
              </w:rPr>
              <w:tab/>
            </w:r>
            <w:r w:rsidR="00BE2523">
              <w:rPr>
                <w:webHidden/>
              </w:rPr>
              <w:fldChar w:fldCharType="begin"/>
            </w:r>
            <w:r w:rsidR="00BE2523">
              <w:rPr>
                <w:webHidden/>
              </w:rPr>
              <w:instrText xml:space="preserve"> PAGEREF _Toc89172845 \h </w:instrText>
            </w:r>
            <w:r w:rsidR="00BE2523">
              <w:rPr>
                <w:webHidden/>
              </w:rPr>
            </w:r>
            <w:r w:rsidR="00BE2523">
              <w:rPr>
                <w:webHidden/>
              </w:rPr>
              <w:fldChar w:fldCharType="separate"/>
            </w:r>
            <w:r w:rsidR="0038196B">
              <w:rPr>
                <w:webHidden/>
              </w:rPr>
              <w:t>66</w:t>
            </w:r>
            <w:r w:rsidR="00BE2523">
              <w:rPr>
                <w:webHidden/>
              </w:rPr>
              <w:fldChar w:fldCharType="end"/>
            </w:r>
          </w:hyperlink>
        </w:p>
        <w:p w14:paraId="098E7AB1" w14:textId="7DB2C2DF" w:rsidR="00247E25" w:rsidRPr="00743A5E" w:rsidRDefault="00247E25" w:rsidP="00A94AB4">
          <w:pPr>
            <w:pStyle w:val="10"/>
          </w:pPr>
          <w:r w:rsidRPr="00910A75">
            <w:lastRenderedPageBreak/>
            <w:fldChar w:fldCharType="end"/>
          </w:r>
        </w:p>
      </w:sdtContent>
    </w:sdt>
    <w:p w14:paraId="4729B852" w14:textId="1D748954" w:rsidR="00247E25" w:rsidRPr="00D37923" w:rsidRDefault="00247E25" w:rsidP="008E5601"/>
    <w:p w14:paraId="6D7C01B9" w14:textId="7751254E" w:rsidR="00C233BE" w:rsidRDefault="00C233BE">
      <w:pPr>
        <w:spacing w:after="160" w:line="0" w:lineRule="auto"/>
        <w:jc w:val="left"/>
      </w:pPr>
      <w:r>
        <w:br w:type="page"/>
      </w:r>
    </w:p>
    <w:p w14:paraId="1FEE2F87" w14:textId="342C3170" w:rsidR="00D365BB" w:rsidRPr="00EB7AF8" w:rsidRDefault="008D2932" w:rsidP="008E5601">
      <w:pPr>
        <w:rPr>
          <w:b/>
          <w:color w:val="00A3E0"/>
          <w:sz w:val="28"/>
          <w:szCs w:val="28"/>
        </w:rPr>
      </w:pPr>
      <w:r w:rsidRPr="00EB7AF8">
        <w:rPr>
          <w:b/>
          <w:color w:val="00A3E0"/>
          <w:sz w:val="28"/>
          <w:szCs w:val="28"/>
        </w:rPr>
        <w:lastRenderedPageBreak/>
        <w:t>Ευρετήριο Πινάκων</w:t>
      </w:r>
    </w:p>
    <w:p w14:paraId="606B14B6" w14:textId="5F7E08E8" w:rsidR="00BE2523" w:rsidRDefault="00D365BB">
      <w:pPr>
        <w:pStyle w:val="af"/>
        <w:tabs>
          <w:tab w:val="right" w:leader="dot" w:pos="8302"/>
        </w:tabs>
        <w:rPr>
          <w:rFonts w:asciiTheme="minorHAnsi" w:eastAsiaTheme="minorEastAsia" w:hAnsiTheme="minorHAnsi"/>
          <w:noProof/>
          <w:color w:val="auto"/>
          <w:lang w:eastAsia="el-GR"/>
        </w:rPr>
      </w:pPr>
      <w:r w:rsidRPr="00D0444F">
        <w:rPr>
          <w:i/>
        </w:rPr>
        <w:fldChar w:fldCharType="begin"/>
      </w:r>
      <w:r w:rsidRPr="00D0444F">
        <w:rPr>
          <w:i/>
        </w:rPr>
        <w:instrText xml:space="preserve"> TOC \h \z \c "Πίνακας" </w:instrText>
      </w:r>
      <w:r w:rsidRPr="00D0444F">
        <w:rPr>
          <w:i/>
        </w:rPr>
        <w:fldChar w:fldCharType="separate"/>
      </w:r>
      <w:hyperlink w:anchor="_Toc89172846" w:history="1">
        <w:r w:rsidR="00BE2523" w:rsidRPr="00A15F36">
          <w:rPr>
            <w:rStyle w:val="-"/>
            <w:b/>
            <w:noProof/>
          </w:rPr>
          <w:t>Πίνακας 1:</w:t>
        </w:r>
        <w:r w:rsidR="00BE2523" w:rsidRPr="00A15F36">
          <w:rPr>
            <w:rStyle w:val="-"/>
            <w:b/>
            <w:iCs/>
            <w:noProof/>
          </w:rPr>
          <w:t xml:space="preserve"> </w:t>
        </w:r>
        <w:r w:rsidR="00BE2523" w:rsidRPr="00A15F36">
          <w:rPr>
            <w:rStyle w:val="-"/>
            <w:noProof/>
          </w:rPr>
          <w:t>ΑΕΠ α’ εξαμήνου 2021 και συνιστώσες δαπάνης</w:t>
        </w:r>
        <w:r w:rsidR="00BE2523">
          <w:rPr>
            <w:noProof/>
            <w:webHidden/>
          </w:rPr>
          <w:tab/>
        </w:r>
        <w:r w:rsidR="00BE2523">
          <w:rPr>
            <w:noProof/>
            <w:webHidden/>
          </w:rPr>
          <w:fldChar w:fldCharType="begin"/>
        </w:r>
        <w:r w:rsidR="00BE2523">
          <w:rPr>
            <w:noProof/>
            <w:webHidden/>
          </w:rPr>
          <w:instrText xml:space="preserve"> PAGEREF _Toc89172846 \h </w:instrText>
        </w:r>
        <w:r w:rsidR="00BE2523">
          <w:rPr>
            <w:noProof/>
            <w:webHidden/>
          </w:rPr>
        </w:r>
        <w:r w:rsidR="00BE2523">
          <w:rPr>
            <w:noProof/>
            <w:webHidden/>
          </w:rPr>
          <w:fldChar w:fldCharType="separate"/>
        </w:r>
        <w:r w:rsidR="0038196B">
          <w:rPr>
            <w:noProof/>
            <w:webHidden/>
          </w:rPr>
          <w:t>11</w:t>
        </w:r>
        <w:r w:rsidR="00BE2523">
          <w:rPr>
            <w:noProof/>
            <w:webHidden/>
          </w:rPr>
          <w:fldChar w:fldCharType="end"/>
        </w:r>
      </w:hyperlink>
    </w:p>
    <w:p w14:paraId="070664B6" w14:textId="0D2F2819" w:rsidR="00BE2523" w:rsidRDefault="00500704">
      <w:pPr>
        <w:pStyle w:val="af"/>
        <w:tabs>
          <w:tab w:val="right" w:leader="dot" w:pos="8302"/>
        </w:tabs>
        <w:rPr>
          <w:rFonts w:asciiTheme="minorHAnsi" w:eastAsiaTheme="minorEastAsia" w:hAnsiTheme="minorHAnsi"/>
          <w:noProof/>
          <w:color w:val="auto"/>
          <w:lang w:eastAsia="el-GR"/>
        </w:rPr>
      </w:pPr>
      <w:hyperlink w:anchor="_Toc89172847" w:history="1">
        <w:r w:rsidR="00BE2523" w:rsidRPr="00A15F36">
          <w:rPr>
            <w:rStyle w:val="-"/>
            <w:b/>
            <w:noProof/>
          </w:rPr>
          <w:t>Πίνακας 2:</w:t>
        </w:r>
        <w:r w:rsidR="00BE2523" w:rsidRPr="00A15F36">
          <w:rPr>
            <w:rStyle w:val="-"/>
            <w:b/>
            <w:iCs/>
            <w:noProof/>
          </w:rPr>
          <w:t xml:space="preserve"> </w:t>
        </w:r>
        <w:r w:rsidR="00BE2523" w:rsidRPr="00A15F36">
          <w:rPr>
            <w:rStyle w:val="-"/>
            <w:noProof/>
          </w:rPr>
          <w:t>Ακαθάριστος σχηματισμός παγίου κεφαλαίου ανά κατηγορία (σε εκατ. ευρώ).</w:t>
        </w:r>
        <w:r w:rsidR="00BE2523">
          <w:rPr>
            <w:noProof/>
            <w:webHidden/>
          </w:rPr>
          <w:tab/>
        </w:r>
        <w:r w:rsidR="00BE2523">
          <w:rPr>
            <w:noProof/>
            <w:webHidden/>
          </w:rPr>
          <w:fldChar w:fldCharType="begin"/>
        </w:r>
        <w:r w:rsidR="00BE2523">
          <w:rPr>
            <w:noProof/>
            <w:webHidden/>
          </w:rPr>
          <w:instrText xml:space="preserve"> PAGEREF _Toc89172847 \h </w:instrText>
        </w:r>
        <w:r w:rsidR="00BE2523">
          <w:rPr>
            <w:noProof/>
            <w:webHidden/>
          </w:rPr>
        </w:r>
        <w:r w:rsidR="00BE2523">
          <w:rPr>
            <w:noProof/>
            <w:webHidden/>
          </w:rPr>
          <w:fldChar w:fldCharType="separate"/>
        </w:r>
        <w:r w:rsidR="0038196B">
          <w:rPr>
            <w:noProof/>
            <w:webHidden/>
          </w:rPr>
          <w:t>11</w:t>
        </w:r>
        <w:r w:rsidR="00BE2523">
          <w:rPr>
            <w:noProof/>
            <w:webHidden/>
          </w:rPr>
          <w:fldChar w:fldCharType="end"/>
        </w:r>
      </w:hyperlink>
    </w:p>
    <w:p w14:paraId="1B523E63" w14:textId="63C6FAEC" w:rsidR="00BE2523" w:rsidRDefault="00500704">
      <w:pPr>
        <w:pStyle w:val="af"/>
        <w:tabs>
          <w:tab w:val="right" w:leader="dot" w:pos="8302"/>
        </w:tabs>
        <w:rPr>
          <w:rFonts w:asciiTheme="minorHAnsi" w:eastAsiaTheme="minorEastAsia" w:hAnsiTheme="minorHAnsi"/>
          <w:noProof/>
          <w:color w:val="auto"/>
          <w:lang w:eastAsia="el-GR"/>
        </w:rPr>
      </w:pPr>
      <w:hyperlink w:anchor="_Toc89172848" w:history="1">
        <w:r w:rsidR="00BE2523" w:rsidRPr="00A15F36">
          <w:rPr>
            <w:rStyle w:val="-"/>
            <w:b/>
            <w:noProof/>
          </w:rPr>
          <w:t>Πίνακας 3:</w:t>
        </w:r>
        <w:r w:rsidR="00BE2523" w:rsidRPr="00A15F36">
          <w:rPr>
            <w:rStyle w:val="-"/>
            <w:b/>
            <w:iCs/>
            <w:noProof/>
          </w:rPr>
          <w:t xml:space="preserve"> </w:t>
        </w:r>
        <w:r w:rsidR="00BE2523" w:rsidRPr="00A15F36">
          <w:rPr>
            <w:rStyle w:val="-"/>
            <w:noProof/>
          </w:rPr>
          <w:t>Εισαγωγές και εξαγωγές αγαθών και υπηρεσιών (σε εκατ. ευρώ)</w:t>
        </w:r>
        <w:r w:rsidR="00BE2523">
          <w:rPr>
            <w:noProof/>
            <w:webHidden/>
          </w:rPr>
          <w:tab/>
        </w:r>
        <w:r w:rsidR="00BE2523">
          <w:rPr>
            <w:noProof/>
            <w:webHidden/>
          </w:rPr>
          <w:fldChar w:fldCharType="begin"/>
        </w:r>
        <w:r w:rsidR="00BE2523">
          <w:rPr>
            <w:noProof/>
            <w:webHidden/>
          </w:rPr>
          <w:instrText xml:space="preserve"> PAGEREF _Toc89172848 \h </w:instrText>
        </w:r>
        <w:r w:rsidR="00BE2523">
          <w:rPr>
            <w:noProof/>
            <w:webHidden/>
          </w:rPr>
        </w:r>
        <w:r w:rsidR="00BE2523">
          <w:rPr>
            <w:noProof/>
            <w:webHidden/>
          </w:rPr>
          <w:fldChar w:fldCharType="separate"/>
        </w:r>
        <w:r w:rsidR="0038196B">
          <w:rPr>
            <w:noProof/>
            <w:webHidden/>
          </w:rPr>
          <w:t>12</w:t>
        </w:r>
        <w:r w:rsidR="00BE2523">
          <w:rPr>
            <w:noProof/>
            <w:webHidden/>
          </w:rPr>
          <w:fldChar w:fldCharType="end"/>
        </w:r>
      </w:hyperlink>
    </w:p>
    <w:p w14:paraId="3D300C25" w14:textId="6ABF19FD" w:rsidR="00BE2523" w:rsidRDefault="00500704">
      <w:pPr>
        <w:pStyle w:val="af"/>
        <w:tabs>
          <w:tab w:val="right" w:leader="dot" w:pos="8302"/>
        </w:tabs>
        <w:rPr>
          <w:rFonts w:asciiTheme="minorHAnsi" w:eastAsiaTheme="minorEastAsia" w:hAnsiTheme="minorHAnsi"/>
          <w:noProof/>
          <w:color w:val="auto"/>
          <w:lang w:eastAsia="el-GR"/>
        </w:rPr>
      </w:pPr>
      <w:hyperlink w:anchor="_Toc89172849" w:history="1">
        <w:r w:rsidR="00BE2523" w:rsidRPr="00A15F36">
          <w:rPr>
            <w:rStyle w:val="-"/>
            <w:b/>
            <w:noProof/>
          </w:rPr>
          <w:t>Πίνακας 4:</w:t>
        </w:r>
        <w:r w:rsidR="00BE2523" w:rsidRPr="00A15F36">
          <w:rPr>
            <w:rStyle w:val="-"/>
            <w:b/>
            <w:iCs/>
            <w:noProof/>
          </w:rPr>
          <w:t xml:space="preserve"> </w:t>
        </w:r>
        <w:r w:rsidR="00BE2523" w:rsidRPr="00A15F36">
          <w:rPr>
            <w:rStyle w:val="-"/>
            <w:rFonts w:eastAsia="Calibri" w:cs="Times New Roman"/>
            <w:noProof/>
          </w:rPr>
          <w:t>Προβλέψεις για τη μεγέθυνση  του ΑΕΠ, σύμφωνα με εγχώριους και διεθνείς φορείς (σταθερές τιμές 2010)</w:t>
        </w:r>
        <w:r w:rsidR="00BE2523">
          <w:rPr>
            <w:noProof/>
            <w:webHidden/>
          </w:rPr>
          <w:tab/>
        </w:r>
        <w:r w:rsidR="00BE2523">
          <w:rPr>
            <w:noProof/>
            <w:webHidden/>
          </w:rPr>
          <w:fldChar w:fldCharType="begin"/>
        </w:r>
        <w:r w:rsidR="00BE2523">
          <w:rPr>
            <w:noProof/>
            <w:webHidden/>
          </w:rPr>
          <w:instrText xml:space="preserve"> PAGEREF _Toc89172849 \h </w:instrText>
        </w:r>
        <w:r w:rsidR="00BE2523">
          <w:rPr>
            <w:noProof/>
            <w:webHidden/>
          </w:rPr>
        </w:r>
        <w:r w:rsidR="00BE2523">
          <w:rPr>
            <w:noProof/>
            <w:webHidden/>
          </w:rPr>
          <w:fldChar w:fldCharType="separate"/>
        </w:r>
        <w:r w:rsidR="0038196B">
          <w:rPr>
            <w:noProof/>
            <w:webHidden/>
          </w:rPr>
          <w:t>37</w:t>
        </w:r>
        <w:r w:rsidR="00BE2523">
          <w:rPr>
            <w:noProof/>
            <w:webHidden/>
          </w:rPr>
          <w:fldChar w:fldCharType="end"/>
        </w:r>
      </w:hyperlink>
    </w:p>
    <w:p w14:paraId="774EB969" w14:textId="17E5AC0C" w:rsidR="00BE2523" w:rsidRDefault="00500704">
      <w:pPr>
        <w:pStyle w:val="af"/>
        <w:tabs>
          <w:tab w:val="right" w:leader="dot" w:pos="8302"/>
        </w:tabs>
        <w:rPr>
          <w:rFonts w:asciiTheme="minorHAnsi" w:eastAsiaTheme="minorEastAsia" w:hAnsiTheme="minorHAnsi"/>
          <w:noProof/>
          <w:color w:val="auto"/>
          <w:lang w:eastAsia="el-GR"/>
        </w:rPr>
      </w:pPr>
      <w:hyperlink w:anchor="_Toc89172850" w:history="1">
        <w:r w:rsidR="00BE2523" w:rsidRPr="00A15F36">
          <w:rPr>
            <w:rStyle w:val="-"/>
            <w:b/>
            <w:noProof/>
          </w:rPr>
          <w:t>Πίνακας 5:</w:t>
        </w:r>
        <w:r w:rsidR="00BE2523" w:rsidRPr="00A15F36">
          <w:rPr>
            <w:rStyle w:val="-"/>
            <w:b/>
            <w:iCs/>
            <w:noProof/>
          </w:rPr>
          <w:t xml:space="preserve"> </w:t>
        </w:r>
        <w:r w:rsidR="00BE2523" w:rsidRPr="00A15F36">
          <w:rPr>
            <w:rStyle w:val="-"/>
            <w:rFonts w:eastAsia="Calibri" w:cs="Times New Roman"/>
            <w:iCs/>
            <w:noProof/>
          </w:rPr>
          <w:t>Προβλέψεις για ετήσια μεταβολή των συνιστωσών του ΑΕΠ σε σταθερές τιμές 2015</w:t>
        </w:r>
        <w:r w:rsidR="00BE2523">
          <w:rPr>
            <w:noProof/>
            <w:webHidden/>
          </w:rPr>
          <w:tab/>
        </w:r>
        <w:r w:rsidR="00BE2523">
          <w:rPr>
            <w:noProof/>
            <w:webHidden/>
          </w:rPr>
          <w:fldChar w:fldCharType="begin"/>
        </w:r>
        <w:r w:rsidR="00BE2523">
          <w:rPr>
            <w:noProof/>
            <w:webHidden/>
          </w:rPr>
          <w:instrText xml:space="preserve"> PAGEREF _Toc89172850 \h </w:instrText>
        </w:r>
        <w:r w:rsidR="00BE2523">
          <w:rPr>
            <w:noProof/>
            <w:webHidden/>
          </w:rPr>
        </w:r>
        <w:r w:rsidR="00BE2523">
          <w:rPr>
            <w:noProof/>
            <w:webHidden/>
          </w:rPr>
          <w:fldChar w:fldCharType="separate"/>
        </w:r>
        <w:r w:rsidR="0038196B">
          <w:rPr>
            <w:noProof/>
            <w:webHidden/>
          </w:rPr>
          <w:t>38</w:t>
        </w:r>
        <w:r w:rsidR="00BE2523">
          <w:rPr>
            <w:noProof/>
            <w:webHidden/>
          </w:rPr>
          <w:fldChar w:fldCharType="end"/>
        </w:r>
      </w:hyperlink>
    </w:p>
    <w:p w14:paraId="222BE669" w14:textId="3DBAB0FE" w:rsidR="00BE2523" w:rsidRDefault="00500704">
      <w:pPr>
        <w:pStyle w:val="af"/>
        <w:tabs>
          <w:tab w:val="right" w:leader="dot" w:pos="8302"/>
        </w:tabs>
        <w:rPr>
          <w:rFonts w:asciiTheme="minorHAnsi" w:eastAsiaTheme="minorEastAsia" w:hAnsiTheme="minorHAnsi"/>
          <w:noProof/>
          <w:color w:val="auto"/>
          <w:lang w:eastAsia="el-GR"/>
        </w:rPr>
      </w:pPr>
      <w:hyperlink w:anchor="_Toc89172851" w:history="1">
        <w:r w:rsidR="00BE2523" w:rsidRPr="00A15F36">
          <w:rPr>
            <w:rStyle w:val="-"/>
            <w:b/>
            <w:noProof/>
          </w:rPr>
          <w:t xml:space="preserve">Πίνακας 6: </w:t>
        </w:r>
        <w:r w:rsidR="00BE2523" w:rsidRPr="00A15F36">
          <w:rPr>
            <w:rStyle w:val="-"/>
            <w:noProof/>
          </w:rPr>
          <w:t>Λοιποί δείκτες για τις επισφαλείς ισορροπίες της ελληνικής οικονομίας</w:t>
        </w:r>
        <w:r w:rsidR="00BE2523">
          <w:rPr>
            <w:noProof/>
            <w:webHidden/>
          </w:rPr>
          <w:tab/>
        </w:r>
        <w:r w:rsidR="00BE2523">
          <w:rPr>
            <w:noProof/>
            <w:webHidden/>
          </w:rPr>
          <w:fldChar w:fldCharType="begin"/>
        </w:r>
        <w:r w:rsidR="00BE2523">
          <w:rPr>
            <w:noProof/>
            <w:webHidden/>
          </w:rPr>
          <w:instrText xml:space="preserve"> PAGEREF _Toc89172851 \h </w:instrText>
        </w:r>
        <w:r w:rsidR="00BE2523">
          <w:rPr>
            <w:noProof/>
            <w:webHidden/>
          </w:rPr>
        </w:r>
        <w:r w:rsidR="00BE2523">
          <w:rPr>
            <w:noProof/>
            <w:webHidden/>
          </w:rPr>
          <w:fldChar w:fldCharType="separate"/>
        </w:r>
        <w:r w:rsidR="0038196B">
          <w:rPr>
            <w:noProof/>
            <w:webHidden/>
          </w:rPr>
          <w:t>39</w:t>
        </w:r>
        <w:r w:rsidR="00BE2523">
          <w:rPr>
            <w:noProof/>
            <w:webHidden/>
          </w:rPr>
          <w:fldChar w:fldCharType="end"/>
        </w:r>
      </w:hyperlink>
    </w:p>
    <w:p w14:paraId="093307F7" w14:textId="25B3C903" w:rsidR="00BE2523" w:rsidRDefault="00500704">
      <w:pPr>
        <w:pStyle w:val="af"/>
        <w:tabs>
          <w:tab w:val="right" w:leader="dot" w:pos="8302"/>
        </w:tabs>
        <w:rPr>
          <w:rFonts w:asciiTheme="minorHAnsi" w:eastAsiaTheme="minorEastAsia" w:hAnsiTheme="minorHAnsi"/>
          <w:noProof/>
          <w:color w:val="auto"/>
          <w:lang w:eastAsia="el-GR"/>
        </w:rPr>
      </w:pPr>
      <w:hyperlink w:anchor="_Toc89172852" w:history="1">
        <w:r w:rsidR="00BE2523" w:rsidRPr="00A15F36">
          <w:rPr>
            <w:rStyle w:val="-"/>
            <w:b/>
            <w:iCs/>
            <w:noProof/>
          </w:rPr>
          <w:t xml:space="preserve">Πίνακας 7: </w:t>
        </w:r>
        <w:r w:rsidR="00BE2523" w:rsidRPr="00A15F36">
          <w:rPr>
            <w:rStyle w:val="-"/>
            <w:noProof/>
          </w:rPr>
          <w:t>Εκτέλεση Προϋπολογισμού Γενικής Κυβέρνησης, Ιανουάριος- Σεπτέμβριος 2020-2021, (εκατ. Ευρώ)</w:t>
        </w:r>
        <w:r w:rsidR="00BE2523">
          <w:rPr>
            <w:noProof/>
            <w:webHidden/>
          </w:rPr>
          <w:tab/>
        </w:r>
        <w:r w:rsidR="00BE2523">
          <w:rPr>
            <w:noProof/>
            <w:webHidden/>
          </w:rPr>
          <w:fldChar w:fldCharType="begin"/>
        </w:r>
        <w:r w:rsidR="00BE2523">
          <w:rPr>
            <w:noProof/>
            <w:webHidden/>
          </w:rPr>
          <w:instrText xml:space="preserve"> PAGEREF _Toc89172852 \h </w:instrText>
        </w:r>
        <w:r w:rsidR="00BE2523">
          <w:rPr>
            <w:noProof/>
            <w:webHidden/>
          </w:rPr>
        </w:r>
        <w:r w:rsidR="00BE2523">
          <w:rPr>
            <w:noProof/>
            <w:webHidden/>
          </w:rPr>
          <w:fldChar w:fldCharType="separate"/>
        </w:r>
        <w:r w:rsidR="0038196B">
          <w:rPr>
            <w:noProof/>
            <w:webHidden/>
          </w:rPr>
          <w:t>42</w:t>
        </w:r>
        <w:r w:rsidR="00BE2523">
          <w:rPr>
            <w:noProof/>
            <w:webHidden/>
          </w:rPr>
          <w:fldChar w:fldCharType="end"/>
        </w:r>
      </w:hyperlink>
    </w:p>
    <w:p w14:paraId="05C53C97" w14:textId="32B02218" w:rsidR="00BE2523" w:rsidRDefault="00500704">
      <w:pPr>
        <w:pStyle w:val="af"/>
        <w:tabs>
          <w:tab w:val="right" w:leader="dot" w:pos="8302"/>
        </w:tabs>
        <w:rPr>
          <w:rFonts w:asciiTheme="minorHAnsi" w:eastAsiaTheme="minorEastAsia" w:hAnsiTheme="minorHAnsi"/>
          <w:noProof/>
          <w:color w:val="auto"/>
          <w:lang w:eastAsia="el-GR"/>
        </w:rPr>
      </w:pPr>
      <w:hyperlink w:anchor="_Toc89172853" w:history="1">
        <w:r w:rsidR="00BE2523" w:rsidRPr="00A15F36">
          <w:rPr>
            <w:rStyle w:val="-"/>
            <w:b/>
            <w:noProof/>
          </w:rPr>
          <w:t>Πίνακας 8:</w:t>
        </w:r>
        <w:r w:rsidR="00BE2523" w:rsidRPr="00A15F36">
          <w:rPr>
            <w:rStyle w:val="-"/>
            <w:noProof/>
          </w:rPr>
          <w:t xml:space="preserve"> Εξέλιξη μισθολογικού κόστους, προσωπικού και φορέων Γενικής Κυβέρνησης</w:t>
        </w:r>
        <w:r w:rsidR="00BE2523">
          <w:rPr>
            <w:noProof/>
            <w:webHidden/>
          </w:rPr>
          <w:tab/>
        </w:r>
        <w:r w:rsidR="00BE2523">
          <w:rPr>
            <w:noProof/>
            <w:webHidden/>
          </w:rPr>
          <w:fldChar w:fldCharType="begin"/>
        </w:r>
        <w:r w:rsidR="00BE2523">
          <w:rPr>
            <w:noProof/>
            <w:webHidden/>
          </w:rPr>
          <w:instrText xml:space="preserve"> PAGEREF _Toc89172853 \h </w:instrText>
        </w:r>
        <w:r w:rsidR="00BE2523">
          <w:rPr>
            <w:noProof/>
            <w:webHidden/>
          </w:rPr>
        </w:r>
        <w:r w:rsidR="00BE2523">
          <w:rPr>
            <w:noProof/>
            <w:webHidden/>
          </w:rPr>
          <w:fldChar w:fldCharType="separate"/>
        </w:r>
        <w:r w:rsidR="0038196B">
          <w:rPr>
            <w:noProof/>
            <w:webHidden/>
          </w:rPr>
          <w:t>44</w:t>
        </w:r>
        <w:r w:rsidR="00BE2523">
          <w:rPr>
            <w:noProof/>
            <w:webHidden/>
          </w:rPr>
          <w:fldChar w:fldCharType="end"/>
        </w:r>
      </w:hyperlink>
    </w:p>
    <w:p w14:paraId="7AB2269F" w14:textId="12D42DFD" w:rsidR="00BE2523" w:rsidRDefault="00500704">
      <w:pPr>
        <w:pStyle w:val="af"/>
        <w:tabs>
          <w:tab w:val="right" w:leader="dot" w:pos="8302"/>
        </w:tabs>
        <w:rPr>
          <w:rFonts w:asciiTheme="minorHAnsi" w:eastAsiaTheme="minorEastAsia" w:hAnsiTheme="minorHAnsi"/>
          <w:noProof/>
          <w:color w:val="auto"/>
          <w:lang w:eastAsia="el-GR"/>
        </w:rPr>
      </w:pPr>
      <w:hyperlink w:anchor="_Toc89172854" w:history="1">
        <w:r w:rsidR="00BE2523" w:rsidRPr="00A15F36">
          <w:rPr>
            <w:rStyle w:val="-"/>
            <w:b/>
            <w:iCs/>
            <w:noProof/>
          </w:rPr>
          <w:t xml:space="preserve">Πίνακας 9: </w:t>
        </w:r>
        <w:r w:rsidR="00BE2523" w:rsidRPr="00A15F36">
          <w:rPr>
            <w:rStyle w:val="-"/>
            <w:noProof/>
          </w:rPr>
          <w:t>Εκτέλεση Κρατικού Προϋπολογισμού, Ιανουάριος- Σεπτέμβριος 2020-2021, (εκατ. Ευρώ)</w:t>
        </w:r>
        <w:r w:rsidR="00BE2523">
          <w:rPr>
            <w:noProof/>
            <w:webHidden/>
          </w:rPr>
          <w:tab/>
        </w:r>
        <w:r w:rsidR="00BE2523">
          <w:rPr>
            <w:noProof/>
            <w:webHidden/>
          </w:rPr>
          <w:fldChar w:fldCharType="begin"/>
        </w:r>
        <w:r w:rsidR="00BE2523">
          <w:rPr>
            <w:noProof/>
            <w:webHidden/>
          </w:rPr>
          <w:instrText xml:space="preserve"> PAGEREF _Toc89172854 \h </w:instrText>
        </w:r>
        <w:r w:rsidR="00BE2523">
          <w:rPr>
            <w:noProof/>
            <w:webHidden/>
          </w:rPr>
        </w:r>
        <w:r w:rsidR="00BE2523">
          <w:rPr>
            <w:noProof/>
            <w:webHidden/>
          </w:rPr>
          <w:fldChar w:fldCharType="separate"/>
        </w:r>
        <w:r w:rsidR="0038196B">
          <w:rPr>
            <w:noProof/>
            <w:webHidden/>
          </w:rPr>
          <w:t>46</w:t>
        </w:r>
        <w:r w:rsidR="00BE2523">
          <w:rPr>
            <w:noProof/>
            <w:webHidden/>
          </w:rPr>
          <w:fldChar w:fldCharType="end"/>
        </w:r>
      </w:hyperlink>
    </w:p>
    <w:p w14:paraId="1F80A3B1" w14:textId="0201759B" w:rsidR="00BE2523" w:rsidRDefault="00500704">
      <w:pPr>
        <w:pStyle w:val="af"/>
        <w:tabs>
          <w:tab w:val="right" w:leader="dot" w:pos="8302"/>
        </w:tabs>
        <w:rPr>
          <w:rFonts w:asciiTheme="minorHAnsi" w:eastAsiaTheme="minorEastAsia" w:hAnsiTheme="minorHAnsi"/>
          <w:noProof/>
          <w:color w:val="auto"/>
          <w:lang w:eastAsia="el-GR"/>
        </w:rPr>
      </w:pPr>
      <w:hyperlink w:anchor="_Toc89172855" w:history="1">
        <w:r w:rsidR="00BE2523" w:rsidRPr="00A15F36">
          <w:rPr>
            <w:rStyle w:val="-"/>
            <w:b/>
            <w:iCs/>
            <w:noProof/>
          </w:rPr>
          <w:t xml:space="preserve">Πίνακας 10: </w:t>
        </w:r>
        <w:r w:rsidR="00BE2523" w:rsidRPr="00A15F36">
          <w:rPr>
            <w:rStyle w:val="-"/>
            <w:noProof/>
          </w:rPr>
          <w:t>Έσοδα Κρατικού Προϋπολογισμού Ιανουάριος-Σεπτέμβριος 2021 (εκατ. ευρώ)</w:t>
        </w:r>
        <w:r w:rsidR="00BE2523">
          <w:rPr>
            <w:noProof/>
            <w:webHidden/>
          </w:rPr>
          <w:tab/>
        </w:r>
        <w:r w:rsidR="00BE2523">
          <w:rPr>
            <w:noProof/>
            <w:webHidden/>
          </w:rPr>
          <w:fldChar w:fldCharType="begin"/>
        </w:r>
        <w:r w:rsidR="00BE2523">
          <w:rPr>
            <w:noProof/>
            <w:webHidden/>
          </w:rPr>
          <w:instrText xml:space="preserve"> PAGEREF _Toc89172855 \h </w:instrText>
        </w:r>
        <w:r w:rsidR="00BE2523">
          <w:rPr>
            <w:noProof/>
            <w:webHidden/>
          </w:rPr>
        </w:r>
        <w:r w:rsidR="00BE2523">
          <w:rPr>
            <w:noProof/>
            <w:webHidden/>
          </w:rPr>
          <w:fldChar w:fldCharType="separate"/>
        </w:r>
        <w:r w:rsidR="0038196B">
          <w:rPr>
            <w:noProof/>
            <w:webHidden/>
          </w:rPr>
          <w:t>47</w:t>
        </w:r>
        <w:r w:rsidR="00BE2523">
          <w:rPr>
            <w:noProof/>
            <w:webHidden/>
          </w:rPr>
          <w:fldChar w:fldCharType="end"/>
        </w:r>
      </w:hyperlink>
    </w:p>
    <w:p w14:paraId="25146F94" w14:textId="3C08FC6C" w:rsidR="00BE2523" w:rsidRDefault="00500704">
      <w:pPr>
        <w:pStyle w:val="af"/>
        <w:tabs>
          <w:tab w:val="right" w:leader="dot" w:pos="8302"/>
        </w:tabs>
        <w:rPr>
          <w:rFonts w:asciiTheme="minorHAnsi" w:eastAsiaTheme="minorEastAsia" w:hAnsiTheme="minorHAnsi"/>
          <w:noProof/>
          <w:color w:val="auto"/>
          <w:lang w:eastAsia="el-GR"/>
        </w:rPr>
      </w:pPr>
      <w:hyperlink w:anchor="_Toc89172856" w:history="1">
        <w:r w:rsidR="00BE2523" w:rsidRPr="00A15F36">
          <w:rPr>
            <w:rStyle w:val="-"/>
            <w:b/>
            <w:iCs/>
            <w:noProof/>
          </w:rPr>
          <w:t xml:space="preserve">Πίνακας 11: </w:t>
        </w:r>
        <w:r w:rsidR="00BE2523" w:rsidRPr="00A15F36">
          <w:rPr>
            <w:rStyle w:val="-"/>
            <w:noProof/>
          </w:rPr>
          <w:t>Δαπάνες  Κρατικού Προϋπολογισμού Ιανουάριος-Σεπτέμβριος 2021 (εκατ. ευρώ).</w:t>
        </w:r>
        <w:r w:rsidR="00BE2523">
          <w:rPr>
            <w:noProof/>
            <w:webHidden/>
          </w:rPr>
          <w:tab/>
        </w:r>
        <w:r w:rsidR="00BE2523">
          <w:rPr>
            <w:noProof/>
            <w:webHidden/>
          </w:rPr>
          <w:fldChar w:fldCharType="begin"/>
        </w:r>
        <w:r w:rsidR="00BE2523">
          <w:rPr>
            <w:noProof/>
            <w:webHidden/>
          </w:rPr>
          <w:instrText xml:space="preserve"> PAGEREF _Toc89172856 \h </w:instrText>
        </w:r>
        <w:r w:rsidR="00BE2523">
          <w:rPr>
            <w:noProof/>
            <w:webHidden/>
          </w:rPr>
        </w:r>
        <w:r w:rsidR="00BE2523">
          <w:rPr>
            <w:noProof/>
            <w:webHidden/>
          </w:rPr>
          <w:fldChar w:fldCharType="separate"/>
        </w:r>
        <w:r w:rsidR="0038196B">
          <w:rPr>
            <w:noProof/>
            <w:webHidden/>
          </w:rPr>
          <w:t>48</w:t>
        </w:r>
        <w:r w:rsidR="00BE2523">
          <w:rPr>
            <w:noProof/>
            <w:webHidden/>
          </w:rPr>
          <w:fldChar w:fldCharType="end"/>
        </w:r>
      </w:hyperlink>
    </w:p>
    <w:p w14:paraId="1C095609" w14:textId="0AF1E7C0" w:rsidR="00BE2523" w:rsidRDefault="00500704">
      <w:pPr>
        <w:pStyle w:val="af"/>
        <w:tabs>
          <w:tab w:val="right" w:leader="dot" w:pos="8302"/>
        </w:tabs>
        <w:rPr>
          <w:rFonts w:asciiTheme="minorHAnsi" w:eastAsiaTheme="minorEastAsia" w:hAnsiTheme="minorHAnsi"/>
          <w:noProof/>
          <w:color w:val="auto"/>
          <w:lang w:eastAsia="el-GR"/>
        </w:rPr>
      </w:pPr>
      <w:hyperlink w:anchor="_Toc89172857" w:history="1">
        <w:r w:rsidR="00BE2523" w:rsidRPr="00A15F36">
          <w:rPr>
            <w:rStyle w:val="-"/>
            <w:b/>
            <w:iCs/>
            <w:noProof/>
          </w:rPr>
          <w:t xml:space="preserve">Πίνακας 12: </w:t>
        </w:r>
        <w:r w:rsidR="00BE2523" w:rsidRPr="00A15F36">
          <w:rPr>
            <w:rStyle w:val="-"/>
            <w:noProof/>
          </w:rPr>
          <w:t>Ταμειακά αποτελέσματα εννεαμήνου υποτομέων ΓΚ (σε εκατ. ευρώ)</w:t>
        </w:r>
        <w:r w:rsidR="00BE2523">
          <w:rPr>
            <w:noProof/>
            <w:webHidden/>
          </w:rPr>
          <w:tab/>
        </w:r>
        <w:r w:rsidR="00BE2523">
          <w:rPr>
            <w:noProof/>
            <w:webHidden/>
          </w:rPr>
          <w:fldChar w:fldCharType="begin"/>
        </w:r>
        <w:r w:rsidR="00BE2523">
          <w:rPr>
            <w:noProof/>
            <w:webHidden/>
          </w:rPr>
          <w:instrText xml:space="preserve"> PAGEREF _Toc89172857 \h </w:instrText>
        </w:r>
        <w:r w:rsidR="00BE2523">
          <w:rPr>
            <w:noProof/>
            <w:webHidden/>
          </w:rPr>
        </w:r>
        <w:r w:rsidR="00BE2523">
          <w:rPr>
            <w:noProof/>
            <w:webHidden/>
          </w:rPr>
          <w:fldChar w:fldCharType="separate"/>
        </w:r>
        <w:r w:rsidR="0038196B">
          <w:rPr>
            <w:noProof/>
            <w:webHidden/>
          </w:rPr>
          <w:t>49</w:t>
        </w:r>
        <w:r w:rsidR="00BE2523">
          <w:rPr>
            <w:noProof/>
            <w:webHidden/>
          </w:rPr>
          <w:fldChar w:fldCharType="end"/>
        </w:r>
      </w:hyperlink>
    </w:p>
    <w:p w14:paraId="2D3665DF" w14:textId="29B57552" w:rsidR="00BE2523" w:rsidRDefault="00500704">
      <w:pPr>
        <w:pStyle w:val="af"/>
        <w:tabs>
          <w:tab w:val="right" w:leader="dot" w:pos="8302"/>
        </w:tabs>
        <w:rPr>
          <w:rFonts w:asciiTheme="minorHAnsi" w:eastAsiaTheme="minorEastAsia" w:hAnsiTheme="minorHAnsi"/>
          <w:noProof/>
          <w:color w:val="auto"/>
          <w:lang w:eastAsia="el-GR"/>
        </w:rPr>
      </w:pPr>
      <w:hyperlink w:anchor="_Toc89172858" w:history="1">
        <w:r w:rsidR="00BE2523" w:rsidRPr="00A15F36">
          <w:rPr>
            <w:rStyle w:val="-"/>
            <w:b/>
            <w:iCs/>
            <w:noProof/>
          </w:rPr>
          <w:t xml:space="preserve">Πίνακας 13: </w:t>
        </w:r>
        <w:r w:rsidR="00BE2523" w:rsidRPr="00A15F36">
          <w:rPr>
            <w:rStyle w:val="-"/>
            <w:noProof/>
          </w:rPr>
          <w:t>Ταμειακά Ανεξόφλητα εγγυημένα υπόλοιπα φορέων εντός και εκτός ΓΚ στις 30/09/2021</w:t>
        </w:r>
        <w:r w:rsidR="00BE2523">
          <w:rPr>
            <w:noProof/>
            <w:webHidden/>
          </w:rPr>
          <w:tab/>
        </w:r>
        <w:r w:rsidR="00BE2523">
          <w:rPr>
            <w:noProof/>
            <w:webHidden/>
          </w:rPr>
          <w:fldChar w:fldCharType="begin"/>
        </w:r>
        <w:r w:rsidR="00BE2523">
          <w:rPr>
            <w:noProof/>
            <w:webHidden/>
          </w:rPr>
          <w:instrText xml:space="preserve"> PAGEREF _Toc89172858 \h </w:instrText>
        </w:r>
        <w:r w:rsidR="00BE2523">
          <w:rPr>
            <w:noProof/>
            <w:webHidden/>
          </w:rPr>
        </w:r>
        <w:r w:rsidR="00BE2523">
          <w:rPr>
            <w:noProof/>
            <w:webHidden/>
          </w:rPr>
          <w:fldChar w:fldCharType="separate"/>
        </w:r>
        <w:r w:rsidR="0038196B">
          <w:rPr>
            <w:noProof/>
            <w:webHidden/>
          </w:rPr>
          <w:t>55</w:t>
        </w:r>
        <w:r w:rsidR="00BE2523">
          <w:rPr>
            <w:noProof/>
            <w:webHidden/>
          </w:rPr>
          <w:fldChar w:fldCharType="end"/>
        </w:r>
      </w:hyperlink>
    </w:p>
    <w:p w14:paraId="1AEEE43F" w14:textId="2F38D2D6" w:rsidR="00BE2523" w:rsidRDefault="00500704">
      <w:pPr>
        <w:pStyle w:val="af"/>
        <w:tabs>
          <w:tab w:val="right" w:leader="dot" w:pos="8302"/>
        </w:tabs>
        <w:rPr>
          <w:rFonts w:asciiTheme="minorHAnsi" w:eastAsiaTheme="minorEastAsia" w:hAnsiTheme="minorHAnsi"/>
          <w:noProof/>
          <w:color w:val="auto"/>
          <w:lang w:eastAsia="el-GR"/>
        </w:rPr>
      </w:pPr>
      <w:hyperlink w:anchor="_Toc89172859" w:history="1">
        <w:r w:rsidR="00BE2523" w:rsidRPr="00A15F36">
          <w:rPr>
            <w:rStyle w:val="-"/>
            <w:b/>
            <w:iCs/>
            <w:noProof/>
          </w:rPr>
          <w:t xml:space="preserve">Πίνακας 14: </w:t>
        </w:r>
        <w:r w:rsidR="00BE2523" w:rsidRPr="00A15F36">
          <w:rPr>
            <w:rStyle w:val="-"/>
            <w:noProof/>
          </w:rPr>
          <w:t>Εκδόσεις ελληνικών ομολόγων 2021</w:t>
        </w:r>
        <w:r w:rsidR="00BE2523">
          <w:rPr>
            <w:noProof/>
            <w:webHidden/>
          </w:rPr>
          <w:tab/>
        </w:r>
        <w:r w:rsidR="00BE2523">
          <w:rPr>
            <w:noProof/>
            <w:webHidden/>
          </w:rPr>
          <w:fldChar w:fldCharType="begin"/>
        </w:r>
        <w:r w:rsidR="00BE2523">
          <w:rPr>
            <w:noProof/>
            <w:webHidden/>
          </w:rPr>
          <w:instrText xml:space="preserve"> PAGEREF _Toc89172859 \h </w:instrText>
        </w:r>
        <w:r w:rsidR="00BE2523">
          <w:rPr>
            <w:noProof/>
            <w:webHidden/>
          </w:rPr>
        </w:r>
        <w:r w:rsidR="00BE2523">
          <w:rPr>
            <w:noProof/>
            <w:webHidden/>
          </w:rPr>
          <w:fldChar w:fldCharType="separate"/>
        </w:r>
        <w:r w:rsidR="0038196B">
          <w:rPr>
            <w:noProof/>
            <w:webHidden/>
          </w:rPr>
          <w:t>60</w:t>
        </w:r>
        <w:r w:rsidR="00BE2523">
          <w:rPr>
            <w:noProof/>
            <w:webHidden/>
          </w:rPr>
          <w:fldChar w:fldCharType="end"/>
        </w:r>
      </w:hyperlink>
    </w:p>
    <w:p w14:paraId="59B6FC42" w14:textId="573486DF" w:rsidR="00BE2523" w:rsidRDefault="00500704">
      <w:pPr>
        <w:pStyle w:val="af"/>
        <w:tabs>
          <w:tab w:val="right" w:leader="dot" w:pos="8302"/>
        </w:tabs>
        <w:rPr>
          <w:rFonts w:asciiTheme="minorHAnsi" w:eastAsiaTheme="minorEastAsia" w:hAnsiTheme="minorHAnsi"/>
          <w:noProof/>
          <w:color w:val="auto"/>
          <w:lang w:eastAsia="el-GR"/>
        </w:rPr>
      </w:pPr>
      <w:hyperlink w:anchor="_Toc89172860" w:history="1">
        <w:r w:rsidR="00BE2523" w:rsidRPr="00A15F36">
          <w:rPr>
            <w:rStyle w:val="-"/>
            <w:b/>
            <w:iCs/>
            <w:noProof/>
          </w:rPr>
          <w:t xml:space="preserve">Πίνακας 15: </w:t>
        </w:r>
        <w:r w:rsidR="00BE2523" w:rsidRPr="00A15F36">
          <w:rPr>
            <w:rStyle w:val="-"/>
            <w:rFonts w:eastAsia="Calibri" w:cs="Times New Roman"/>
            <w:noProof/>
          </w:rPr>
          <w:t>Δημοσιονομικές εξελίξεις Γενικής Κυβέρνησης 2018-2022</w:t>
        </w:r>
        <w:r w:rsidR="00BE2523">
          <w:rPr>
            <w:noProof/>
            <w:webHidden/>
          </w:rPr>
          <w:tab/>
        </w:r>
        <w:r w:rsidR="00BE2523">
          <w:rPr>
            <w:noProof/>
            <w:webHidden/>
          </w:rPr>
          <w:fldChar w:fldCharType="begin"/>
        </w:r>
        <w:r w:rsidR="00BE2523">
          <w:rPr>
            <w:noProof/>
            <w:webHidden/>
          </w:rPr>
          <w:instrText xml:space="preserve"> PAGEREF _Toc89172860 \h </w:instrText>
        </w:r>
        <w:r w:rsidR="00BE2523">
          <w:rPr>
            <w:noProof/>
            <w:webHidden/>
          </w:rPr>
        </w:r>
        <w:r w:rsidR="00BE2523">
          <w:rPr>
            <w:noProof/>
            <w:webHidden/>
          </w:rPr>
          <w:fldChar w:fldCharType="separate"/>
        </w:r>
        <w:r w:rsidR="0038196B">
          <w:rPr>
            <w:noProof/>
            <w:webHidden/>
          </w:rPr>
          <w:t>62</w:t>
        </w:r>
        <w:r w:rsidR="00BE2523">
          <w:rPr>
            <w:noProof/>
            <w:webHidden/>
          </w:rPr>
          <w:fldChar w:fldCharType="end"/>
        </w:r>
      </w:hyperlink>
    </w:p>
    <w:p w14:paraId="5BF852BB" w14:textId="15DCFD3A" w:rsidR="00BE2523" w:rsidRDefault="00500704">
      <w:pPr>
        <w:pStyle w:val="af"/>
        <w:tabs>
          <w:tab w:val="right" w:leader="dot" w:pos="8302"/>
        </w:tabs>
        <w:rPr>
          <w:rFonts w:asciiTheme="minorHAnsi" w:eastAsiaTheme="minorEastAsia" w:hAnsiTheme="minorHAnsi"/>
          <w:noProof/>
          <w:color w:val="auto"/>
          <w:lang w:eastAsia="el-GR"/>
        </w:rPr>
      </w:pPr>
      <w:hyperlink w:anchor="_Toc89172861" w:history="1">
        <w:r w:rsidR="00BE2523" w:rsidRPr="00A15F36">
          <w:rPr>
            <w:rStyle w:val="-"/>
            <w:b/>
            <w:iCs/>
            <w:noProof/>
          </w:rPr>
          <w:t xml:space="preserve">Πίνακας 16: </w:t>
        </w:r>
        <w:r w:rsidR="00BE2523" w:rsidRPr="00A15F36">
          <w:rPr>
            <w:rStyle w:val="-"/>
            <w:rFonts w:eastAsia="Calibri" w:cs="Times New Roman"/>
            <w:noProof/>
          </w:rPr>
          <w:t>Εξέλιξη φορολογικών εσόδων και ασφαλιστικών εισφορών 2018-2022</w:t>
        </w:r>
        <w:r w:rsidR="00BE2523">
          <w:rPr>
            <w:noProof/>
            <w:webHidden/>
          </w:rPr>
          <w:tab/>
        </w:r>
        <w:r w:rsidR="00BE2523">
          <w:rPr>
            <w:noProof/>
            <w:webHidden/>
          </w:rPr>
          <w:fldChar w:fldCharType="begin"/>
        </w:r>
        <w:r w:rsidR="00BE2523">
          <w:rPr>
            <w:noProof/>
            <w:webHidden/>
          </w:rPr>
          <w:instrText xml:space="preserve"> PAGEREF _Toc89172861 \h </w:instrText>
        </w:r>
        <w:r w:rsidR="00BE2523">
          <w:rPr>
            <w:noProof/>
            <w:webHidden/>
          </w:rPr>
        </w:r>
        <w:r w:rsidR="00BE2523">
          <w:rPr>
            <w:noProof/>
            <w:webHidden/>
          </w:rPr>
          <w:fldChar w:fldCharType="separate"/>
        </w:r>
        <w:r w:rsidR="0038196B">
          <w:rPr>
            <w:noProof/>
            <w:webHidden/>
          </w:rPr>
          <w:t>63</w:t>
        </w:r>
        <w:r w:rsidR="00BE2523">
          <w:rPr>
            <w:noProof/>
            <w:webHidden/>
          </w:rPr>
          <w:fldChar w:fldCharType="end"/>
        </w:r>
      </w:hyperlink>
    </w:p>
    <w:p w14:paraId="608AB935" w14:textId="35552B26" w:rsidR="00BE2523" w:rsidRDefault="00500704">
      <w:pPr>
        <w:pStyle w:val="af"/>
        <w:tabs>
          <w:tab w:val="right" w:leader="dot" w:pos="8302"/>
        </w:tabs>
        <w:rPr>
          <w:rFonts w:asciiTheme="minorHAnsi" w:eastAsiaTheme="minorEastAsia" w:hAnsiTheme="minorHAnsi"/>
          <w:noProof/>
          <w:color w:val="auto"/>
          <w:lang w:eastAsia="el-GR"/>
        </w:rPr>
      </w:pPr>
      <w:hyperlink w:anchor="_Toc89172862" w:history="1">
        <w:r w:rsidR="00BE2523" w:rsidRPr="00A15F36">
          <w:rPr>
            <w:rStyle w:val="-"/>
            <w:b/>
            <w:iCs/>
            <w:noProof/>
          </w:rPr>
          <w:t xml:space="preserve">Πίνακας 17: </w:t>
        </w:r>
        <w:r w:rsidR="00BE2523" w:rsidRPr="00A15F36">
          <w:rPr>
            <w:rStyle w:val="-"/>
            <w:rFonts w:eastAsia="Calibri" w:cs="Times New Roman"/>
            <w:noProof/>
          </w:rPr>
          <w:t>Προβλέψεις για την πορεία του ελλείματος (ως % του ΑΕΠ), σύμφωνα με διεθνείς οργανισμούς</w:t>
        </w:r>
        <w:r w:rsidR="00BE2523">
          <w:rPr>
            <w:noProof/>
            <w:webHidden/>
          </w:rPr>
          <w:tab/>
        </w:r>
        <w:r w:rsidR="00BE2523">
          <w:rPr>
            <w:noProof/>
            <w:webHidden/>
          </w:rPr>
          <w:fldChar w:fldCharType="begin"/>
        </w:r>
        <w:r w:rsidR="00BE2523">
          <w:rPr>
            <w:noProof/>
            <w:webHidden/>
          </w:rPr>
          <w:instrText xml:space="preserve"> PAGEREF _Toc89172862 \h </w:instrText>
        </w:r>
        <w:r w:rsidR="00BE2523">
          <w:rPr>
            <w:noProof/>
            <w:webHidden/>
          </w:rPr>
        </w:r>
        <w:r w:rsidR="00BE2523">
          <w:rPr>
            <w:noProof/>
            <w:webHidden/>
          </w:rPr>
          <w:fldChar w:fldCharType="separate"/>
        </w:r>
        <w:r w:rsidR="0038196B">
          <w:rPr>
            <w:noProof/>
            <w:webHidden/>
          </w:rPr>
          <w:t>65</w:t>
        </w:r>
        <w:r w:rsidR="00BE2523">
          <w:rPr>
            <w:noProof/>
            <w:webHidden/>
          </w:rPr>
          <w:fldChar w:fldCharType="end"/>
        </w:r>
      </w:hyperlink>
    </w:p>
    <w:p w14:paraId="31C03242" w14:textId="7C54E892" w:rsidR="00AE797D" w:rsidRPr="00D0444F" w:rsidRDefault="00D365BB" w:rsidP="00743A5E">
      <w:pPr>
        <w:spacing w:after="120"/>
        <w:jc w:val="left"/>
        <w:rPr>
          <w:i/>
        </w:rPr>
      </w:pPr>
      <w:r w:rsidRPr="00D0444F">
        <w:rPr>
          <w:i/>
        </w:rPr>
        <w:fldChar w:fldCharType="end"/>
      </w:r>
    </w:p>
    <w:p w14:paraId="2D5A7131" w14:textId="77777777" w:rsidR="00AE797D" w:rsidRPr="00D37923" w:rsidRDefault="00AE797D">
      <w:pPr>
        <w:spacing w:after="160" w:line="0" w:lineRule="auto"/>
        <w:jc w:val="left"/>
      </w:pPr>
      <w:r w:rsidRPr="00D37923">
        <w:br w:type="page"/>
      </w:r>
    </w:p>
    <w:p w14:paraId="6128756A" w14:textId="28A9B94E" w:rsidR="00D365BB" w:rsidRPr="00EB7AF8" w:rsidRDefault="008D2932" w:rsidP="00AA4DDB">
      <w:pPr>
        <w:spacing w:after="120"/>
        <w:rPr>
          <w:b/>
          <w:color w:val="00A3E0"/>
          <w:sz w:val="28"/>
          <w:szCs w:val="28"/>
        </w:rPr>
      </w:pPr>
      <w:r w:rsidRPr="00EB7AF8">
        <w:rPr>
          <w:b/>
          <w:color w:val="00A3E0"/>
          <w:sz w:val="28"/>
          <w:szCs w:val="28"/>
        </w:rPr>
        <w:lastRenderedPageBreak/>
        <w:t>Ευρετήριο Διαγραμμάτων</w:t>
      </w:r>
    </w:p>
    <w:p w14:paraId="1B6DDBAF" w14:textId="078F08B4" w:rsidR="00BE2523" w:rsidRDefault="00E648C9">
      <w:pPr>
        <w:pStyle w:val="af"/>
        <w:tabs>
          <w:tab w:val="right" w:leader="dot" w:pos="8302"/>
        </w:tabs>
        <w:rPr>
          <w:rFonts w:asciiTheme="minorHAnsi" w:eastAsiaTheme="minorEastAsia" w:hAnsiTheme="minorHAnsi"/>
          <w:noProof/>
          <w:color w:val="auto"/>
          <w:lang w:eastAsia="el-GR"/>
        </w:rPr>
      </w:pPr>
      <w:r w:rsidRPr="00D0444F">
        <w:fldChar w:fldCharType="begin"/>
      </w:r>
      <w:r w:rsidRPr="00D0444F">
        <w:instrText xml:space="preserve"> TOC \h \z \c "Διάγραμμα" </w:instrText>
      </w:r>
      <w:r w:rsidRPr="00D0444F">
        <w:fldChar w:fldCharType="separate"/>
      </w:r>
      <w:hyperlink w:anchor="_Toc89172863" w:history="1">
        <w:r w:rsidR="00BE2523" w:rsidRPr="00FE44AB">
          <w:rPr>
            <w:rStyle w:val="-"/>
            <w:b/>
            <w:iCs/>
            <w:noProof/>
          </w:rPr>
          <w:t>Διάγραμμα 1:</w:t>
        </w:r>
        <w:r w:rsidR="00BE2523" w:rsidRPr="00FE44AB">
          <w:rPr>
            <w:rStyle w:val="-"/>
            <w:iCs/>
            <w:noProof/>
          </w:rPr>
          <w:t xml:space="preserve"> </w:t>
        </w:r>
        <w:r w:rsidR="00BE2523" w:rsidRPr="00FE44AB">
          <w:rPr>
            <w:rStyle w:val="-"/>
            <w:rFonts w:eastAsia="Calibri" w:cs="Times New Roman"/>
            <w:iCs/>
            <w:noProof/>
          </w:rPr>
          <w:t xml:space="preserve"> </w:t>
        </w:r>
        <w:r w:rsidR="00BE2523" w:rsidRPr="00FE44AB">
          <w:rPr>
            <w:rStyle w:val="-"/>
            <w:rFonts w:eastAsia="Times New Roman" w:cs="Calibri"/>
            <w:bCs/>
            <w:noProof/>
            <w:spacing w:val="-4"/>
            <w:lang w:eastAsia="el-GR"/>
          </w:rPr>
          <w:t>Τριμηνιαίο ΑΕΠ 2019-2021 (μεταβολή σε ετήσια βάση)</w:t>
        </w:r>
        <w:r w:rsidR="00BE2523">
          <w:rPr>
            <w:noProof/>
            <w:webHidden/>
          </w:rPr>
          <w:tab/>
        </w:r>
        <w:r w:rsidR="00BE2523">
          <w:rPr>
            <w:noProof/>
            <w:webHidden/>
          </w:rPr>
          <w:fldChar w:fldCharType="begin"/>
        </w:r>
        <w:r w:rsidR="00BE2523">
          <w:rPr>
            <w:noProof/>
            <w:webHidden/>
          </w:rPr>
          <w:instrText xml:space="preserve"> PAGEREF _Toc89172863 \h </w:instrText>
        </w:r>
        <w:r w:rsidR="00BE2523">
          <w:rPr>
            <w:noProof/>
            <w:webHidden/>
          </w:rPr>
        </w:r>
        <w:r w:rsidR="00BE2523">
          <w:rPr>
            <w:noProof/>
            <w:webHidden/>
          </w:rPr>
          <w:fldChar w:fldCharType="separate"/>
        </w:r>
        <w:r w:rsidR="0038196B">
          <w:rPr>
            <w:noProof/>
            <w:webHidden/>
          </w:rPr>
          <w:t>10</w:t>
        </w:r>
        <w:r w:rsidR="00BE2523">
          <w:rPr>
            <w:noProof/>
            <w:webHidden/>
          </w:rPr>
          <w:fldChar w:fldCharType="end"/>
        </w:r>
      </w:hyperlink>
    </w:p>
    <w:p w14:paraId="60917741" w14:textId="5BCAE087" w:rsidR="00BE2523" w:rsidRDefault="00500704">
      <w:pPr>
        <w:pStyle w:val="af"/>
        <w:tabs>
          <w:tab w:val="right" w:leader="dot" w:pos="8302"/>
        </w:tabs>
        <w:rPr>
          <w:rFonts w:asciiTheme="minorHAnsi" w:eastAsiaTheme="minorEastAsia" w:hAnsiTheme="minorHAnsi"/>
          <w:noProof/>
          <w:color w:val="auto"/>
          <w:lang w:eastAsia="el-GR"/>
        </w:rPr>
      </w:pPr>
      <w:hyperlink w:anchor="_Toc89172864" w:history="1">
        <w:r w:rsidR="00BE2523" w:rsidRPr="00FE44AB">
          <w:rPr>
            <w:rStyle w:val="-"/>
            <w:b/>
            <w:iCs/>
            <w:noProof/>
          </w:rPr>
          <w:t xml:space="preserve">Διάγραμμα 2: </w:t>
        </w:r>
        <w:r w:rsidR="00BE2523" w:rsidRPr="00FE44AB">
          <w:rPr>
            <w:rStyle w:val="-"/>
            <w:rFonts w:eastAsia="Times New Roman" w:cs="Calibri"/>
            <w:bCs/>
            <w:noProof/>
            <w:spacing w:val="-4"/>
            <w:lang w:eastAsia="el-GR"/>
          </w:rPr>
          <w:t>Εκτιμήσεις για τον ρυθμό αύξησης του ελληνικού ΑΕΠ 2021</w:t>
        </w:r>
        <w:r w:rsidR="00BE2523">
          <w:rPr>
            <w:noProof/>
            <w:webHidden/>
          </w:rPr>
          <w:tab/>
        </w:r>
        <w:r w:rsidR="00BE2523">
          <w:rPr>
            <w:noProof/>
            <w:webHidden/>
          </w:rPr>
          <w:fldChar w:fldCharType="begin"/>
        </w:r>
        <w:r w:rsidR="00BE2523">
          <w:rPr>
            <w:noProof/>
            <w:webHidden/>
          </w:rPr>
          <w:instrText xml:space="preserve"> PAGEREF _Toc89172864 \h </w:instrText>
        </w:r>
        <w:r w:rsidR="00BE2523">
          <w:rPr>
            <w:noProof/>
            <w:webHidden/>
          </w:rPr>
        </w:r>
        <w:r w:rsidR="00BE2523">
          <w:rPr>
            <w:noProof/>
            <w:webHidden/>
          </w:rPr>
          <w:fldChar w:fldCharType="separate"/>
        </w:r>
        <w:r w:rsidR="0038196B">
          <w:rPr>
            <w:noProof/>
            <w:webHidden/>
          </w:rPr>
          <w:t>12</w:t>
        </w:r>
        <w:r w:rsidR="00BE2523">
          <w:rPr>
            <w:noProof/>
            <w:webHidden/>
          </w:rPr>
          <w:fldChar w:fldCharType="end"/>
        </w:r>
      </w:hyperlink>
    </w:p>
    <w:p w14:paraId="4798D8AC" w14:textId="59A98A34" w:rsidR="00BE2523" w:rsidRDefault="00500704">
      <w:pPr>
        <w:pStyle w:val="af"/>
        <w:tabs>
          <w:tab w:val="right" w:leader="dot" w:pos="8302"/>
        </w:tabs>
        <w:rPr>
          <w:rFonts w:asciiTheme="minorHAnsi" w:eastAsiaTheme="minorEastAsia" w:hAnsiTheme="minorHAnsi"/>
          <w:noProof/>
          <w:color w:val="auto"/>
          <w:lang w:eastAsia="el-GR"/>
        </w:rPr>
      </w:pPr>
      <w:hyperlink w:anchor="_Toc89172865" w:history="1">
        <w:r w:rsidR="00BE2523" w:rsidRPr="00FE44AB">
          <w:rPr>
            <w:rStyle w:val="-"/>
            <w:b/>
            <w:bCs/>
            <w:noProof/>
          </w:rPr>
          <w:t>Διάγραμμα 3:</w:t>
        </w:r>
        <w:r w:rsidR="00BE2523" w:rsidRPr="00FE44AB">
          <w:rPr>
            <w:rStyle w:val="-"/>
            <w:b/>
            <w:noProof/>
          </w:rPr>
          <w:t xml:space="preserve"> </w:t>
        </w:r>
        <w:r w:rsidR="00BE2523" w:rsidRPr="00FE44AB">
          <w:rPr>
            <w:rStyle w:val="-"/>
            <w:noProof/>
          </w:rPr>
          <w:t>Ποσοστιαία μεταβολή της ακαθάριστης προστιθέμενης αξίας των επιμέρους κλάδων, Ελλάδα &amp; Ευρωζώνη (2020 Α’ εξάμηνο – 2021 Α’ εξάμηνο) –</w:t>
        </w:r>
        <w:r w:rsidR="00BE2523">
          <w:rPr>
            <w:noProof/>
            <w:webHidden/>
          </w:rPr>
          <w:tab/>
        </w:r>
        <w:r w:rsidR="00BE2523">
          <w:rPr>
            <w:noProof/>
            <w:webHidden/>
          </w:rPr>
          <w:fldChar w:fldCharType="begin"/>
        </w:r>
        <w:r w:rsidR="00BE2523">
          <w:rPr>
            <w:noProof/>
            <w:webHidden/>
          </w:rPr>
          <w:instrText xml:space="preserve"> PAGEREF _Toc89172865 \h </w:instrText>
        </w:r>
        <w:r w:rsidR="00BE2523">
          <w:rPr>
            <w:noProof/>
            <w:webHidden/>
          </w:rPr>
        </w:r>
        <w:r w:rsidR="00BE2523">
          <w:rPr>
            <w:noProof/>
            <w:webHidden/>
          </w:rPr>
          <w:fldChar w:fldCharType="separate"/>
        </w:r>
        <w:r w:rsidR="0038196B">
          <w:rPr>
            <w:noProof/>
            <w:webHidden/>
          </w:rPr>
          <w:t>13</w:t>
        </w:r>
        <w:r w:rsidR="00BE2523">
          <w:rPr>
            <w:noProof/>
            <w:webHidden/>
          </w:rPr>
          <w:fldChar w:fldCharType="end"/>
        </w:r>
      </w:hyperlink>
    </w:p>
    <w:p w14:paraId="4DBD1314" w14:textId="09394306" w:rsidR="00BE2523" w:rsidRDefault="00500704">
      <w:pPr>
        <w:pStyle w:val="af"/>
        <w:tabs>
          <w:tab w:val="right" w:leader="dot" w:pos="8302"/>
        </w:tabs>
        <w:rPr>
          <w:rFonts w:asciiTheme="minorHAnsi" w:eastAsiaTheme="minorEastAsia" w:hAnsiTheme="minorHAnsi"/>
          <w:noProof/>
          <w:color w:val="auto"/>
          <w:lang w:eastAsia="el-GR"/>
        </w:rPr>
      </w:pPr>
      <w:hyperlink w:anchor="_Toc89172866" w:history="1">
        <w:r w:rsidR="00BE2523" w:rsidRPr="00FE44AB">
          <w:rPr>
            <w:rStyle w:val="-"/>
            <w:b/>
            <w:bCs/>
            <w:noProof/>
          </w:rPr>
          <w:t>Διάγραμμα 4:</w:t>
        </w:r>
        <w:r w:rsidR="00BE2523" w:rsidRPr="00FE44AB">
          <w:rPr>
            <w:rStyle w:val="-"/>
            <w:b/>
            <w:noProof/>
          </w:rPr>
          <w:t xml:space="preserve"> </w:t>
        </w:r>
        <w:r w:rsidR="00BE2523" w:rsidRPr="00FE44AB">
          <w:rPr>
            <w:rStyle w:val="-"/>
            <w:noProof/>
          </w:rPr>
          <w:t>Ποσοστιαία μεταβολή της ακαθάριστης προστιθέμενης αξίας των επιμέρους κλάδων, Ελλάδα &amp; Ευρωζώνη (2019 Α’ εξάμηνο – 2021 Α’ εξάμηνο)</w:t>
        </w:r>
        <w:r w:rsidR="00BE2523">
          <w:rPr>
            <w:noProof/>
            <w:webHidden/>
          </w:rPr>
          <w:tab/>
        </w:r>
        <w:r w:rsidR="00BE2523">
          <w:rPr>
            <w:noProof/>
            <w:webHidden/>
          </w:rPr>
          <w:fldChar w:fldCharType="begin"/>
        </w:r>
        <w:r w:rsidR="00BE2523">
          <w:rPr>
            <w:noProof/>
            <w:webHidden/>
          </w:rPr>
          <w:instrText xml:space="preserve"> PAGEREF _Toc89172866 \h </w:instrText>
        </w:r>
        <w:r w:rsidR="00BE2523">
          <w:rPr>
            <w:noProof/>
            <w:webHidden/>
          </w:rPr>
        </w:r>
        <w:r w:rsidR="00BE2523">
          <w:rPr>
            <w:noProof/>
            <w:webHidden/>
          </w:rPr>
          <w:fldChar w:fldCharType="separate"/>
        </w:r>
        <w:r w:rsidR="0038196B">
          <w:rPr>
            <w:noProof/>
            <w:webHidden/>
          </w:rPr>
          <w:t>14</w:t>
        </w:r>
        <w:r w:rsidR="00BE2523">
          <w:rPr>
            <w:noProof/>
            <w:webHidden/>
          </w:rPr>
          <w:fldChar w:fldCharType="end"/>
        </w:r>
      </w:hyperlink>
    </w:p>
    <w:p w14:paraId="6991C2E0" w14:textId="744D794E" w:rsidR="00BE2523" w:rsidRDefault="00500704">
      <w:pPr>
        <w:pStyle w:val="af"/>
        <w:tabs>
          <w:tab w:val="right" w:leader="dot" w:pos="8302"/>
        </w:tabs>
        <w:rPr>
          <w:rFonts w:asciiTheme="minorHAnsi" w:eastAsiaTheme="minorEastAsia" w:hAnsiTheme="minorHAnsi"/>
          <w:noProof/>
          <w:color w:val="auto"/>
          <w:lang w:eastAsia="el-GR"/>
        </w:rPr>
      </w:pPr>
      <w:hyperlink w:anchor="_Toc89172867" w:history="1">
        <w:r w:rsidR="00BE2523" w:rsidRPr="00FE44AB">
          <w:rPr>
            <w:rStyle w:val="-"/>
            <w:b/>
            <w:bCs/>
            <w:noProof/>
          </w:rPr>
          <w:t>Διάγραμμα 5:</w:t>
        </w:r>
        <w:r w:rsidR="00BE2523" w:rsidRPr="00FE44AB">
          <w:rPr>
            <w:rStyle w:val="-"/>
            <w:b/>
            <w:noProof/>
          </w:rPr>
          <w:t xml:space="preserve"> </w:t>
        </w:r>
        <w:r w:rsidR="00BE2523" w:rsidRPr="00FE44AB">
          <w:rPr>
            <w:rStyle w:val="-"/>
            <w:noProof/>
          </w:rPr>
          <w:t>Ποσοστιαία σύνθεση ακαθάριστης προστιθέμενης αξίας των επιμέρους κλάδων, Ευρωζώνη,</w:t>
        </w:r>
        <w:r w:rsidR="00BE2523">
          <w:rPr>
            <w:noProof/>
            <w:webHidden/>
          </w:rPr>
          <w:tab/>
        </w:r>
        <w:r w:rsidR="00BE2523">
          <w:rPr>
            <w:noProof/>
            <w:webHidden/>
          </w:rPr>
          <w:fldChar w:fldCharType="begin"/>
        </w:r>
        <w:r w:rsidR="00BE2523">
          <w:rPr>
            <w:noProof/>
            <w:webHidden/>
          </w:rPr>
          <w:instrText xml:space="preserve"> PAGEREF _Toc89172867 \h </w:instrText>
        </w:r>
        <w:r w:rsidR="00BE2523">
          <w:rPr>
            <w:noProof/>
            <w:webHidden/>
          </w:rPr>
        </w:r>
        <w:r w:rsidR="00BE2523">
          <w:rPr>
            <w:noProof/>
            <w:webHidden/>
          </w:rPr>
          <w:fldChar w:fldCharType="separate"/>
        </w:r>
        <w:r w:rsidR="0038196B">
          <w:rPr>
            <w:noProof/>
            <w:webHidden/>
          </w:rPr>
          <w:t>15</w:t>
        </w:r>
        <w:r w:rsidR="00BE2523">
          <w:rPr>
            <w:noProof/>
            <w:webHidden/>
          </w:rPr>
          <w:fldChar w:fldCharType="end"/>
        </w:r>
      </w:hyperlink>
    </w:p>
    <w:p w14:paraId="17EDF8B3" w14:textId="66377E54" w:rsidR="00BE2523" w:rsidRDefault="00500704">
      <w:pPr>
        <w:pStyle w:val="af"/>
        <w:tabs>
          <w:tab w:val="right" w:leader="dot" w:pos="8302"/>
        </w:tabs>
        <w:rPr>
          <w:rFonts w:asciiTheme="minorHAnsi" w:eastAsiaTheme="minorEastAsia" w:hAnsiTheme="minorHAnsi"/>
          <w:noProof/>
          <w:color w:val="auto"/>
          <w:lang w:eastAsia="el-GR"/>
        </w:rPr>
      </w:pPr>
      <w:hyperlink w:anchor="_Toc89172868" w:history="1">
        <w:r w:rsidR="00BE2523" w:rsidRPr="00FE44AB">
          <w:rPr>
            <w:rStyle w:val="-"/>
            <w:b/>
            <w:bCs/>
            <w:noProof/>
          </w:rPr>
          <w:t>Διάγραμμα 6:</w:t>
        </w:r>
        <w:r w:rsidR="00BE2523" w:rsidRPr="00FE44AB">
          <w:rPr>
            <w:rStyle w:val="-"/>
            <w:b/>
            <w:noProof/>
          </w:rPr>
          <w:t xml:space="preserve"> </w:t>
        </w:r>
        <w:r w:rsidR="00BE2523" w:rsidRPr="00FE44AB">
          <w:rPr>
            <w:rStyle w:val="-"/>
            <w:noProof/>
          </w:rPr>
          <w:t>Ποσοστιαία σύνθεση ακαθάριστης προστιθέμενης αξίας των επιμέρους κλάδων, Ελλάδα</w:t>
        </w:r>
        <w:r w:rsidR="00BE2523">
          <w:rPr>
            <w:noProof/>
            <w:webHidden/>
          </w:rPr>
          <w:tab/>
        </w:r>
        <w:r w:rsidR="00BE2523">
          <w:rPr>
            <w:noProof/>
            <w:webHidden/>
          </w:rPr>
          <w:fldChar w:fldCharType="begin"/>
        </w:r>
        <w:r w:rsidR="00BE2523">
          <w:rPr>
            <w:noProof/>
            <w:webHidden/>
          </w:rPr>
          <w:instrText xml:space="preserve"> PAGEREF _Toc89172868 \h </w:instrText>
        </w:r>
        <w:r w:rsidR="00BE2523">
          <w:rPr>
            <w:noProof/>
            <w:webHidden/>
          </w:rPr>
        </w:r>
        <w:r w:rsidR="00BE2523">
          <w:rPr>
            <w:noProof/>
            <w:webHidden/>
          </w:rPr>
          <w:fldChar w:fldCharType="separate"/>
        </w:r>
        <w:r w:rsidR="0038196B">
          <w:rPr>
            <w:noProof/>
            <w:webHidden/>
          </w:rPr>
          <w:t>15</w:t>
        </w:r>
        <w:r w:rsidR="00BE2523">
          <w:rPr>
            <w:noProof/>
            <w:webHidden/>
          </w:rPr>
          <w:fldChar w:fldCharType="end"/>
        </w:r>
      </w:hyperlink>
    </w:p>
    <w:p w14:paraId="1F6A9F08" w14:textId="77871C18" w:rsidR="00BE2523" w:rsidRDefault="00500704">
      <w:pPr>
        <w:pStyle w:val="af"/>
        <w:tabs>
          <w:tab w:val="right" w:leader="dot" w:pos="8302"/>
        </w:tabs>
        <w:rPr>
          <w:rFonts w:asciiTheme="minorHAnsi" w:eastAsiaTheme="minorEastAsia" w:hAnsiTheme="minorHAnsi"/>
          <w:noProof/>
          <w:color w:val="auto"/>
          <w:lang w:eastAsia="el-GR"/>
        </w:rPr>
      </w:pPr>
      <w:hyperlink w:anchor="_Toc89172869" w:history="1">
        <w:r w:rsidR="00BE2523" w:rsidRPr="00FE44AB">
          <w:rPr>
            <w:rStyle w:val="-"/>
            <w:rFonts w:cs="Times New Roman"/>
            <w:b/>
            <w:noProof/>
          </w:rPr>
          <w:t>Διάγραμμα 7:</w:t>
        </w:r>
        <w:r w:rsidR="00BE2523" w:rsidRPr="00FE44AB">
          <w:rPr>
            <w:rStyle w:val="-"/>
            <w:noProof/>
            <w:kern w:val="24"/>
            <w:lang w:eastAsia="el-GR"/>
          </w:rPr>
          <w:t xml:space="preserve"> </w:t>
        </w:r>
        <w:r w:rsidR="00BE2523" w:rsidRPr="00FE44AB">
          <w:rPr>
            <w:rStyle w:val="-"/>
            <w:noProof/>
          </w:rPr>
          <w:t>Εναρμονισμένος Δείκτης Τιμών Καταναλωτή</w:t>
        </w:r>
        <w:r w:rsidR="00BE2523">
          <w:rPr>
            <w:noProof/>
            <w:webHidden/>
          </w:rPr>
          <w:tab/>
        </w:r>
        <w:r w:rsidR="00BE2523">
          <w:rPr>
            <w:noProof/>
            <w:webHidden/>
          </w:rPr>
          <w:fldChar w:fldCharType="begin"/>
        </w:r>
        <w:r w:rsidR="00BE2523">
          <w:rPr>
            <w:noProof/>
            <w:webHidden/>
          </w:rPr>
          <w:instrText xml:space="preserve"> PAGEREF _Toc89172869 \h </w:instrText>
        </w:r>
        <w:r w:rsidR="00BE2523">
          <w:rPr>
            <w:noProof/>
            <w:webHidden/>
          </w:rPr>
        </w:r>
        <w:r w:rsidR="00BE2523">
          <w:rPr>
            <w:noProof/>
            <w:webHidden/>
          </w:rPr>
          <w:fldChar w:fldCharType="separate"/>
        </w:r>
        <w:r w:rsidR="0038196B">
          <w:rPr>
            <w:noProof/>
            <w:webHidden/>
          </w:rPr>
          <w:t>18</w:t>
        </w:r>
        <w:r w:rsidR="00BE2523">
          <w:rPr>
            <w:noProof/>
            <w:webHidden/>
          </w:rPr>
          <w:fldChar w:fldCharType="end"/>
        </w:r>
      </w:hyperlink>
    </w:p>
    <w:p w14:paraId="5863ABA1" w14:textId="64A216CE" w:rsidR="00BE2523" w:rsidRDefault="00500704">
      <w:pPr>
        <w:pStyle w:val="af"/>
        <w:tabs>
          <w:tab w:val="right" w:leader="dot" w:pos="8302"/>
        </w:tabs>
        <w:rPr>
          <w:rFonts w:asciiTheme="minorHAnsi" w:eastAsiaTheme="minorEastAsia" w:hAnsiTheme="minorHAnsi"/>
          <w:noProof/>
          <w:color w:val="auto"/>
          <w:lang w:eastAsia="el-GR"/>
        </w:rPr>
      </w:pPr>
      <w:hyperlink w:anchor="_Toc89172870" w:history="1">
        <w:r w:rsidR="00BE2523" w:rsidRPr="00FE44AB">
          <w:rPr>
            <w:rStyle w:val="-"/>
            <w:rFonts w:cs="Times New Roman"/>
            <w:b/>
            <w:noProof/>
          </w:rPr>
          <w:t>Διάγραμμα 8:</w:t>
        </w:r>
        <w:r w:rsidR="00BE2523" w:rsidRPr="00FE44AB">
          <w:rPr>
            <w:rStyle w:val="-"/>
            <w:noProof/>
            <w:kern w:val="24"/>
            <w:lang w:eastAsia="el-GR"/>
          </w:rPr>
          <w:t xml:space="preserve"> </w:t>
        </w:r>
        <w:r w:rsidR="00BE2523" w:rsidRPr="00FE44AB">
          <w:rPr>
            <w:rStyle w:val="-"/>
            <w:noProof/>
          </w:rPr>
          <w:t>Εν.ΔΤΚ Οκτωβρίου 2021 ανά ομάδα αγαθών &amp; υπηρεσιών</w:t>
        </w:r>
        <w:r w:rsidR="00BE2523">
          <w:rPr>
            <w:noProof/>
            <w:webHidden/>
          </w:rPr>
          <w:tab/>
        </w:r>
        <w:r w:rsidR="00BE2523">
          <w:rPr>
            <w:noProof/>
            <w:webHidden/>
          </w:rPr>
          <w:fldChar w:fldCharType="begin"/>
        </w:r>
        <w:r w:rsidR="00BE2523">
          <w:rPr>
            <w:noProof/>
            <w:webHidden/>
          </w:rPr>
          <w:instrText xml:space="preserve"> PAGEREF _Toc89172870 \h </w:instrText>
        </w:r>
        <w:r w:rsidR="00BE2523">
          <w:rPr>
            <w:noProof/>
            <w:webHidden/>
          </w:rPr>
        </w:r>
        <w:r w:rsidR="00BE2523">
          <w:rPr>
            <w:noProof/>
            <w:webHidden/>
          </w:rPr>
          <w:fldChar w:fldCharType="separate"/>
        </w:r>
        <w:r w:rsidR="0038196B">
          <w:rPr>
            <w:noProof/>
            <w:webHidden/>
          </w:rPr>
          <w:t>19</w:t>
        </w:r>
        <w:r w:rsidR="00BE2523">
          <w:rPr>
            <w:noProof/>
            <w:webHidden/>
          </w:rPr>
          <w:fldChar w:fldCharType="end"/>
        </w:r>
      </w:hyperlink>
    </w:p>
    <w:p w14:paraId="02BC2266" w14:textId="128B91F9" w:rsidR="00BE2523" w:rsidRDefault="00500704">
      <w:pPr>
        <w:pStyle w:val="af"/>
        <w:tabs>
          <w:tab w:val="right" w:leader="dot" w:pos="8302"/>
        </w:tabs>
        <w:rPr>
          <w:rFonts w:asciiTheme="minorHAnsi" w:eastAsiaTheme="minorEastAsia" w:hAnsiTheme="minorHAnsi"/>
          <w:noProof/>
          <w:color w:val="auto"/>
          <w:lang w:eastAsia="el-GR"/>
        </w:rPr>
      </w:pPr>
      <w:hyperlink w:anchor="_Toc89172871" w:history="1">
        <w:r w:rsidR="00BE2523" w:rsidRPr="00FE44AB">
          <w:rPr>
            <w:rStyle w:val="-"/>
            <w:rFonts w:cs="Times New Roman"/>
            <w:b/>
            <w:noProof/>
          </w:rPr>
          <w:t>Διάγραμμα 9:</w:t>
        </w:r>
        <w:r w:rsidR="00BE2523" w:rsidRPr="00FE44AB">
          <w:rPr>
            <w:rStyle w:val="-"/>
            <w:noProof/>
            <w:kern w:val="24"/>
            <w:lang w:eastAsia="el-GR"/>
          </w:rPr>
          <w:t xml:space="preserve"> </w:t>
        </w:r>
        <w:r w:rsidR="00BE2523" w:rsidRPr="00FE44AB">
          <w:rPr>
            <w:rStyle w:val="-"/>
            <w:noProof/>
          </w:rPr>
          <w:t>Δομικός πληθωρισμός Ελλάδας &amp; ευρωζώνης</w:t>
        </w:r>
        <w:r w:rsidR="00BE2523">
          <w:rPr>
            <w:noProof/>
            <w:webHidden/>
          </w:rPr>
          <w:tab/>
        </w:r>
        <w:r w:rsidR="00BE2523">
          <w:rPr>
            <w:noProof/>
            <w:webHidden/>
          </w:rPr>
          <w:fldChar w:fldCharType="begin"/>
        </w:r>
        <w:r w:rsidR="00BE2523">
          <w:rPr>
            <w:noProof/>
            <w:webHidden/>
          </w:rPr>
          <w:instrText xml:space="preserve"> PAGEREF _Toc89172871 \h </w:instrText>
        </w:r>
        <w:r w:rsidR="00BE2523">
          <w:rPr>
            <w:noProof/>
            <w:webHidden/>
          </w:rPr>
        </w:r>
        <w:r w:rsidR="00BE2523">
          <w:rPr>
            <w:noProof/>
            <w:webHidden/>
          </w:rPr>
          <w:fldChar w:fldCharType="separate"/>
        </w:r>
        <w:r w:rsidR="0038196B">
          <w:rPr>
            <w:noProof/>
            <w:webHidden/>
          </w:rPr>
          <w:t>20</w:t>
        </w:r>
        <w:r w:rsidR="00BE2523">
          <w:rPr>
            <w:noProof/>
            <w:webHidden/>
          </w:rPr>
          <w:fldChar w:fldCharType="end"/>
        </w:r>
      </w:hyperlink>
    </w:p>
    <w:p w14:paraId="06804D8B" w14:textId="352707B1" w:rsidR="00BE2523" w:rsidRDefault="00500704">
      <w:pPr>
        <w:pStyle w:val="af"/>
        <w:tabs>
          <w:tab w:val="right" w:leader="dot" w:pos="8302"/>
        </w:tabs>
        <w:rPr>
          <w:rFonts w:asciiTheme="minorHAnsi" w:eastAsiaTheme="minorEastAsia" w:hAnsiTheme="minorHAnsi"/>
          <w:noProof/>
          <w:color w:val="auto"/>
          <w:lang w:eastAsia="el-GR"/>
        </w:rPr>
      </w:pPr>
      <w:hyperlink w:anchor="_Toc89172872" w:history="1">
        <w:r w:rsidR="00BE2523" w:rsidRPr="00FE44AB">
          <w:rPr>
            <w:rStyle w:val="-"/>
            <w:rFonts w:cs="Times New Roman"/>
            <w:b/>
            <w:noProof/>
          </w:rPr>
          <w:t>Διάγραμμα 10:</w:t>
        </w:r>
        <w:r w:rsidR="00BE2523" w:rsidRPr="00FE44AB">
          <w:rPr>
            <w:rStyle w:val="-"/>
            <w:noProof/>
            <w:kern w:val="24"/>
            <w:lang w:eastAsia="el-GR"/>
          </w:rPr>
          <w:t xml:space="preserve"> </w:t>
        </w:r>
        <w:r w:rsidR="00BE2523" w:rsidRPr="00FE44AB">
          <w:rPr>
            <w:rStyle w:val="-"/>
            <w:noProof/>
          </w:rPr>
          <w:t>Εναρμονισμένος Δείκτης Τιμών Καταναλωτή τομέα Ενέργειας</w:t>
        </w:r>
        <w:r w:rsidR="00BE2523">
          <w:rPr>
            <w:noProof/>
            <w:webHidden/>
          </w:rPr>
          <w:tab/>
        </w:r>
        <w:r w:rsidR="00BE2523">
          <w:rPr>
            <w:noProof/>
            <w:webHidden/>
          </w:rPr>
          <w:fldChar w:fldCharType="begin"/>
        </w:r>
        <w:r w:rsidR="00BE2523">
          <w:rPr>
            <w:noProof/>
            <w:webHidden/>
          </w:rPr>
          <w:instrText xml:space="preserve"> PAGEREF _Toc89172872 \h </w:instrText>
        </w:r>
        <w:r w:rsidR="00BE2523">
          <w:rPr>
            <w:noProof/>
            <w:webHidden/>
          </w:rPr>
        </w:r>
        <w:r w:rsidR="00BE2523">
          <w:rPr>
            <w:noProof/>
            <w:webHidden/>
          </w:rPr>
          <w:fldChar w:fldCharType="separate"/>
        </w:r>
        <w:r w:rsidR="0038196B">
          <w:rPr>
            <w:noProof/>
            <w:webHidden/>
          </w:rPr>
          <w:t>21</w:t>
        </w:r>
        <w:r w:rsidR="00BE2523">
          <w:rPr>
            <w:noProof/>
            <w:webHidden/>
          </w:rPr>
          <w:fldChar w:fldCharType="end"/>
        </w:r>
      </w:hyperlink>
    </w:p>
    <w:p w14:paraId="032B809B" w14:textId="122B1B63" w:rsidR="00BE2523" w:rsidRDefault="00500704">
      <w:pPr>
        <w:pStyle w:val="af"/>
        <w:tabs>
          <w:tab w:val="right" w:leader="dot" w:pos="8302"/>
        </w:tabs>
        <w:rPr>
          <w:rFonts w:asciiTheme="minorHAnsi" w:eastAsiaTheme="minorEastAsia" w:hAnsiTheme="minorHAnsi"/>
          <w:noProof/>
          <w:color w:val="auto"/>
          <w:lang w:eastAsia="el-GR"/>
        </w:rPr>
      </w:pPr>
      <w:hyperlink w:anchor="_Toc89172873" w:history="1">
        <w:r w:rsidR="00BE2523" w:rsidRPr="00FE44AB">
          <w:rPr>
            <w:rStyle w:val="-"/>
            <w:rFonts w:cs="Times New Roman"/>
            <w:b/>
            <w:noProof/>
          </w:rPr>
          <w:t>Διάγραμμα 11:</w:t>
        </w:r>
        <w:r w:rsidR="00BE2523" w:rsidRPr="00FE44AB">
          <w:rPr>
            <w:rStyle w:val="-"/>
            <w:noProof/>
            <w:kern w:val="24"/>
            <w:lang w:eastAsia="el-GR"/>
          </w:rPr>
          <w:t xml:space="preserve"> </w:t>
        </w:r>
        <w:r w:rsidR="00BE2523" w:rsidRPr="00FE44AB">
          <w:rPr>
            <w:rStyle w:val="-"/>
            <w:rFonts w:eastAsia="Calibri" w:cs="Times New Roman"/>
            <w:iCs/>
            <w:noProof/>
          </w:rPr>
          <w:t>Εξέλιξη εργατικού δυναμικού, απασχόλησης και ποσοστού ανεργίας (Αυγ. 2019, Αύγ. 2020 – Αύγ. 2021)</w:t>
        </w:r>
        <w:r w:rsidR="00BE2523">
          <w:rPr>
            <w:noProof/>
            <w:webHidden/>
          </w:rPr>
          <w:tab/>
        </w:r>
        <w:r w:rsidR="00BE2523">
          <w:rPr>
            <w:noProof/>
            <w:webHidden/>
          </w:rPr>
          <w:fldChar w:fldCharType="begin"/>
        </w:r>
        <w:r w:rsidR="00BE2523">
          <w:rPr>
            <w:noProof/>
            <w:webHidden/>
          </w:rPr>
          <w:instrText xml:space="preserve"> PAGEREF _Toc89172873 \h </w:instrText>
        </w:r>
        <w:r w:rsidR="00BE2523">
          <w:rPr>
            <w:noProof/>
            <w:webHidden/>
          </w:rPr>
        </w:r>
        <w:r w:rsidR="00BE2523">
          <w:rPr>
            <w:noProof/>
            <w:webHidden/>
          </w:rPr>
          <w:fldChar w:fldCharType="separate"/>
        </w:r>
        <w:r w:rsidR="0038196B">
          <w:rPr>
            <w:noProof/>
            <w:webHidden/>
          </w:rPr>
          <w:t>22</w:t>
        </w:r>
        <w:r w:rsidR="00BE2523">
          <w:rPr>
            <w:noProof/>
            <w:webHidden/>
          </w:rPr>
          <w:fldChar w:fldCharType="end"/>
        </w:r>
      </w:hyperlink>
    </w:p>
    <w:p w14:paraId="36F159C5" w14:textId="47A8C84C" w:rsidR="00BE2523" w:rsidRDefault="00500704">
      <w:pPr>
        <w:pStyle w:val="af"/>
        <w:tabs>
          <w:tab w:val="right" w:leader="dot" w:pos="8302"/>
        </w:tabs>
        <w:rPr>
          <w:rFonts w:asciiTheme="minorHAnsi" w:eastAsiaTheme="minorEastAsia" w:hAnsiTheme="minorHAnsi"/>
          <w:noProof/>
          <w:color w:val="auto"/>
          <w:lang w:eastAsia="el-GR"/>
        </w:rPr>
      </w:pPr>
      <w:hyperlink w:anchor="_Toc89172874" w:history="1">
        <w:r w:rsidR="00BE2523" w:rsidRPr="00FE44AB">
          <w:rPr>
            <w:rStyle w:val="-"/>
            <w:rFonts w:cs="Times New Roman"/>
            <w:b/>
            <w:noProof/>
          </w:rPr>
          <w:t>Διάγραμμα 12:</w:t>
        </w:r>
        <w:r w:rsidR="00BE2523" w:rsidRPr="00FE44AB">
          <w:rPr>
            <w:rStyle w:val="-"/>
            <w:noProof/>
            <w:kern w:val="24"/>
            <w:lang w:eastAsia="el-GR"/>
          </w:rPr>
          <w:t xml:space="preserve"> </w:t>
        </w:r>
        <w:r w:rsidR="00BE2523" w:rsidRPr="00FE44AB">
          <w:rPr>
            <w:rStyle w:val="-"/>
            <w:rFonts w:eastAsia="Calibri" w:cs="Times New Roman"/>
            <w:iCs/>
            <w:noProof/>
          </w:rPr>
          <w:t>Ροές μισθωτής απασχόλησης στον ιδιωτικό τομέα (Ιανουάριος-Σεπτέμβριος)</w:t>
        </w:r>
        <w:r w:rsidR="00BE2523">
          <w:rPr>
            <w:noProof/>
            <w:webHidden/>
          </w:rPr>
          <w:tab/>
        </w:r>
        <w:r w:rsidR="00BE2523">
          <w:rPr>
            <w:noProof/>
            <w:webHidden/>
          </w:rPr>
          <w:fldChar w:fldCharType="begin"/>
        </w:r>
        <w:r w:rsidR="00BE2523">
          <w:rPr>
            <w:noProof/>
            <w:webHidden/>
          </w:rPr>
          <w:instrText xml:space="preserve"> PAGEREF _Toc89172874 \h </w:instrText>
        </w:r>
        <w:r w:rsidR="00BE2523">
          <w:rPr>
            <w:noProof/>
            <w:webHidden/>
          </w:rPr>
        </w:r>
        <w:r w:rsidR="00BE2523">
          <w:rPr>
            <w:noProof/>
            <w:webHidden/>
          </w:rPr>
          <w:fldChar w:fldCharType="separate"/>
        </w:r>
        <w:r w:rsidR="0038196B">
          <w:rPr>
            <w:noProof/>
            <w:webHidden/>
          </w:rPr>
          <w:t>23</w:t>
        </w:r>
        <w:r w:rsidR="00BE2523">
          <w:rPr>
            <w:noProof/>
            <w:webHidden/>
          </w:rPr>
          <w:fldChar w:fldCharType="end"/>
        </w:r>
      </w:hyperlink>
    </w:p>
    <w:p w14:paraId="640DB03D" w14:textId="2524078F" w:rsidR="00BE2523" w:rsidRDefault="00500704">
      <w:pPr>
        <w:pStyle w:val="af"/>
        <w:tabs>
          <w:tab w:val="right" w:leader="dot" w:pos="8302"/>
        </w:tabs>
        <w:rPr>
          <w:rFonts w:asciiTheme="minorHAnsi" w:eastAsiaTheme="minorEastAsia" w:hAnsiTheme="minorHAnsi"/>
          <w:noProof/>
          <w:color w:val="auto"/>
          <w:lang w:eastAsia="el-GR"/>
        </w:rPr>
      </w:pPr>
      <w:hyperlink w:anchor="_Toc89172875" w:history="1">
        <w:r w:rsidR="00BE2523" w:rsidRPr="00FE44AB">
          <w:rPr>
            <w:rStyle w:val="-"/>
            <w:b/>
            <w:iCs/>
            <w:noProof/>
          </w:rPr>
          <w:t xml:space="preserve">Διάγραμμα 13: </w:t>
        </w:r>
        <w:r w:rsidR="00BE2523" w:rsidRPr="00FE44AB">
          <w:rPr>
            <w:rStyle w:val="-"/>
            <w:noProof/>
          </w:rPr>
          <w:t>Ισοζύγιο τρεχουσών συναλλαγών Ιανουαρίου-Αυγούστου (εκατ. ευρώ)</w:t>
        </w:r>
        <w:r w:rsidR="00BE2523">
          <w:rPr>
            <w:noProof/>
            <w:webHidden/>
          </w:rPr>
          <w:tab/>
        </w:r>
        <w:r w:rsidR="00BE2523">
          <w:rPr>
            <w:noProof/>
            <w:webHidden/>
          </w:rPr>
          <w:fldChar w:fldCharType="begin"/>
        </w:r>
        <w:r w:rsidR="00BE2523">
          <w:rPr>
            <w:noProof/>
            <w:webHidden/>
          </w:rPr>
          <w:instrText xml:space="preserve"> PAGEREF _Toc89172875 \h </w:instrText>
        </w:r>
        <w:r w:rsidR="00BE2523">
          <w:rPr>
            <w:noProof/>
            <w:webHidden/>
          </w:rPr>
        </w:r>
        <w:r w:rsidR="00BE2523">
          <w:rPr>
            <w:noProof/>
            <w:webHidden/>
          </w:rPr>
          <w:fldChar w:fldCharType="separate"/>
        </w:r>
        <w:r w:rsidR="0038196B">
          <w:rPr>
            <w:noProof/>
            <w:webHidden/>
          </w:rPr>
          <w:t>24</w:t>
        </w:r>
        <w:r w:rsidR="00BE2523">
          <w:rPr>
            <w:noProof/>
            <w:webHidden/>
          </w:rPr>
          <w:fldChar w:fldCharType="end"/>
        </w:r>
      </w:hyperlink>
    </w:p>
    <w:p w14:paraId="7C2EFDA8" w14:textId="087802BD" w:rsidR="00BE2523" w:rsidRDefault="00500704">
      <w:pPr>
        <w:pStyle w:val="af"/>
        <w:tabs>
          <w:tab w:val="right" w:leader="dot" w:pos="8302"/>
        </w:tabs>
        <w:rPr>
          <w:rFonts w:asciiTheme="minorHAnsi" w:eastAsiaTheme="minorEastAsia" w:hAnsiTheme="minorHAnsi"/>
          <w:noProof/>
          <w:color w:val="auto"/>
          <w:lang w:eastAsia="el-GR"/>
        </w:rPr>
      </w:pPr>
      <w:hyperlink w:anchor="_Toc89172876" w:history="1">
        <w:r w:rsidR="00BE2523" w:rsidRPr="00FE44AB">
          <w:rPr>
            <w:rStyle w:val="-"/>
            <w:b/>
            <w:iCs/>
            <w:noProof/>
          </w:rPr>
          <w:t xml:space="preserve">Διάγραμμα 14: </w:t>
        </w:r>
        <w:r w:rsidR="00BE2523" w:rsidRPr="00FE44AB">
          <w:rPr>
            <w:rStyle w:val="-"/>
            <w:noProof/>
          </w:rPr>
          <w:t>Ισοζύγιο αγαθών Ιανουαρίου-Αυγούστου (εκατ. ευρώ)</w:t>
        </w:r>
        <w:r w:rsidR="00BE2523">
          <w:rPr>
            <w:noProof/>
            <w:webHidden/>
          </w:rPr>
          <w:tab/>
        </w:r>
        <w:r w:rsidR="00BE2523">
          <w:rPr>
            <w:noProof/>
            <w:webHidden/>
          </w:rPr>
          <w:fldChar w:fldCharType="begin"/>
        </w:r>
        <w:r w:rsidR="00BE2523">
          <w:rPr>
            <w:noProof/>
            <w:webHidden/>
          </w:rPr>
          <w:instrText xml:space="preserve"> PAGEREF _Toc89172876 \h </w:instrText>
        </w:r>
        <w:r w:rsidR="00BE2523">
          <w:rPr>
            <w:noProof/>
            <w:webHidden/>
          </w:rPr>
        </w:r>
        <w:r w:rsidR="00BE2523">
          <w:rPr>
            <w:noProof/>
            <w:webHidden/>
          </w:rPr>
          <w:fldChar w:fldCharType="separate"/>
        </w:r>
        <w:r w:rsidR="0038196B">
          <w:rPr>
            <w:noProof/>
            <w:webHidden/>
          </w:rPr>
          <w:t>24</w:t>
        </w:r>
        <w:r w:rsidR="00BE2523">
          <w:rPr>
            <w:noProof/>
            <w:webHidden/>
          </w:rPr>
          <w:fldChar w:fldCharType="end"/>
        </w:r>
      </w:hyperlink>
    </w:p>
    <w:p w14:paraId="31C60CA5" w14:textId="4FC9F6C8" w:rsidR="00BE2523" w:rsidRDefault="00500704">
      <w:pPr>
        <w:pStyle w:val="af"/>
        <w:tabs>
          <w:tab w:val="right" w:leader="dot" w:pos="8302"/>
        </w:tabs>
        <w:rPr>
          <w:rFonts w:asciiTheme="minorHAnsi" w:eastAsiaTheme="minorEastAsia" w:hAnsiTheme="minorHAnsi"/>
          <w:noProof/>
          <w:color w:val="auto"/>
          <w:lang w:eastAsia="el-GR"/>
        </w:rPr>
      </w:pPr>
      <w:hyperlink w:anchor="_Toc89172877" w:history="1">
        <w:r w:rsidR="00BE2523" w:rsidRPr="00FE44AB">
          <w:rPr>
            <w:rStyle w:val="-"/>
            <w:b/>
            <w:iCs/>
            <w:noProof/>
          </w:rPr>
          <w:t xml:space="preserve">Διάγραμμα 15: </w:t>
        </w:r>
        <w:r w:rsidR="00BE2523" w:rsidRPr="00FE44AB">
          <w:rPr>
            <w:rStyle w:val="-"/>
            <w:noProof/>
          </w:rPr>
          <w:t>Εισαγωγές και εξαγωγές αγαθών Ιανουαρίου-Αυγούστου (εκατ. ευρώ)</w:t>
        </w:r>
        <w:r w:rsidR="00BE2523">
          <w:rPr>
            <w:noProof/>
            <w:webHidden/>
          </w:rPr>
          <w:tab/>
        </w:r>
        <w:r w:rsidR="00BE2523">
          <w:rPr>
            <w:noProof/>
            <w:webHidden/>
          </w:rPr>
          <w:fldChar w:fldCharType="begin"/>
        </w:r>
        <w:r w:rsidR="00BE2523">
          <w:rPr>
            <w:noProof/>
            <w:webHidden/>
          </w:rPr>
          <w:instrText xml:space="preserve"> PAGEREF _Toc89172877 \h </w:instrText>
        </w:r>
        <w:r w:rsidR="00BE2523">
          <w:rPr>
            <w:noProof/>
            <w:webHidden/>
          </w:rPr>
        </w:r>
        <w:r w:rsidR="00BE2523">
          <w:rPr>
            <w:noProof/>
            <w:webHidden/>
          </w:rPr>
          <w:fldChar w:fldCharType="separate"/>
        </w:r>
        <w:r w:rsidR="0038196B">
          <w:rPr>
            <w:noProof/>
            <w:webHidden/>
          </w:rPr>
          <w:t>25</w:t>
        </w:r>
        <w:r w:rsidR="00BE2523">
          <w:rPr>
            <w:noProof/>
            <w:webHidden/>
          </w:rPr>
          <w:fldChar w:fldCharType="end"/>
        </w:r>
      </w:hyperlink>
    </w:p>
    <w:p w14:paraId="15DFDE1A" w14:textId="1D6C5C6F" w:rsidR="00BE2523" w:rsidRDefault="00500704">
      <w:pPr>
        <w:pStyle w:val="af"/>
        <w:tabs>
          <w:tab w:val="right" w:leader="dot" w:pos="8302"/>
        </w:tabs>
        <w:rPr>
          <w:rFonts w:asciiTheme="minorHAnsi" w:eastAsiaTheme="minorEastAsia" w:hAnsiTheme="minorHAnsi"/>
          <w:noProof/>
          <w:color w:val="auto"/>
          <w:lang w:eastAsia="el-GR"/>
        </w:rPr>
      </w:pPr>
      <w:hyperlink w:anchor="_Toc89172878" w:history="1">
        <w:r w:rsidR="00BE2523" w:rsidRPr="00FE44AB">
          <w:rPr>
            <w:rStyle w:val="-"/>
            <w:b/>
            <w:iCs/>
            <w:noProof/>
          </w:rPr>
          <w:t xml:space="preserve">Διάγραμμα 16: </w:t>
        </w:r>
        <w:r w:rsidR="00BE2523" w:rsidRPr="00FE44AB">
          <w:rPr>
            <w:rStyle w:val="-"/>
            <w:noProof/>
          </w:rPr>
          <w:t>Ισοζύγιο υπηρεσιών Ιανουαρίου-Αυγούστου (εκατ. ευρώ)</w:t>
        </w:r>
        <w:r w:rsidR="00BE2523">
          <w:rPr>
            <w:noProof/>
            <w:webHidden/>
          </w:rPr>
          <w:tab/>
        </w:r>
        <w:r w:rsidR="00BE2523">
          <w:rPr>
            <w:noProof/>
            <w:webHidden/>
          </w:rPr>
          <w:fldChar w:fldCharType="begin"/>
        </w:r>
        <w:r w:rsidR="00BE2523">
          <w:rPr>
            <w:noProof/>
            <w:webHidden/>
          </w:rPr>
          <w:instrText xml:space="preserve"> PAGEREF _Toc89172878 \h </w:instrText>
        </w:r>
        <w:r w:rsidR="00BE2523">
          <w:rPr>
            <w:noProof/>
            <w:webHidden/>
          </w:rPr>
        </w:r>
        <w:r w:rsidR="00BE2523">
          <w:rPr>
            <w:noProof/>
            <w:webHidden/>
          </w:rPr>
          <w:fldChar w:fldCharType="separate"/>
        </w:r>
        <w:r w:rsidR="0038196B">
          <w:rPr>
            <w:noProof/>
            <w:webHidden/>
          </w:rPr>
          <w:t>25</w:t>
        </w:r>
        <w:r w:rsidR="00BE2523">
          <w:rPr>
            <w:noProof/>
            <w:webHidden/>
          </w:rPr>
          <w:fldChar w:fldCharType="end"/>
        </w:r>
      </w:hyperlink>
    </w:p>
    <w:p w14:paraId="48583BD9" w14:textId="101248E3" w:rsidR="00BE2523" w:rsidRDefault="00500704">
      <w:pPr>
        <w:pStyle w:val="af"/>
        <w:tabs>
          <w:tab w:val="right" w:leader="dot" w:pos="8302"/>
        </w:tabs>
        <w:rPr>
          <w:rFonts w:asciiTheme="minorHAnsi" w:eastAsiaTheme="minorEastAsia" w:hAnsiTheme="minorHAnsi"/>
          <w:noProof/>
          <w:color w:val="auto"/>
          <w:lang w:eastAsia="el-GR"/>
        </w:rPr>
      </w:pPr>
      <w:hyperlink w:anchor="_Toc89172879" w:history="1">
        <w:r w:rsidR="00BE2523" w:rsidRPr="00FE44AB">
          <w:rPr>
            <w:rStyle w:val="-"/>
            <w:b/>
            <w:iCs/>
            <w:noProof/>
          </w:rPr>
          <w:t xml:space="preserve">Διάγραμμα 17: </w:t>
        </w:r>
        <w:r w:rsidR="00BE2523" w:rsidRPr="00FE44AB">
          <w:rPr>
            <w:rStyle w:val="-"/>
            <w:noProof/>
          </w:rPr>
          <w:t>Ταξιδιωτικές εισπράξεις 2021 (εκατ. ευρώ)</w:t>
        </w:r>
        <w:r w:rsidR="00BE2523">
          <w:rPr>
            <w:noProof/>
            <w:webHidden/>
          </w:rPr>
          <w:tab/>
        </w:r>
        <w:r w:rsidR="00BE2523">
          <w:rPr>
            <w:noProof/>
            <w:webHidden/>
          </w:rPr>
          <w:fldChar w:fldCharType="begin"/>
        </w:r>
        <w:r w:rsidR="00BE2523">
          <w:rPr>
            <w:noProof/>
            <w:webHidden/>
          </w:rPr>
          <w:instrText xml:space="preserve"> PAGEREF _Toc89172879 \h </w:instrText>
        </w:r>
        <w:r w:rsidR="00BE2523">
          <w:rPr>
            <w:noProof/>
            <w:webHidden/>
          </w:rPr>
        </w:r>
        <w:r w:rsidR="00BE2523">
          <w:rPr>
            <w:noProof/>
            <w:webHidden/>
          </w:rPr>
          <w:fldChar w:fldCharType="separate"/>
        </w:r>
        <w:r w:rsidR="0038196B">
          <w:rPr>
            <w:noProof/>
            <w:webHidden/>
          </w:rPr>
          <w:t>26</w:t>
        </w:r>
        <w:r w:rsidR="00BE2523">
          <w:rPr>
            <w:noProof/>
            <w:webHidden/>
          </w:rPr>
          <w:fldChar w:fldCharType="end"/>
        </w:r>
      </w:hyperlink>
    </w:p>
    <w:p w14:paraId="7BFCDAB5" w14:textId="3EFB7C0D" w:rsidR="00BE2523" w:rsidRDefault="00500704">
      <w:pPr>
        <w:pStyle w:val="af"/>
        <w:tabs>
          <w:tab w:val="right" w:leader="dot" w:pos="8302"/>
        </w:tabs>
        <w:rPr>
          <w:rFonts w:asciiTheme="minorHAnsi" w:eastAsiaTheme="minorEastAsia" w:hAnsiTheme="minorHAnsi"/>
          <w:noProof/>
          <w:color w:val="auto"/>
          <w:lang w:eastAsia="el-GR"/>
        </w:rPr>
      </w:pPr>
      <w:hyperlink w:anchor="_Toc89172880" w:history="1">
        <w:r w:rsidR="00BE2523" w:rsidRPr="00FE44AB">
          <w:rPr>
            <w:rStyle w:val="-"/>
            <w:b/>
            <w:iCs/>
            <w:noProof/>
          </w:rPr>
          <w:t xml:space="preserve">Διάγραμμα 18: </w:t>
        </w:r>
        <w:r w:rsidR="00BE2523" w:rsidRPr="00FE44AB">
          <w:rPr>
            <w:rStyle w:val="-"/>
            <w:noProof/>
          </w:rPr>
          <w:t>Άμεσες ξένες επενδύσεις Ιανουαρίου-Αυγούστου (εκατ. ευρώ)</w:t>
        </w:r>
        <w:r w:rsidR="00BE2523">
          <w:rPr>
            <w:noProof/>
            <w:webHidden/>
          </w:rPr>
          <w:tab/>
        </w:r>
        <w:r w:rsidR="00BE2523">
          <w:rPr>
            <w:noProof/>
            <w:webHidden/>
          </w:rPr>
          <w:fldChar w:fldCharType="begin"/>
        </w:r>
        <w:r w:rsidR="00BE2523">
          <w:rPr>
            <w:noProof/>
            <w:webHidden/>
          </w:rPr>
          <w:instrText xml:space="preserve"> PAGEREF _Toc89172880 \h </w:instrText>
        </w:r>
        <w:r w:rsidR="00BE2523">
          <w:rPr>
            <w:noProof/>
            <w:webHidden/>
          </w:rPr>
        </w:r>
        <w:r w:rsidR="00BE2523">
          <w:rPr>
            <w:noProof/>
            <w:webHidden/>
          </w:rPr>
          <w:fldChar w:fldCharType="separate"/>
        </w:r>
        <w:r w:rsidR="0038196B">
          <w:rPr>
            <w:noProof/>
            <w:webHidden/>
          </w:rPr>
          <w:t>27</w:t>
        </w:r>
        <w:r w:rsidR="00BE2523">
          <w:rPr>
            <w:noProof/>
            <w:webHidden/>
          </w:rPr>
          <w:fldChar w:fldCharType="end"/>
        </w:r>
      </w:hyperlink>
    </w:p>
    <w:p w14:paraId="2E5F3AA8" w14:textId="44AB13E6" w:rsidR="00BE2523" w:rsidRDefault="00500704">
      <w:pPr>
        <w:pStyle w:val="af"/>
        <w:tabs>
          <w:tab w:val="right" w:leader="dot" w:pos="8302"/>
        </w:tabs>
        <w:rPr>
          <w:rFonts w:asciiTheme="minorHAnsi" w:eastAsiaTheme="minorEastAsia" w:hAnsiTheme="minorHAnsi"/>
          <w:noProof/>
          <w:color w:val="auto"/>
          <w:lang w:eastAsia="el-GR"/>
        </w:rPr>
      </w:pPr>
      <w:hyperlink w:anchor="_Toc89172881" w:history="1">
        <w:r w:rsidR="00BE2523" w:rsidRPr="00FE44AB">
          <w:rPr>
            <w:rStyle w:val="-"/>
            <w:b/>
            <w:iCs/>
            <w:noProof/>
          </w:rPr>
          <w:t xml:space="preserve">Διάγραμμα 19: </w:t>
        </w:r>
        <w:r w:rsidR="00BE2523" w:rsidRPr="00FE44AB">
          <w:rPr>
            <w:rStyle w:val="-"/>
            <w:rFonts w:eastAsia="Calibri" w:cs="Times New Roman"/>
            <w:iCs/>
            <w:noProof/>
          </w:rPr>
          <w:t>Παραγωγή και Κύκλος Εργασιών στη Βιομηχανία</w:t>
        </w:r>
        <w:r w:rsidR="00BE2523">
          <w:rPr>
            <w:noProof/>
            <w:webHidden/>
          </w:rPr>
          <w:tab/>
        </w:r>
        <w:r w:rsidR="00BE2523">
          <w:rPr>
            <w:noProof/>
            <w:webHidden/>
          </w:rPr>
          <w:fldChar w:fldCharType="begin"/>
        </w:r>
        <w:r w:rsidR="00BE2523">
          <w:rPr>
            <w:noProof/>
            <w:webHidden/>
          </w:rPr>
          <w:instrText xml:space="preserve"> PAGEREF _Toc89172881 \h </w:instrText>
        </w:r>
        <w:r w:rsidR="00BE2523">
          <w:rPr>
            <w:noProof/>
            <w:webHidden/>
          </w:rPr>
        </w:r>
        <w:r w:rsidR="00BE2523">
          <w:rPr>
            <w:noProof/>
            <w:webHidden/>
          </w:rPr>
          <w:fldChar w:fldCharType="separate"/>
        </w:r>
        <w:r w:rsidR="0038196B">
          <w:rPr>
            <w:noProof/>
            <w:webHidden/>
          </w:rPr>
          <w:t>28</w:t>
        </w:r>
        <w:r w:rsidR="00BE2523">
          <w:rPr>
            <w:noProof/>
            <w:webHidden/>
          </w:rPr>
          <w:fldChar w:fldCharType="end"/>
        </w:r>
      </w:hyperlink>
    </w:p>
    <w:p w14:paraId="1659FDE6" w14:textId="636C663A" w:rsidR="00BE2523" w:rsidRDefault="00500704">
      <w:pPr>
        <w:pStyle w:val="af"/>
        <w:tabs>
          <w:tab w:val="right" w:leader="dot" w:pos="8302"/>
        </w:tabs>
        <w:rPr>
          <w:rFonts w:asciiTheme="minorHAnsi" w:eastAsiaTheme="minorEastAsia" w:hAnsiTheme="minorHAnsi"/>
          <w:noProof/>
          <w:color w:val="auto"/>
          <w:lang w:eastAsia="el-GR"/>
        </w:rPr>
      </w:pPr>
      <w:hyperlink w:anchor="_Toc89172882" w:history="1">
        <w:r w:rsidR="00BE2523" w:rsidRPr="00FE44AB">
          <w:rPr>
            <w:rStyle w:val="-"/>
            <w:b/>
            <w:iCs/>
            <w:noProof/>
          </w:rPr>
          <w:t xml:space="preserve">Διάγραμμα 20: </w:t>
        </w:r>
        <w:r w:rsidR="00BE2523" w:rsidRPr="00FE44AB">
          <w:rPr>
            <w:rStyle w:val="-"/>
            <w:noProof/>
          </w:rPr>
          <w:t>Δείκτες οικονομικής συγκυρίας και καταναλωτικής εμπιστοσύνης</w:t>
        </w:r>
        <w:r w:rsidR="00BE2523">
          <w:rPr>
            <w:noProof/>
            <w:webHidden/>
          </w:rPr>
          <w:tab/>
        </w:r>
        <w:r w:rsidR="00BE2523">
          <w:rPr>
            <w:noProof/>
            <w:webHidden/>
          </w:rPr>
          <w:fldChar w:fldCharType="begin"/>
        </w:r>
        <w:r w:rsidR="00BE2523">
          <w:rPr>
            <w:noProof/>
            <w:webHidden/>
          </w:rPr>
          <w:instrText xml:space="preserve"> PAGEREF _Toc89172882 \h </w:instrText>
        </w:r>
        <w:r w:rsidR="00BE2523">
          <w:rPr>
            <w:noProof/>
            <w:webHidden/>
          </w:rPr>
        </w:r>
        <w:r w:rsidR="00BE2523">
          <w:rPr>
            <w:noProof/>
            <w:webHidden/>
          </w:rPr>
          <w:fldChar w:fldCharType="separate"/>
        </w:r>
        <w:r w:rsidR="0038196B">
          <w:rPr>
            <w:noProof/>
            <w:webHidden/>
          </w:rPr>
          <w:t>29</w:t>
        </w:r>
        <w:r w:rsidR="00BE2523">
          <w:rPr>
            <w:noProof/>
            <w:webHidden/>
          </w:rPr>
          <w:fldChar w:fldCharType="end"/>
        </w:r>
      </w:hyperlink>
    </w:p>
    <w:p w14:paraId="156E233E" w14:textId="58A654C2" w:rsidR="00BE2523" w:rsidRDefault="00500704">
      <w:pPr>
        <w:pStyle w:val="af"/>
        <w:tabs>
          <w:tab w:val="right" w:leader="dot" w:pos="8302"/>
        </w:tabs>
        <w:rPr>
          <w:rFonts w:asciiTheme="minorHAnsi" w:eastAsiaTheme="minorEastAsia" w:hAnsiTheme="minorHAnsi"/>
          <w:noProof/>
          <w:color w:val="auto"/>
          <w:lang w:eastAsia="el-GR"/>
        </w:rPr>
      </w:pPr>
      <w:hyperlink w:anchor="_Toc89172883" w:history="1">
        <w:r w:rsidR="00BE2523" w:rsidRPr="00FE44AB">
          <w:rPr>
            <w:rStyle w:val="-"/>
            <w:b/>
            <w:iCs/>
            <w:noProof/>
          </w:rPr>
          <w:t xml:space="preserve">Διάγραμμα 21: </w:t>
        </w:r>
        <w:r w:rsidR="00BE2523" w:rsidRPr="00FE44AB">
          <w:rPr>
            <w:rStyle w:val="-"/>
            <w:noProof/>
          </w:rPr>
          <w:t>Δείκτες Κατασκευών, Βιομηχανίας, Λιανικού Εμπορίου και Υπηρεσιών</w:t>
        </w:r>
        <w:r w:rsidR="00BE2523">
          <w:rPr>
            <w:noProof/>
            <w:webHidden/>
          </w:rPr>
          <w:tab/>
        </w:r>
        <w:r w:rsidR="00BE2523">
          <w:rPr>
            <w:noProof/>
            <w:webHidden/>
          </w:rPr>
          <w:fldChar w:fldCharType="begin"/>
        </w:r>
        <w:r w:rsidR="00BE2523">
          <w:rPr>
            <w:noProof/>
            <w:webHidden/>
          </w:rPr>
          <w:instrText xml:space="preserve"> PAGEREF _Toc89172883 \h </w:instrText>
        </w:r>
        <w:r w:rsidR="00BE2523">
          <w:rPr>
            <w:noProof/>
            <w:webHidden/>
          </w:rPr>
        </w:r>
        <w:r w:rsidR="00BE2523">
          <w:rPr>
            <w:noProof/>
            <w:webHidden/>
          </w:rPr>
          <w:fldChar w:fldCharType="separate"/>
        </w:r>
        <w:r w:rsidR="0038196B">
          <w:rPr>
            <w:noProof/>
            <w:webHidden/>
          </w:rPr>
          <w:t>30</w:t>
        </w:r>
        <w:r w:rsidR="00BE2523">
          <w:rPr>
            <w:noProof/>
            <w:webHidden/>
          </w:rPr>
          <w:fldChar w:fldCharType="end"/>
        </w:r>
      </w:hyperlink>
    </w:p>
    <w:p w14:paraId="3D4ACE53" w14:textId="496FB1A0" w:rsidR="00BE2523" w:rsidRDefault="00500704">
      <w:pPr>
        <w:pStyle w:val="af"/>
        <w:tabs>
          <w:tab w:val="right" w:leader="dot" w:pos="8302"/>
        </w:tabs>
        <w:rPr>
          <w:rFonts w:asciiTheme="minorHAnsi" w:eastAsiaTheme="minorEastAsia" w:hAnsiTheme="minorHAnsi"/>
          <w:noProof/>
          <w:color w:val="auto"/>
          <w:lang w:eastAsia="el-GR"/>
        </w:rPr>
      </w:pPr>
      <w:hyperlink w:anchor="_Toc89172884" w:history="1">
        <w:r w:rsidR="00BE2523" w:rsidRPr="00FE44AB">
          <w:rPr>
            <w:rStyle w:val="-"/>
            <w:b/>
            <w:iCs/>
            <w:noProof/>
          </w:rPr>
          <w:t xml:space="preserve">Διάγραμμα 22: </w:t>
        </w:r>
        <w:r w:rsidR="00BE2523" w:rsidRPr="00FE44AB">
          <w:rPr>
            <w:rStyle w:val="-"/>
            <w:noProof/>
          </w:rPr>
          <w:t>Δείκτης Υπευθύνων Προμηθειών στη Μεταποίηση PMI</w:t>
        </w:r>
        <w:r w:rsidR="00BE2523">
          <w:rPr>
            <w:noProof/>
            <w:webHidden/>
          </w:rPr>
          <w:tab/>
        </w:r>
        <w:r w:rsidR="00BE2523">
          <w:rPr>
            <w:noProof/>
            <w:webHidden/>
          </w:rPr>
          <w:fldChar w:fldCharType="begin"/>
        </w:r>
        <w:r w:rsidR="00BE2523">
          <w:rPr>
            <w:noProof/>
            <w:webHidden/>
          </w:rPr>
          <w:instrText xml:space="preserve"> PAGEREF _Toc89172884 \h </w:instrText>
        </w:r>
        <w:r w:rsidR="00BE2523">
          <w:rPr>
            <w:noProof/>
            <w:webHidden/>
          </w:rPr>
        </w:r>
        <w:r w:rsidR="00BE2523">
          <w:rPr>
            <w:noProof/>
            <w:webHidden/>
          </w:rPr>
          <w:fldChar w:fldCharType="separate"/>
        </w:r>
        <w:r w:rsidR="0038196B">
          <w:rPr>
            <w:noProof/>
            <w:webHidden/>
          </w:rPr>
          <w:t>30</w:t>
        </w:r>
        <w:r w:rsidR="00BE2523">
          <w:rPr>
            <w:noProof/>
            <w:webHidden/>
          </w:rPr>
          <w:fldChar w:fldCharType="end"/>
        </w:r>
      </w:hyperlink>
    </w:p>
    <w:p w14:paraId="79DA26F5" w14:textId="1D9C7386" w:rsidR="00BE2523" w:rsidRDefault="00500704">
      <w:pPr>
        <w:pStyle w:val="af"/>
        <w:tabs>
          <w:tab w:val="right" w:leader="dot" w:pos="8302"/>
        </w:tabs>
        <w:rPr>
          <w:rFonts w:asciiTheme="minorHAnsi" w:eastAsiaTheme="minorEastAsia" w:hAnsiTheme="minorHAnsi"/>
          <w:noProof/>
          <w:color w:val="auto"/>
          <w:lang w:eastAsia="el-GR"/>
        </w:rPr>
      </w:pPr>
      <w:hyperlink w:anchor="_Toc89172885" w:history="1">
        <w:r w:rsidR="00BE2523" w:rsidRPr="00FE44AB">
          <w:rPr>
            <w:rStyle w:val="-"/>
            <w:rFonts w:cs="Times New Roman"/>
            <w:b/>
            <w:noProof/>
          </w:rPr>
          <w:t>Διάγραμμα 23:</w:t>
        </w:r>
        <w:r w:rsidR="00BE2523" w:rsidRPr="00FE44AB">
          <w:rPr>
            <w:rStyle w:val="-"/>
            <w:rFonts w:cs="Times New Roman"/>
            <w:noProof/>
          </w:rPr>
          <w:t xml:space="preserve"> </w:t>
        </w:r>
        <w:r w:rsidR="00BE2523" w:rsidRPr="00FE44AB">
          <w:rPr>
            <w:rStyle w:val="-"/>
            <w:noProof/>
          </w:rPr>
          <w:t>Υπόλοιπα των καταθέσεων νοικοκυριών (αριστερά) και μη χρηματοπιστωτικών επιχειρήσεων (δεξιά) (δισ. ευρώ)</w:t>
        </w:r>
        <w:r w:rsidR="00BE2523">
          <w:rPr>
            <w:noProof/>
            <w:webHidden/>
          </w:rPr>
          <w:tab/>
        </w:r>
        <w:r w:rsidR="00BE2523">
          <w:rPr>
            <w:noProof/>
            <w:webHidden/>
          </w:rPr>
          <w:fldChar w:fldCharType="begin"/>
        </w:r>
        <w:r w:rsidR="00BE2523">
          <w:rPr>
            <w:noProof/>
            <w:webHidden/>
          </w:rPr>
          <w:instrText xml:space="preserve"> PAGEREF _Toc89172885 \h </w:instrText>
        </w:r>
        <w:r w:rsidR="00BE2523">
          <w:rPr>
            <w:noProof/>
            <w:webHidden/>
          </w:rPr>
        </w:r>
        <w:r w:rsidR="00BE2523">
          <w:rPr>
            <w:noProof/>
            <w:webHidden/>
          </w:rPr>
          <w:fldChar w:fldCharType="separate"/>
        </w:r>
        <w:r w:rsidR="0038196B">
          <w:rPr>
            <w:noProof/>
            <w:webHidden/>
          </w:rPr>
          <w:t>32</w:t>
        </w:r>
        <w:r w:rsidR="00BE2523">
          <w:rPr>
            <w:noProof/>
            <w:webHidden/>
          </w:rPr>
          <w:fldChar w:fldCharType="end"/>
        </w:r>
      </w:hyperlink>
    </w:p>
    <w:p w14:paraId="411578EB" w14:textId="624EB8DB" w:rsidR="00BE2523" w:rsidRDefault="00500704">
      <w:pPr>
        <w:pStyle w:val="af"/>
        <w:tabs>
          <w:tab w:val="right" w:leader="dot" w:pos="8302"/>
        </w:tabs>
        <w:rPr>
          <w:rFonts w:asciiTheme="minorHAnsi" w:eastAsiaTheme="minorEastAsia" w:hAnsiTheme="minorHAnsi"/>
          <w:noProof/>
          <w:color w:val="auto"/>
          <w:lang w:eastAsia="el-GR"/>
        </w:rPr>
      </w:pPr>
      <w:hyperlink w:anchor="_Toc89172886" w:history="1">
        <w:r w:rsidR="00BE2523" w:rsidRPr="00FE44AB">
          <w:rPr>
            <w:rStyle w:val="-"/>
            <w:rFonts w:cs="Times New Roman"/>
            <w:b/>
            <w:noProof/>
          </w:rPr>
          <w:t>Διάγραμμα 24:</w:t>
        </w:r>
        <w:r w:rsidR="00BE2523" w:rsidRPr="00FE44AB">
          <w:rPr>
            <w:rStyle w:val="-"/>
            <w:rFonts w:cs="Times New Roman"/>
            <w:noProof/>
          </w:rPr>
          <w:t xml:space="preserve"> </w:t>
        </w:r>
        <w:r w:rsidR="00BE2523" w:rsidRPr="00FE44AB">
          <w:rPr>
            <w:rStyle w:val="-"/>
            <w:noProof/>
          </w:rPr>
          <w:t>Υπόλοιπο συνολικής χρηματοδότησης και χρηματοδότησης εγχώριου ιδιωτικού τομέα από τα ελληνικά χρηματοπιστωτικά ιδρύματα (τέλος περιόδου, σε δισ. ευρώ)</w:t>
        </w:r>
        <w:r w:rsidR="00BE2523">
          <w:rPr>
            <w:noProof/>
            <w:webHidden/>
          </w:rPr>
          <w:tab/>
        </w:r>
        <w:r w:rsidR="00BE2523">
          <w:rPr>
            <w:noProof/>
            <w:webHidden/>
          </w:rPr>
          <w:fldChar w:fldCharType="begin"/>
        </w:r>
        <w:r w:rsidR="00BE2523">
          <w:rPr>
            <w:noProof/>
            <w:webHidden/>
          </w:rPr>
          <w:instrText xml:space="preserve"> PAGEREF _Toc89172886 \h </w:instrText>
        </w:r>
        <w:r w:rsidR="00BE2523">
          <w:rPr>
            <w:noProof/>
            <w:webHidden/>
          </w:rPr>
        </w:r>
        <w:r w:rsidR="00BE2523">
          <w:rPr>
            <w:noProof/>
            <w:webHidden/>
          </w:rPr>
          <w:fldChar w:fldCharType="separate"/>
        </w:r>
        <w:r w:rsidR="0038196B">
          <w:rPr>
            <w:noProof/>
            <w:webHidden/>
          </w:rPr>
          <w:t>33</w:t>
        </w:r>
        <w:r w:rsidR="00BE2523">
          <w:rPr>
            <w:noProof/>
            <w:webHidden/>
          </w:rPr>
          <w:fldChar w:fldCharType="end"/>
        </w:r>
      </w:hyperlink>
    </w:p>
    <w:p w14:paraId="6FCCA935" w14:textId="5A00579A" w:rsidR="00BE2523" w:rsidRDefault="00500704">
      <w:pPr>
        <w:pStyle w:val="af"/>
        <w:tabs>
          <w:tab w:val="right" w:leader="dot" w:pos="8302"/>
        </w:tabs>
        <w:rPr>
          <w:rFonts w:asciiTheme="minorHAnsi" w:eastAsiaTheme="minorEastAsia" w:hAnsiTheme="minorHAnsi"/>
          <w:noProof/>
          <w:color w:val="auto"/>
          <w:lang w:eastAsia="el-GR"/>
        </w:rPr>
      </w:pPr>
      <w:hyperlink w:anchor="_Toc89172887" w:history="1">
        <w:r w:rsidR="00BE2523" w:rsidRPr="00FE44AB">
          <w:rPr>
            <w:rStyle w:val="-"/>
            <w:rFonts w:cs="Times New Roman"/>
            <w:b/>
            <w:noProof/>
          </w:rPr>
          <w:t>Διάγραμμα 25:</w:t>
        </w:r>
        <w:r w:rsidR="00BE2523" w:rsidRPr="00FE44AB">
          <w:rPr>
            <w:rStyle w:val="-"/>
            <w:rFonts w:cs="Times New Roman"/>
            <w:noProof/>
          </w:rPr>
          <w:t xml:space="preserve"> </w:t>
        </w:r>
        <w:r w:rsidR="00BE2523" w:rsidRPr="00FE44AB">
          <w:rPr>
            <w:rStyle w:val="-"/>
            <w:noProof/>
          </w:rPr>
          <w:t>Ρυθμός μεταβολής, σε ετήσια βάση, των υπολοίπων χρηματοδότησης προς τον εγχώριο ιδιωτικό τομέα</w:t>
        </w:r>
        <w:r w:rsidR="00BE2523">
          <w:rPr>
            <w:noProof/>
            <w:webHidden/>
          </w:rPr>
          <w:tab/>
        </w:r>
        <w:r w:rsidR="00BE2523">
          <w:rPr>
            <w:noProof/>
            <w:webHidden/>
          </w:rPr>
          <w:fldChar w:fldCharType="begin"/>
        </w:r>
        <w:r w:rsidR="00BE2523">
          <w:rPr>
            <w:noProof/>
            <w:webHidden/>
          </w:rPr>
          <w:instrText xml:space="preserve"> PAGEREF _Toc89172887 \h </w:instrText>
        </w:r>
        <w:r w:rsidR="00BE2523">
          <w:rPr>
            <w:noProof/>
            <w:webHidden/>
          </w:rPr>
        </w:r>
        <w:r w:rsidR="00BE2523">
          <w:rPr>
            <w:noProof/>
            <w:webHidden/>
          </w:rPr>
          <w:fldChar w:fldCharType="separate"/>
        </w:r>
        <w:r w:rsidR="0038196B">
          <w:rPr>
            <w:noProof/>
            <w:webHidden/>
          </w:rPr>
          <w:t>34</w:t>
        </w:r>
        <w:r w:rsidR="00BE2523">
          <w:rPr>
            <w:noProof/>
            <w:webHidden/>
          </w:rPr>
          <w:fldChar w:fldCharType="end"/>
        </w:r>
      </w:hyperlink>
    </w:p>
    <w:p w14:paraId="19844E4B" w14:textId="218ED104" w:rsidR="00BE2523" w:rsidRDefault="00500704">
      <w:pPr>
        <w:pStyle w:val="af"/>
        <w:tabs>
          <w:tab w:val="right" w:leader="dot" w:pos="8302"/>
        </w:tabs>
        <w:rPr>
          <w:rFonts w:asciiTheme="minorHAnsi" w:eastAsiaTheme="minorEastAsia" w:hAnsiTheme="minorHAnsi"/>
          <w:noProof/>
          <w:color w:val="auto"/>
          <w:lang w:eastAsia="el-GR"/>
        </w:rPr>
      </w:pPr>
      <w:hyperlink w:anchor="_Toc89172888" w:history="1">
        <w:r w:rsidR="00BE2523" w:rsidRPr="00FE44AB">
          <w:rPr>
            <w:rStyle w:val="-"/>
            <w:rFonts w:cs="Times New Roman"/>
            <w:b/>
            <w:noProof/>
          </w:rPr>
          <w:t>Διάγραμμα 26:</w:t>
        </w:r>
        <w:r w:rsidR="00BE2523" w:rsidRPr="00FE44AB">
          <w:rPr>
            <w:rStyle w:val="-"/>
            <w:b/>
            <w:noProof/>
          </w:rPr>
          <w:t xml:space="preserve"> </w:t>
        </w:r>
        <w:r w:rsidR="00BE2523" w:rsidRPr="00FE44AB">
          <w:rPr>
            <w:rStyle w:val="-"/>
            <w:noProof/>
          </w:rPr>
          <w:t>Μη εξυπηρετούμενα δάνεια (ως % επί του συνόλου)</w:t>
        </w:r>
        <w:r w:rsidR="00BE2523">
          <w:rPr>
            <w:noProof/>
            <w:webHidden/>
          </w:rPr>
          <w:tab/>
        </w:r>
        <w:r w:rsidR="00BE2523">
          <w:rPr>
            <w:noProof/>
            <w:webHidden/>
          </w:rPr>
          <w:fldChar w:fldCharType="begin"/>
        </w:r>
        <w:r w:rsidR="00BE2523">
          <w:rPr>
            <w:noProof/>
            <w:webHidden/>
          </w:rPr>
          <w:instrText xml:space="preserve"> PAGEREF _Toc89172888 \h </w:instrText>
        </w:r>
        <w:r w:rsidR="00BE2523">
          <w:rPr>
            <w:noProof/>
            <w:webHidden/>
          </w:rPr>
        </w:r>
        <w:r w:rsidR="00BE2523">
          <w:rPr>
            <w:noProof/>
            <w:webHidden/>
          </w:rPr>
          <w:fldChar w:fldCharType="separate"/>
        </w:r>
        <w:r w:rsidR="0038196B">
          <w:rPr>
            <w:noProof/>
            <w:webHidden/>
          </w:rPr>
          <w:t>35</w:t>
        </w:r>
        <w:r w:rsidR="00BE2523">
          <w:rPr>
            <w:noProof/>
            <w:webHidden/>
          </w:rPr>
          <w:fldChar w:fldCharType="end"/>
        </w:r>
      </w:hyperlink>
    </w:p>
    <w:p w14:paraId="03BC466D" w14:textId="25CC96CF" w:rsidR="00BE2523" w:rsidRDefault="00500704">
      <w:pPr>
        <w:pStyle w:val="af"/>
        <w:tabs>
          <w:tab w:val="right" w:leader="dot" w:pos="8302"/>
        </w:tabs>
        <w:rPr>
          <w:rFonts w:asciiTheme="minorHAnsi" w:eastAsiaTheme="minorEastAsia" w:hAnsiTheme="minorHAnsi"/>
          <w:noProof/>
          <w:color w:val="auto"/>
          <w:lang w:eastAsia="el-GR"/>
        </w:rPr>
      </w:pPr>
      <w:hyperlink w:anchor="_Toc89172889" w:history="1">
        <w:r w:rsidR="00BE2523" w:rsidRPr="00FE44AB">
          <w:rPr>
            <w:rStyle w:val="-"/>
            <w:b/>
            <w:bCs/>
            <w:noProof/>
          </w:rPr>
          <w:t>Διάγραμμα 27:</w:t>
        </w:r>
        <w:r w:rsidR="00BE2523" w:rsidRPr="00FE44AB">
          <w:rPr>
            <w:rStyle w:val="-"/>
            <w:b/>
            <w:noProof/>
          </w:rPr>
          <w:t xml:space="preserve"> </w:t>
        </w:r>
        <w:r w:rsidR="00BE2523" w:rsidRPr="00FE44AB">
          <w:rPr>
            <w:rStyle w:val="-"/>
            <w:noProof/>
          </w:rPr>
          <w:t>Μηνιαία αποτύπωση πρωτογενούς ελλείμματος Γενικής Κυβέρνησης 2021</w:t>
        </w:r>
        <w:r w:rsidR="00BE2523">
          <w:rPr>
            <w:noProof/>
            <w:webHidden/>
          </w:rPr>
          <w:tab/>
        </w:r>
        <w:r w:rsidR="00BE2523">
          <w:rPr>
            <w:noProof/>
            <w:webHidden/>
          </w:rPr>
          <w:fldChar w:fldCharType="begin"/>
        </w:r>
        <w:r w:rsidR="00BE2523">
          <w:rPr>
            <w:noProof/>
            <w:webHidden/>
          </w:rPr>
          <w:instrText xml:space="preserve"> PAGEREF _Toc89172889 \h </w:instrText>
        </w:r>
        <w:r w:rsidR="00BE2523">
          <w:rPr>
            <w:noProof/>
            <w:webHidden/>
          </w:rPr>
        </w:r>
        <w:r w:rsidR="00BE2523">
          <w:rPr>
            <w:noProof/>
            <w:webHidden/>
          </w:rPr>
          <w:fldChar w:fldCharType="separate"/>
        </w:r>
        <w:r w:rsidR="0038196B">
          <w:rPr>
            <w:noProof/>
            <w:webHidden/>
          </w:rPr>
          <w:t>43</w:t>
        </w:r>
        <w:r w:rsidR="00BE2523">
          <w:rPr>
            <w:noProof/>
            <w:webHidden/>
          </w:rPr>
          <w:fldChar w:fldCharType="end"/>
        </w:r>
      </w:hyperlink>
    </w:p>
    <w:p w14:paraId="68E67965" w14:textId="1CD77892" w:rsidR="00BE2523" w:rsidRDefault="00500704">
      <w:pPr>
        <w:pStyle w:val="af"/>
        <w:tabs>
          <w:tab w:val="right" w:leader="dot" w:pos="8302"/>
        </w:tabs>
        <w:rPr>
          <w:rFonts w:asciiTheme="minorHAnsi" w:eastAsiaTheme="minorEastAsia" w:hAnsiTheme="minorHAnsi"/>
          <w:noProof/>
          <w:color w:val="auto"/>
          <w:lang w:eastAsia="el-GR"/>
        </w:rPr>
      </w:pPr>
      <w:hyperlink w:anchor="_Toc89172890" w:history="1">
        <w:r w:rsidR="00BE2523" w:rsidRPr="00FE44AB">
          <w:rPr>
            <w:rStyle w:val="-"/>
            <w:b/>
            <w:bCs/>
            <w:noProof/>
          </w:rPr>
          <w:t>Διάγραμμα 28:</w:t>
        </w:r>
        <w:r w:rsidR="00BE2523" w:rsidRPr="00FE44AB">
          <w:rPr>
            <w:rStyle w:val="-"/>
            <w:b/>
            <w:noProof/>
          </w:rPr>
          <w:t xml:space="preserve"> </w:t>
        </w:r>
        <w:r w:rsidR="00BE2523" w:rsidRPr="00FE44AB">
          <w:rPr>
            <w:rStyle w:val="-"/>
            <w:rFonts w:eastAsia="Calibri" w:cs="Calibri"/>
            <w:noProof/>
          </w:rPr>
          <w:t>Ληξιπρόθεσμες Υποχρεώσεις ΓΚ και υποτομέων της περιόδου 2019- Σεπ. 2021 (σε εκατ. ευρώ)</w:t>
        </w:r>
        <w:r w:rsidR="00BE2523">
          <w:rPr>
            <w:noProof/>
            <w:webHidden/>
          </w:rPr>
          <w:tab/>
        </w:r>
        <w:r w:rsidR="00BE2523">
          <w:rPr>
            <w:noProof/>
            <w:webHidden/>
          </w:rPr>
          <w:fldChar w:fldCharType="begin"/>
        </w:r>
        <w:r w:rsidR="00BE2523">
          <w:rPr>
            <w:noProof/>
            <w:webHidden/>
          </w:rPr>
          <w:instrText xml:space="preserve"> PAGEREF _Toc89172890 \h </w:instrText>
        </w:r>
        <w:r w:rsidR="00BE2523">
          <w:rPr>
            <w:noProof/>
            <w:webHidden/>
          </w:rPr>
        </w:r>
        <w:r w:rsidR="00BE2523">
          <w:rPr>
            <w:noProof/>
            <w:webHidden/>
          </w:rPr>
          <w:fldChar w:fldCharType="separate"/>
        </w:r>
        <w:r w:rsidR="0038196B">
          <w:rPr>
            <w:noProof/>
            <w:webHidden/>
          </w:rPr>
          <w:t>52</w:t>
        </w:r>
        <w:r w:rsidR="00BE2523">
          <w:rPr>
            <w:noProof/>
            <w:webHidden/>
          </w:rPr>
          <w:fldChar w:fldCharType="end"/>
        </w:r>
      </w:hyperlink>
    </w:p>
    <w:p w14:paraId="6CCC0190" w14:textId="5A258D59" w:rsidR="00BE2523" w:rsidRDefault="00500704">
      <w:pPr>
        <w:pStyle w:val="af"/>
        <w:tabs>
          <w:tab w:val="right" w:leader="dot" w:pos="8302"/>
        </w:tabs>
        <w:rPr>
          <w:rFonts w:asciiTheme="minorHAnsi" w:eastAsiaTheme="minorEastAsia" w:hAnsiTheme="minorHAnsi"/>
          <w:noProof/>
          <w:color w:val="auto"/>
          <w:lang w:eastAsia="el-GR"/>
        </w:rPr>
      </w:pPr>
      <w:hyperlink w:anchor="_Toc89172891" w:history="1">
        <w:r w:rsidR="00BE2523" w:rsidRPr="00FE44AB">
          <w:rPr>
            <w:rStyle w:val="-"/>
            <w:b/>
            <w:bCs/>
            <w:noProof/>
          </w:rPr>
          <w:t>Διάγραμμα 29:</w:t>
        </w:r>
        <w:r w:rsidR="00BE2523" w:rsidRPr="00FE44AB">
          <w:rPr>
            <w:rStyle w:val="-"/>
            <w:b/>
            <w:noProof/>
          </w:rPr>
          <w:t xml:space="preserve"> </w:t>
        </w:r>
        <w:r w:rsidR="00BE2523" w:rsidRPr="00FE44AB">
          <w:rPr>
            <w:rStyle w:val="-"/>
            <w:rFonts w:eastAsia="Calibri" w:cs="Calibri"/>
            <w:iCs/>
            <w:noProof/>
          </w:rPr>
          <w:t>Ληξιπρόθεσμες Απαιτήσεις Ελληνικού Δημοσίου (οφειλές φορολογουμένων προς το δημόσιο) και συνολικές εισπράξεις για το οκτάμηνο ετών 2017-2021 (σε εκατ.ευρώ)</w:t>
        </w:r>
        <w:r w:rsidR="00BE2523">
          <w:rPr>
            <w:noProof/>
            <w:webHidden/>
          </w:rPr>
          <w:tab/>
        </w:r>
        <w:r w:rsidR="00BE2523">
          <w:rPr>
            <w:noProof/>
            <w:webHidden/>
          </w:rPr>
          <w:fldChar w:fldCharType="begin"/>
        </w:r>
        <w:r w:rsidR="00BE2523">
          <w:rPr>
            <w:noProof/>
            <w:webHidden/>
          </w:rPr>
          <w:instrText xml:space="preserve"> PAGEREF _Toc89172891 \h </w:instrText>
        </w:r>
        <w:r w:rsidR="00BE2523">
          <w:rPr>
            <w:noProof/>
            <w:webHidden/>
          </w:rPr>
        </w:r>
        <w:r w:rsidR="00BE2523">
          <w:rPr>
            <w:noProof/>
            <w:webHidden/>
          </w:rPr>
          <w:fldChar w:fldCharType="separate"/>
        </w:r>
        <w:r w:rsidR="0038196B">
          <w:rPr>
            <w:noProof/>
            <w:webHidden/>
          </w:rPr>
          <w:t>53</w:t>
        </w:r>
        <w:r w:rsidR="00BE2523">
          <w:rPr>
            <w:noProof/>
            <w:webHidden/>
          </w:rPr>
          <w:fldChar w:fldCharType="end"/>
        </w:r>
      </w:hyperlink>
    </w:p>
    <w:p w14:paraId="6964E466" w14:textId="0AF24729" w:rsidR="00BE2523" w:rsidRDefault="00500704">
      <w:pPr>
        <w:pStyle w:val="af"/>
        <w:tabs>
          <w:tab w:val="right" w:leader="dot" w:pos="8302"/>
        </w:tabs>
        <w:rPr>
          <w:rFonts w:asciiTheme="minorHAnsi" w:eastAsiaTheme="minorEastAsia" w:hAnsiTheme="minorHAnsi"/>
          <w:noProof/>
          <w:color w:val="auto"/>
          <w:lang w:eastAsia="el-GR"/>
        </w:rPr>
      </w:pPr>
      <w:hyperlink w:anchor="_Toc89172892" w:history="1">
        <w:r w:rsidR="00BE2523" w:rsidRPr="00FE44AB">
          <w:rPr>
            <w:rStyle w:val="-"/>
            <w:b/>
            <w:bCs/>
            <w:noProof/>
          </w:rPr>
          <w:t>Διάγραμμα 30:</w:t>
        </w:r>
        <w:r w:rsidR="00BE2523" w:rsidRPr="00FE44AB">
          <w:rPr>
            <w:rStyle w:val="-"/>
            <w:b/>
            <w:noProof/>
          </w:rPr>
          <w:t xml:space="preserve"> </w:t>
        </w:r>
        <w:r w:rsidR="00BE2523" w:rsidRPr="00FE44AB">
          <w:rPr>
            <w:rStyle w:val="-"/>
            <w:rFonts w:eastAsia="Calibri" w:cs="Calibri"/>
            <w:iCs/>
            <w:noProof/>
          </w:rPr>
          <w:t>Ανεξόφλητο εγγυημένο υπόλοιπο, πληρωμές καταπτώσεων εγγυήσεων και παρεχόμενες νέες εγγυήσεις ελληνικού Δημοσίου (ΕΔ) 2009- γ΄Τρίμηνο 2021</w:t>
        </w:r>
        <w:r w:rsidR="00BE2523">
          <w:rPr>
            <w:noProof/>
            <w:webHidden/>
          </w:rPr>
          <w:tab/>
        </w:r>
        <w:r w:rsidR="00BE2523">
          <w:rPr>
            <w:noProof/>
            <w:webHidden/>
          </w:rPr>
          <w:fldChar w:fldCharType="begin"/>
        </w:r>
        <w:r w:rsidR="00BE2523">
          <w:rPr>
            <w:noProof/>
            <w:webHidden/>
          </w:rPr>
          <w:instrText xml:space="preserve"> PAGEREF _Toc89172892 \h </w:instrText>
        </w:r>
        <w:r w:rsidR="00BE2523">
          <w:rPr>
            <w:noProof/>
            <w:webHidden/>
          </w:rPr>
        </w:r>
        <w:r w:rsidR="00BE2523">
          <w:rPr>
            <w:noProof/>
            <w:webHidden/>
          </w:rPr>
          <w:fldChar w:fldCharType="separate"/>
        </w:r>
        <w:r w:rsidR="0038196B">
          <w:rPr>
            <w:noProof/>
            <w:webHidden/>
          </w:rPr>
          <w:t>54</w:t>
        </w:r>
        <w:r w:rsidR="00BE2523">
          <w:rPr>
            <w:noProof/>
            <w:webHidden/>
          </w:rPr>
          <w:fldChar w:fldCharType="end"/>
        </w:r>
      </w:hyperlink>
    </w:p>
    <w:p w14:paraId="5E9B1D41" w14:textId="2B43D539" w:rsidR="00BE2523" w:rsidRDefault="00500704">
      <w:pPr>
        <w:pStyle w:val="af"/>
        <w:tabs>
          <w:tab w:val="right" w:leader="dot" w:pos="8302"/>
        </w:tabs>
        <w:rPr>
          <w:rFonts w:asciiTheme="minorHAnsi" w:eastAsiaTheme="minorEastAsia" w:hAnsiTheme="minorHAnsi"/>
          <w:noProof/>
          <w:color w:val="auto"/>
          <w:lang w:eastAsia="el-GR"/>
        </w:rPr>
      </w:pPr>
      <w:hyperlink w:anchor="_Toc89172893" w:history="1">
        <w:r w:rsidR="00BE2523" w:rsidRPr="00FE44AB">
          <w:rPr>
            <w:rStyle w:val="-"/>
            <w:b/>
            <w:bCs/>
            <w:noProof/>
          </w:rPr>
          <w:t>Διάγραμμα 31:</w:t>
        </w:r>
        <w:r w:rsidR="00BE2523" w:rsidRPr="00FE44AB">
          <w:rPr>
            <w:rStyle w:val="-"/>
            <w:b/>
            <w:noProof/>
          </w:rPr>
          <w:t xml:space="preserve"> </w:t>
        </w:r>
        <w:r w:rsidR="00BE2523" w:rsidRPr="00FE44AB">
          <w:rPr>
            <w:rStyle w:val="-"/>
            <w:rFonts w:cs="Trebuchet MS"/>
            <w:bCs/>
            <w:noProof/>
          </w:rPr>
          <w:t>Εξέλιξη χρέους της ΓΚ ως ποσοστό στο ΑΕΠ 2010-2020 &amp; εκτιμήσεις για 2021-2025</w:t>
        </w:r>
        <w:r w:rsidR="00BE2523">
          <w:rPr>
            <w:noProof/>
            <w:webHidden/>
          </w:rPr>
          <w:tab/>
        </w:r>
        <w:r w:rsidR="00BE2523">
          <w:rPr>
            <w:noProof/>
            <w:webHidden/>
          </w:rPr>
          <w:fldChar w:fldCharType="begin"/>
        </w:r>
        <w:r w:rsidR="00BE2523">
          <w:rPr>
            <w:noProof/>
            <w:webHidden/>
          </w:rPr>
          <w:instrText xml:space="preserve"> PAGEREF _Toc89172893 \h </w:instrText>
        </w:r>
        <w:r w:rsidR="00BE2523">
          <w:rPr>
            <w:noProof/>
            <w:webHidden/>
          </w:rPr>
        </w:r>
        <w:r w:rsidR="00BE2523">
          <w:rPr>
            <w:noProof/>
            <w:webHidden/>
          </w:rPr>
          <w:fldChar w:fldCharType="separate"/>
        </w:r>
        <w:r w:rsidR="0038196B">
          <w:rPr>
            <w:noProof/>
            <w:webHidden/>
          </w:rPr>
          <w:t>58</w:t>
        </w:r>
        <w:r w:rsidR="00BE2523">
          <w:rPr>
            <w:noProof/>
            <w:webHidden/>
          </w:rPr>
          <w:fldChar w:fldCharType="end"/>
        </w:r>
      </w:hyperlink>
    </w:p>
    <w:p w14:paraId="7FBE3EA5" w14:textId="1248CB51" w:rsidR="00BE2523" w:rsidRDefault="00500704">
      <w:pPr>
        <w:pStyle w:val="af"/>
        <w:tabs>
          <w:tab w:val="right" w:leader="dot" w:pos="8302"/>
        </w:tabs>
        <w:rPr>
          <w:rFonts w:asciiTheme="minorHAnsi" w:eastAsiaTheme="minorEastAsia" w:hAnsiTheme="minorHAnsi"/>
          <w:noProof/>
          <w:color w:val="auto"/>
          <w:lang w:eastAsia="el-GR"/>
        </w:rPr>
      </w:pPr>
      <w:hyperlink w:anchor="_Toc89172894" w:history="1">
        <w:r w:rsidR="00BE2523" w:rsidRPr="00FE44AB">
          <w:rPr>
            <w:rStyle w:val="-"/>
            <w:b/>
            <w:bCs/>
            <w:noProof/>
          </w:rPr>
          <w:t>Διάγραμμα 32:</w:t>
        </w:r>
        <w:r w:rsidR="00BE2523" w:rsidRPr="00FE44AB">
          <w:rPr>
            <w:rStyle w:val="-"/>
            <w:b/>
            <w:noProof/>
          </w:rPr>
          <w:t xml:space="preserve"> </w:t>
        </w:r>
        <w:r w:rsidR="00BE2523" w:rsidRPr="00FE44AB">
          <w:rPr>
            <w:rStyle w:val="-"/>
            <w:noProof/>
          </w:rPr>
          <w:t>Αποδόσεις δεκαετών ομολόγων</w:t>
        </w:r>
        <w:r w:rsidR="00BE2523">
          <w:rPr>
            <w:noProof/>
            <w:webHidden/>
          </w:rPr>
          <w:tab/>
        </w:r>
        <w:r w:rsidR="00BE2523">
          <w:rPr>
            <w:noProof/>
            <w:webHidden/>
          </w:rPr>
          <w:fldChar w:fldCharType="begin"/>
        </w:r>
        <w:r w:rsidR="00BE2523">
          <w:rPr>
            <w:noProof/>
            <w:webHidden/>
          </w:rPr>
          <w:instrText xml:space="preserve"> PAGEREF _Toc89172894 \h </w:instrText>
        </w:r>
        <w:r w:rsidR="00BE2523">
          <w:rPr>
            <w:noProof/>
            <w:webHidden/>
          </w:rPr>
        </w:r>
        <w:r w:rsidR="00BE2523">
          <w:rPr>
            <w:noProof/>
            <w:webHidden/>
          </w:rPr>
          <w:fldChar w:fldCharType="separate"/>
        </w:r>
        <w:r w:rsidR="0038196B">
          <w:rPr>
            <w:noProof/>
            <w:webHidden/>
          </w:rPr>
          <w:t>59</w:t>
        </w:r>
        <w:r w:rsidR="00BE2523">
          <w:rPr>
            <w:noProof/>
            <w:webHidden/>
          </w:rPr>
          <w:fldChar w:fldCharType="end"/>
        </w:r>
      </w:hyperlink>
    </w:p>
    <w:p w14:paraId="40763FB2" w14:textId="31168F8E" w:rsidR="00BE2523" w:rsidRDefault="00500704">
      <w:pPr>
        <w:pStyle w:val="af"/>
        <w:tabs>
          <w:tab w:val="right" w:leader="dot" w:pos="8302"/>
        </w:tabs>
        <w:rPr>
          <w:rFonts w:asciiTheme="minorHAnsi" w:eastAsiaTheme="minorEastAsia" w:hAnsiTheme="minorHAnsi"/>
          <w:noProof/>
          <w:color w:val="auto"/>
          <w:lang w:eastAsia="el-GR"/>
        </w:rPr>
      </w:pPr>
      <w:hyperlink w:anchor="_Toc89172895" w:history="1">
        <w:r w:rsidR="00BE2523" w:rsidRPr="00FE44AB">
          <w:rPr>
            <w:rStyle w:val="-"/>
            <w:b/>
            <w:bCs/>
            <w:noProof/>
          </w:rPr>
          <w:t>Διάγραμμα 33:</w:t>
        </w:r>
        <w:r w:rsidR="00BE2523" w:rsidRPr="00FE44AB">
          <w:rPr>
            <w:rStyle w:val="-"/>
            <w:b/>
            <w:noProof/>
          </w:rPr>
          <w:t xml:space="preserve"> </w:t>
        </w:r>
        <w:r w:rsidR="00BE2523" w:rsidRPr="00FE44AB">
          <w:rPr>
            <w:rStyle w:val="-"/>
            <w:rFonts w:eastAsia="Times New Roman" w:cstheme="minorHAnsi"/>
            <w:iCs/>
            <w:noProof/>
            <w:lang w:eastAsia="el-GR"/>
          </w:rPr>
          <w:t>Εξέλιξη δημοσίου χρέους, ελλείμματος και ρυθμού μεγέθυνσης της Ευρωζώνη, περιόδου 2011-2019</w:t>
        </w:r>
        <w:r w:rsidR="00BE2523">
          <w:rPr>
            <w:noProof/>
            <w:webHidden/>
          </w:rPr>
          <w:tab/>
        </w:r>
        <w:r w:rsidR="00BE2523">
          <w:rPr>
            <w:noProof/>
            <w:webHidden/>
          </w:rPr>
          <w:fldChar w:fldCharType="begin"/>
        </w:r>
        <w:r w:rsidR="00BE2523">
          <w:rPr>
            <w:noProof/>
            <w:webHidden/>
          </w:rPr>
          <w:instrText xml:space="preserve"> PAGEREF _Toc89172895 \h </w:instrText>
        </w:r>
        <w:r w:rsidR="00BE2523">
          <w:rPr>
            <w:noProof/>
            <w:webHidden/>
          </w:rPr>
        </w:r>
        <w:r w:rsidR="00BE2523">
          <w:rPr>
            <w:noProof/>
            <w:webHidden/>
          </w:rPr>
          <w:fldChar w:fldCharType="separate"/>
        </w:r>
        <w:r w:rsidR="0038196B">
          <w:rPr>
            <w:noProof/>
            <w:webHidden/>
          </w:rPr>
          <w:t>70</w:t>
        </w:r>
        <w:r w:rsidR="00BE2523">
          <w:rPr>
            <w:noProof/>
            <w:webHidden/>
          </w:rPr>
          <w:fldChar w:fldCharType="end"/>
        </w:r>
      </w:hyperlink>
    </w:p>
    <w:p w14:paraId="3A4023EE" w14:textId="7999C6D5" w:rsidR="00A57BC2" w:rsidRPr="00D0444F" w:rsidRDefault="00E648C9" w:rsidP="008961C4">
      <w:pPr>
        <w:spacing w:after="240" w:line="240" w:lineRule="auto"/>
        <w:jc w:val="center"/>
      </w:pPr>
      <w:r w:rsidRPr="00D0444F">
        <w:fldChar w:fldCharType="end"/>
      </w:r>
    </w:p>
    <w:p w14:paraId="67693459" w14:textId="77777777" w:rsidR="00A57BC2" w:rsidRDefault="00A57BC2">
      <w:pPr>
        <w:spacing w:after="160" w:line="0" w:lineRule="auto"/>
        <w:jc w:val="left"/>
      </w:pPr>
      <w:r>
        <w:br w:type="page"/>
      </w:r>
    </w:p>
    <w:p w14:paraId="5214D9BA" w14:textId="47D81066" w:rsidR="00B40C64" w:rsidRDefault="00B40C64" w:rsidP="006F5192">
      <w:pPr>
        <w:spacing w:after="360" w:line="240" w:lineRule="auto"/>
        <w:jc w:val="center"/>
        <w:rPr>
          <w:b/>
          <w:color w:val="00A3E0"/>
          <w:sz w:val="40"/>
          <w:szCs w:val="40"/>
        </w:rPr>
      </w:pPr>
      <w:r w:rsidRPr="00661F3D">
        <w:rPr>
          <w:b/>
          <w:color w:val="00A3E0"/>
          <w:sz w:val="40"/>
          <w:szCs w:val="40"/>
        </w:rPr>
        <w:lastRenderedPageBreak/>
        <w:t>ΠΡΟΛΟΓΟΣ</w:t>
      </w:r>
    </w:p>
    <w:p w14:paraId="5A48D008" w14:textId="4885DD0B" w:rsidR="006F5192" w:rsidRPr="004547B6" w:rsidRDefault="004547B6" w:rsidP="006F5192">
      <w:pPr>
        <w:spacing w:after="120" w:line="360" w:lineRule="auto"/>
        <w:rPr>
          <w:color w:val="auto"/>
          <w:sz w:val="24"/>
          <w:szCs w:val="24"/>
        </w:rPr>
      </w:pPr>
      <w:r w:rsidRPr="004547B6">
        <w:rPr>
          <w:color w:val="auto"/>
          <w:sz w:val="24"/>
          <w:szCs w:val="24"/>
        </w:rPr>
        <w:t xml:space="preserve">Η πανδημία του κορωνοϊού και η οικονομική κρίση που προκάλεσε ανέδειξαν, για μία ακόμη φορά, την ανάγκη παρέμβασης του κράτους στην οικονομία. Οι κυβερνήσεις σε όλο τον κόσμο, και ειδικά στις χώρες της ευρωζώνης, παρενέβησαν δυναμικά ασκώντας επεκτατικές δημοσιονομικές πολιτικές. Οι παρεμβάσεις αυτές θα μπορούσαν να χαρακτηριστούν, όπως και στην παγκόσμια οικονομική κρίση του 2008, ως η επιστροφή του κεϋνσιανισμού. Πράγματι, οι κυβερνήσεις ρυθμίζοντας τη ζήτηση δεν αφήνουν την οικονομία παραδομένη στις δυνάμεις της αγοράς. Οι δημοσιονομικές παρεμβάσεις στην Ευρώπη περιόρισαν την ύφεση το 2020, συγκράτησαν την απασχόληση και ώθησαν τη μεγέθυνση το 2021. Στις «παρενέργειες» των παρεμβάσεων αυτών θα πρέπει να καταγραφεί η –αναπόφευκτη- αύξηση του δημοσίου χρέους σε όλες τις οικονομίες της ευρωζώνης. Ωστόσο, σύμφωνα με τις προβλέψεις των περισσότερων οργανισμών, η αύξηση αυτή θα είναι προσωρινή και ήδη από το 2021 ο λόγος δημοσίου χρέους προς ΑΕΠ θα μπει σε πτωτική τροχιά. Η βασικότερη παράμετρος για την ένταση της πτώσης του λόγου δημοσίου χρέους προς ΑΕΠ είναι ο ρυθμός μεγέθυνσης των ευρωπαϊκών οικονομιών τα επόμενα χρόνια. Εξάλλου, καμία δημοσιονομική θέση δεν είναι διατηρήσιμη μεσοπρόθεσμα αν δεν συνοδεύεται από μεγέθυνση της οικονομίας. Οι πρωτοβουλίες της Ευρωπαϊκής Επιτροπής για την ενίσχυση των πολιτικών που αφορούν στον ψηφιακό μετασχηματισμό των οικονομιών και στην πράσινη ανάπτυξη κινούνται προς αυτή την κατεύθυνση.        </w:t>
      </w:r>
    </w:p>
    <w:p w14:paraId="7CBE3328" w14:textId="4DE38EE2" w:rsidR="006F5192" w:rsidRPr="004547B6" w:rsidRDefault="003C3C83" w:rsidP="006F5192">
      <w:pPr>
        <w:spacing w:after="120" w:line="480" w:lineRule="auto"/>
        <w:jc w:val="right"/>
        <w:rPr>
          <w:i/>
          <w:color w:val="auto"/>
          <w:sz w:val="24"/>
          <w:szCs w:val="24"/>
        </w:rPr>
      </w:pPr>
      <w:r w:rsidRPr="004547B6">
        <w:rPr>
          <w:i/>
          <w:color w:val="auto"/>
          <w:sz w:val="24"/>
          <w:szCs w:val="24"/>
        </w:rPr>
        <w:t>2</w:t>
      </w:r>
      <w:r w:rsidR="001C6761" w:rsidRPr="004547B6">
        <w:rPr>
          <w:i/>
          <w:color w:val="auto"/>
          <w:sz w:val="24"/>
          <w:szCs w:val="24"/>
        </w:rPr>
        <w:t>6</w:t>
      </w:r>
      <w:r w:rsidR="006F5192" w:rsidRPr="004547B6">
        <w:rPr>
          <w:i/>
          <w:color w:val="auto"/>
          <w:sz w:val="24"/>
          <w:szCs w:val="24"/>
        </w:rPr>
        <w:t xml:space="preserve"> </w:t>
      </w:r>
      <w:r w:rsidRPr="004547B6">
        <w:rPr>
          <w:i/>
          <w:color w:val="auto"/>
          <w:sz w:val="24"/>
          <w:szCs w:val="24"/>
        </w:rPr>
        <w:t>Νοεμβρίου</w:t>
      </w:r>
      <w:r w:rsidR="006F5192" w:rsidRPr="004547B6">
        <w:rPr>
          <w:i/>
          <w:color w:val="auto"/>
          <w:sz w:val="24"/>
          <w:szCs w:val="24"/>
        </w:rPr>
        <w:t xml:space="preserve"> 2021</w:t>
      </w:r>
    </w:p>
    <w:p w14:paraId="27BD807E" w14:textId="77777777" w:rsidR="006F5192" w:rsidRPr="004547B6" w:rsidRDefault="006F5192" w:rsidP="006F5192">
      <w:pPr>
        <w:spacing w:after="120" w:line="480" w:lineRule="auto"/>
        <w:rPr>
          <w:color w:val="auto"/>
          <w:sz w:val="24"/>
          <w:szCs w:val="24"/>
        </w:rPr>
      </w:pPr>
      <w:r w:rsidRPr="004547B6">
        <w:rPr>
          <w:color w:val="auto"/>
          <w:sz w:val="24"/>
          <w:szCs w:val="24"/>
        </w:rPr>
        <w:t xml:space="preserve">                                  Ο Πρόεδρος του Διοικητικού Συμβουλίου</w:t>
      </w:r>
    </w:p>
    <w:p w14:paraId="2BF71819" w14:textId="77777777" w:rsidR="006F5192" w:rsidRPr="004547B6" w:rsidRDefault="006F5192" w:rsidP="006F5192">
      <w:pPr>
        <w:spacing w:after="120" w:line="480" w:lineRule="auto"/>
        <w:jc w:val="center"/>
        <w:rPr>
          <w:color w:val="auto"/>
          <w:sz w:val="24"/>
          <w:szCs w:val="24"/>
        </w:rPr>
      </w:pPr>
    </w:p>
    <w:p w14:paraId="41644502" w14:textId="77777777" w:rsidR="006F5192" w:rsidRPr="004547B6" w:rsidRDefault="006F5192" w:rsidP="006F5192">
      <w:pPr>
        <w:spacing w:after="120" w:line="480" w:lineRule="auto"/>
        <w:jc w:val="center"/>
        <w:rPr>
          <w:color w:val="auto"/>
          <w:sz w:val="24"/>
          <w:szCs w:val="24"/>
        </w:rPr>
      </w:pPr>
      <w:r w:rsidRPr="004547B6">
        <w:rPr>
          <w:color w:val="auto"/>
          <w:sz w:val="24"/>
          <w:szCs w:val="24"/>
        </w:rPr>
        <w:t>Παναγιώτης Κορλίρας</w:t>
      </w:r>
    </w:p>
    <w:p w14:paraId="46F9F152" w14:textId="77777777" w:rsidR="006F5192" w:rsidRPr="00661F3D" w:rsidRDefault="006F5192" w:rsidP="008961C4">
      <w:pPr>
        <w:spacing w:after="240" w:line="240" w:lineRule="auto"/>
        <w:jc w:val="center"/>
        <w:rPr>
          <w:color w:val="auto"/>
          <w:sz w:val="40"/>
          <w:szCs w:val="40"/>
        </w:rPr>
      </w:pPr>
    </w:p>
    <w:p w14:paraId="28D84B92" w14:textId="77777777" w:rsidR="00BC3CAB" w:rsidRDefault="00BC3CAB">
      <w:pPr>
        <w:spacing w:after="160" w:line="0" w:lineRule="auto"/>
        <w:jc w:val="left"/>
        <w:rPr>
          <w:color w:val="auto"/>
        </w:rPr>
      </w:pPr>
      <w:r>
        <w:rPr>
          <w:color w:val="auto"/>
        </w:rPr>
        <w:br w:type="page"/>
      </w:r>
    </w:p>
    <w:p w14:paraId="00E87948" w14:textId="33B07791" w:rsidR="00254A8E" w:rsidRPr="009B3264" w:rsidRDefault="00254A8E">
      <w:pPr>
        <w:spacing w:after="160" w:line="0" w:lineRule="auto"/>
        <w:jc w:val="left"/>
        <w:rPr>
          <w:color w:val="385623" w:themeColor="accent6" w:themeShade="80"/>
        </w:rPr>
      </w:pPr>
      <w:bookmarkStart w:id="1" w:name="_Toc495497460"/>
    </w:p>
    <w:p w14:paraId="39E62798" w14:textId="2E27B2C9" w:rsidR="00783D7E" w:rsidRPr="00FA720A" w:rsidRDefault="003C3C83" w:rsidP="003C3C83">
      <w:pPr>
        <w:pStyle w:val="a"/>
        <w:jc w:val="center"/>
        <w:rPr>
          <w:color w:val="00B0F0"/>
        </w:rPr>
      </w:pPr>
      <w:bookmarkStart w:id="2" w:name="_Toc89172815"/>
      <w:bookmarkEnd w:id="1"/>
      <w:r w:rsidRPr="003C3C83">
        <w:rPr>
          <w:color w:val="00B0F0"/>
        </w:rPr>
        <w:t>ΜΑΚΡΟΟΙΚΟΝΟΜΙΚΕΣ &amp; ΧΡΗΜΑΤΟΠΙΣΤΩΤΙΚΕΣ ΕΞΕΛΙΞΕΙΣ &amp; ΠΡΟΟΠΤΙΚΕΣ</w:t>
      </w:r>
      <w:r>
        <w:rPr>
          <w:color w:val="00B0F0"/>
        </w:rPr>
        <w:t xml:space="preserve"> 2021-2022</w:t>
      </w:r>
      <w:bookmarkEnd w:id="2"/>
    </w:p>
    <w:p w14:paraId="6C39488F" w14:textId="6664A799" w:rsidR="00A934EC" w:rsidRDefault="00A934EC" w:rsidP="004B7FEF">
      <w:pPr>
        <w:spacing w:after="160" w:line="0" w:lineRule="auto"/>
        <w:jc w:val="left"/>
        <w:rPr>
          <w:color w:val="385623" w:themeColor="accent6" w:themeShade="80"/>
          <w:sz w:val="32"/>
          <w:szCs w:val="32"/>
        </w:rPr>
      </w:pPr>
    </w:p>
    <w:p w14:paraId="19299E65" w14:textId="3370B589" w:rsidR="00661EC3" w:rsidRPr="005A45C7" w:rsidRDefault="003C3C83" w:rsidP="003C3C83">
      <w:pPr>
        <w:pStyle w:val="a0"/>
        <w:rPr>
          <w:sz w:val="32"/>
          <w:szCs w:val="32"/>
        </w:rPr>
      </w:pPr>
      <w:bookmarkStart w:id="3" w:name="_Toc89172816"/>
      <w:r w:rsidRPr="003C3C83">
        <w:rPr>
          <w:sz w:val="32"/>
          <w:szCs w:val="32"/>
        </w:rPr>
        <w:t>Εξέλιξη και εκτιμήσεις ΑΕΠ 2021</w:t>
      </w:r>
      <w:bookmarkEnd w:id="3"/>
    </w:p>
    <w:p w14:paraId="20E7F188" w14:textId="5F7338A4" w:rsidR="009957D6" w:rsidRDefault="009957D6" w:rsidP="009957D6">
      <w:pPr>
        <w:numPr>
          <w:ilvl w:val="0"/>
          <w:numId w:val="21"/>
        </w:numPr>
        <w:spacing w:after="120"/>
        <w:ind w:hanging="357"/>
        <w:rPr>
          <w:rFonts w:eastAsia="Calibri" w:cs="Times New Roman"/>
          <w:b/>
          <w:i/>
          <w:color w:val="595959" w:themeColor="text1" w:themeTint="A6"/>
          <w:sz w:val="24"/>
          <w:szCs w:val="24"/>
        </w:rPr>
      </w:pPr>
      <w:r w:rsidRPr="009957D6">
        <w:rPr>
          <w:rFonts w:eastAsia="Calibri" w:cs="Times New Roman"/>
          <w:b/>
          <w:i/>
          <w:color w:val="595959" w:themeColor="text1" w:themeTint="A6"/>
          <w:sz w:val="24"/>
          <w:szCs w:val="24"/>
        </w:rPr>
        <w:t>Ισχυρή αύξηση του ΑΕΠ το β’ τρίμηνο του 2021 κατά 16,2%, η οποία οδηγεί την αύξηση στο α’ εξάμηνο στο 6,3%</w:t>
      </w:r>
      <w:r w:rsidR="00D3777E">
        <w:rPr>
          <w:rFonts w:eastAsia="Calibri" w:cs="Times New Roman"/>
          <w:b/>
          <w:i/>
          <w:color w:val="595959" w:themeColor="text1" w:themeTint="A6"/>
          <w:sz w:val="24"/>
          <w:szCs w:val="24"/>
        </w:rPr>
        <w:t xml:space="preserve">, λόγω </w:t>
      </w:r>
      <w:r w:rsidR="00686FEB">
        <w:rPr>
          <w:rFonts w:eastAsia="Calibri" w:cs="Times New Roman"/>
          <w:b/>
          <w:i/>
          <w:color w:val="595959" w:themeColor="text1" w:themeTint="A6"/>
          <w:sz w:val="24"/>
          <w:szCs w:val="24"/>
        </w:rPr>
        <w:t>ενίσχυσης</w:t>
      </w:r>
      <w:r w:rsidR="00D3777E">
        <w:rPr>
          <w:rFonts w:eastAsia="Calibri" w:cs="Times New Roman"/>
          <w:b/>
          <w:i/>
          <w:color w:val="595959" w:themeColor="text1" w:themeTint="A6"/>
          <w:sz w:val="24"/>
          <w:szCs w:val="24"/>
        </w:rPr>
        <w:t>:</w:t>
      </w:r>
    </w:p>
    <w:p w14:paraId="34D56702" w14:textId="08A6432B" w:rsidR="00D3777E" w:rsidRDefault="00D3777E" w:rsidP="00D3777E">
      <w:pPr>
        <w:numPr>
          <w:ilvl w:val="1"/>
          <w:numId w:val="21"/>
        </w:numPr>
        <w:spacing w:after="120"/>
        <w:rPr>
          <w:rFonts w:eastAsia="Calibri" w:cs="Times New Roman"/>
          <w:b/>
          <w:i/>
          <w:color w:val="595959" w:themeColor="text1" w:themeTint="A6"/>
          <w:sz w:val="24"/>
          <w:szCs w:val="24"/>
        </w:rPr>
      </w:pPr>
      <w:r>
        <w:rPr>
          <w:rFonts w:eastAsia="Calibri" w:cs="Times New Roman"/>
          <w:b/>
          <w:i/>
          <w:color w:val="595959" w:themeColor="text1" w:themeTint="A6"/>
          <w:sz w:val="24"/>
          <w:szCs w:val="24"/>
        </w:rPr>
        <w:t>της ιδιωτικής κατανάλωσης, κατά 4%</w:t>
      </w:r>
    </w:p>
    <w:p w14:paraId="10F54D10" w14:textId="3ABB14C9" w:rsidR="00D3777E" w:rsidRDefault="00D3777E" w:rsidP="00D3777E">
      <w:pPr>
        <w:numPr>
          <w:ilvl w:val="1"/>
          <w:numId w:val="21"/>
        </w:numPr>
        <w:spacing w:after="120"/>
        <w:rPr>
          <w:rFonts w:eastAsia="Calibri" w:cs="Times New Roman"/>
          <w:b/>
          <w:i/>
          <w:color w:val="595959" w:themeColor="text1" w:themeTint="A6"/>
          <w:sz w:val="24"/>
          <w:szCs w:val="24"/>
        </w:rPr>
      </w:pPr>
      <w:r>
        <w:rPr>
          <w:rFonts w:eastAsia="Calibri" w:cs="Times New Roman"/>
          <w:b/>
          <w:i/>
          <w:color w:val="595959" w:themeColor="text1" w:themeTint="A6"/>
          <w:sz w:val="24"/>
          <w:szCs w:val="24"/>
        </w:rPr>
        <w:t>της δημόσιας κατανάλωσης, κατά 7,1%</w:t>
      </w:r>
    </w:p>
    <w:p w14:paraId="361941F4" w14:textId="7D9A9DCA" w:rsidR="00D3777E" w:rsidRPr="00D3777E" w:rsidRDefault="00D3777E" w:rsidP="00D3777E">
      <w:pPr>
        <w:numPr>
          <w:ilvl w:val="1"/>
          <w:numId w:val="21"/>
        </w:numPr>
        <w:spacing w:after="240"/>
        <w:ind w:left="1434" w:hanging="357"/>
        <w:rPr>
          <w:rFonts w:eastAsia="Calibri" w:cs="Times New Roman"/>
          <w:b/>
          <w:i/>
          <w:color w:val="595959" w:themeColor="text1" w:themeTint="A6"/>
          <w:sz w:val="24"/>
          <w:szCs w:val="24"/>
        </w:rPr>
      </w:pPr>
      <w:r w:rsidRPr="00D3777E">
        <w:rPr>
          <w:rFonts w:eastAsia="Calibri" w:cs="Times New Roman"/>
          <w:b/>
          <w:i/>
          <w:color w:val="595959" w:themeColor="text1" w:themeTint="A6"/>
          <w:sz w:val="24"/>
          <w:szCs w:val="24"/>
        </w:rPr>
        <w:t>του ακαθάριστου σχηματισμού παγίου κεφαλαίου κατά 11,8%</w:t>
      </w:r>
    </w:p>
    <w:p w14:paraId="20D66D17" w14:textId="731B2A7E" w:rsidR="00C602EF" w:rsidRPr="00D3777E" w:rsidRDefault="00D3777E" w:rsidP="00D3777E">
      <w:pPr>
        <w:numPr>
          <w:ilvl w:val="0"/>
          <w:numId w:val="21"/>
        </w:numPr>
        <w:spacing w:after="240"/>
        <w:ind w:hanging="357"/>
        <w:rPr>
          <w:rFonts w:eastAsia="Calibri" w:cs="Times New Roman"/>
          <w:b/>
          <w:i/>
          <w:color w:val="595959" w:themeColor="text1" w:themeTint="A6"/>
          <w:sz w:val="24"/>
          <w:szCs w:val="24"/>
        </w:rPr>
      </w:pPr>
      <w:r w:rsidRPr="00D3777E">
        <w:rPr>
          <w:rFonts w:eastAsia="Calibri" w:cs="Times New Roman"/>
          <w:b/>
          <w:i/>
          <w:color w:val="595959" w:themeColor="text1" w:themeTint="A6"/>
          <w:sz w:val="24"/>
          <w:szCs w:val="24"/>
        </w:rPr>
        <w:t xml:space="preserve">Επιδείνωση καταγράφει </w:t>
      </w:r>
      <w:r w:rsidR="00686FEB">
        <w:rPr>
          <w:rFonts w:eastAsia="Calibri" w:cs="Times New Roman"/>
          <w:b/>
          <w:i/>
          <w:color w:val="595959" w:themeColor="text1" w:themeTint="A6"/>
          <w:sz w:val="24"/>
          <w:szCs w:val="24"/>
        </w:rPr>
        <w:t>σ</w:t>
      </w:r>
      <w:r w:rsidRPr="00D3777E">
        <w:rPr>
          <w:rFonts w:eastAsia="Calibri" w:cs="Times New Roman"/>
          <w:b/>
          <w:i/>
          <w:color w:val="595959" w:themeColor="text1" w:themeTint="A6"/>
          <w:sz w:val="24"/>
          <w:szCs w:val="24"/>
        </w:rPr>
        <w:t>το α’ εξάμηνο του 2021 το ισοζύγιο αγαθών και υπηρεσιών.</w:t>
      </w:r>
    </w:p>
    <w:p w14:paraId="182A64B8" w14:textId="1DF8618D" w:rsidR="00D3777E" w:rsidRPr="00D3777E" w:rsidRDefault="00D3777E" w:rsidP="00686FEB">
      <w:pPr>
        <w:numPr>
          <w:ilvl w:val="0"/>
          <w:numId w:val="21"/>
        </w:numPr>
        <w:spacing w:after="240"/>
        <w:rPr>
          <w:rFonts w:eastAsia="Calibri" w:cs="Times New Roman"/>
          <w:b/>
          <w:i/>
          <w:color w:val="595959" w:themeColor="text1" w:themeTint="A6"/>
          <w:sz w:val="24"/>
          <w:szCs w:val="24"/>
        </w:rPr>
      </w:pPr>
      <w:r w:rsidRPr="00D3777E">
        <w:rPr>
          <w:rFonts w:eastAsia="Calibri" w:cs="Times New Roman"/>
          <w:b/>
          <w:i/>
          <w:color w:val="595959" w:themeColor="text1" w:themeTint="A6"/>
          <w:sz w:val="24"/>
          <w:szCs w:val="24"/>
        </w:rPr>
        <w:t xml:space="preserve">Για το σύνολο του έτους το Υπουργείο Οικονομικών εκτιμά αύξηση του πραγματικού ΑΕΠ κατά 6,1%, η οποία </w:t>
      </w:r>
      <w:r w:rsidR="00686FEB" w:rsidRPr="00686FEB">
        <w:rPr>
          <w:rFonts w:eastAsia="Calibri" w:cs="Times New Roman"/>
          <w:b/>
          <w:i/>
          <w:color w:val="595959" w:themeColor="text1" w:themeTint="A6"/>
          <w:sz w:val="24"/>
          <w:szCs w:val="24"/>
        </w:rPr>
        <w:t>συγκρινόμενη με αντίστοιχες προβλέψεις πολλών οργανισμών (αύξηση πέριξ του 7%) κρίνεται συντηρητική</w:t>
      </w:r>
      <w:r w:rsidRPr="00D3777E">
        <w:rPr>
          <w:rFonts w:eastAsia="Calibri" w:cs="Times New Roman"/>
          <w:b/>
          <w:i/>
          <w:color w:val="595959" w:themeColor="text1" w:themeTint="A6"/>
          <w:sz w:val="24"/>
          <w:szCs w:val="24"/>
        </w:rPr>
        <w:t>.</w:t>
      </w:r>
    </w:p>
    <w:p w14:paraId="3E2058F7" w14:textId="64FA35B2" w:rsidR="00D3777E" w:rsidRPr="00D3777E" w:rsidRDefault="00D3777E" w:rsidP="00D3777E">
      <w:pPr>
        <w:numPr>
          <w:ilvl w:val="0"/>
          <w:numId w:val="21"/>
        </w:numPr>
        <w:spacing w:after="240"/>
        <w:ind w:hanging="357"/>
        <w:rPr>
          <w:rFonts w:eastAsia="Calibri" w:cs="Times New Roman"/>
          <w:b/>
          <w:i/>
          <w:color w:val="595959" w:themeColor="text1" w:themeTint="A6"/>
          <w:sz w:val="24"/>
          <w:szCs w:val="24"/>
        </w:rPr>
      </w:pPr>
      <w:r w:rsidRPr="00D3777E">
        <w:rPr>
          <w:rFonts w:eastAsia="Calibri" w:cs="Times New Roman"/>
          <w:b/>
          <w:i/>
          <w:color w:val="595959" w:themeColor="text1" w:themeTint="A6"/>
          <w:sz w:val="24"/>
          <w:szCs w:val="24"/>
        </w:rPr>
        <w:t>Σε όρους προστιθέμενης αξίας οι περισσότεροι κλάδοι της οικονομίας καταγράφουν αύξηση σε σχέση με το α’ εξάμηνο του 2020</w:t>
      </w:r>
      <w:r>
        <w:rPr>
          <w:rFonts w:eastAsia="Calibri" w:cs="Times New Roman"/>
          <w:b/>
          <w:i/>
          <w:color w:val="595959" w:themeColor="text1" w:themeTint="A6"/>
          <w:sz w:val="24"/>
          <w:szCs w:val="24"/>
        </w:rPr>
        <w:t>.</w:t>
      </w:r>
    </w:p>
    <w:p w14:paraId="661753E8" w14:textId="00ED508E" w:rsidR="00D3777E" w:rsidRPr="00D3777E" w:rsidRDefault="00D3777E" w:rsidP="009957D6">
      <w:pPr>
        <w:numPr>
          <w:ilvl w:val="0"/>
          <w:numId w:val="21"/>
        </w:numPr>
        <w:spacing w:after="120"/>
        <w:ind w:hanging="357"/>
        <w:rPr>
          <w:rFonts w:eastAsia="Calibri" w:cs="Times New Roman"/>
          <w:b/>
          <w:i/>
          <w:color w:val="595959" w:themeColor="text1" w:themeTint="A6"/>
          <w:sz w:val="24"/>
          <w:szCs w:val="24"/>
        </w:rPr>
      </w:pPr>
      <w:r w:rsidRPr="00D3777E">
        <w:rPr>
          <w:rFonts w:eastAsia="Calibri" w:cs="Times New Roman"/>
          <w:b/>
          <w:i/>
          <w:color w:val="595959" w:themeColor="text1" w:themeTint="A6"/>
          <w:sz w:val="24"/>
          <w:szCs w:val="24"/>
        </w:rPr>
        <w:t>Σε σχέση με το α’ εξάμηνο του 2019, σε όρους προστιθέμενης αξίας, η οικονομία έχει  καλύψει μεγάλο μέρος των απωλειών που προκάλεσε η πανδημία∙ υπολείπεται κατά 2,8%</w:t>
      </w:r>
      <w:r>
        <w:rPr>
          <w:rFonts w:eastAsia="Calibri" w:cs="Times New Roman"/>
          <w:b/>
          <w:i/>
          <w:color w:val="595959" w:themeColor="text1" w:themeTint="A6"/>
          <w:sz w:val="24"/>
          <w:szCs w:val="24"/>
        </w:rPr>
        <w:t>.</w:t>
      </w:r>
      <w:r w:rsidRPr="00D3777E">
        <w:rPr>
          <w:rFonts w:eastAsia="Calibri" w:cs="Times New Roman"/>
          <w:b/>
          <w:i/>
          <w:color w:val="595959" w:themeColor="text1" w:themeTint="A6"/>
          <w:sz w:val="24"/>
          <w:szCs w:val="24"/>
        </w:rPr>
        <w:t xml:space="preserve"> </w:t>
      </w:r>
    </w:p>
    <w:p w14:paraId="225266DA" w14:textId="68CE4D42" w:rsidR="004426D8" w:rsidRDefault="004426D8" w:rsidP="009957D6">
      <w:pPr>
        <w:spacing w:after="120"/>
        <w:rPr>
          <w:rFonts w:eastAsia="Calibri" w:cs="Times New Roman"/>
          <w:b/>
          <w:iCs/>
          <w:color w:val="808080"/>
        </w:rPr>
      </w:pPr>
    </w:p>
    <w:p w14:paraId="4D76D563" w14:textId="66A3C4A3" w:rsidR="00794C96" w:rsidRDefault="00794C96" w:rsidP="009957D6">
      <w:pPr>
        <w:spacing w:after="120"/>
        <w:rPr>
          <w:rFonts w:eastAsia="Calibri" w:cs="Times New Roman"/>
          <w:b/>
          <w:iCs/>
          <w:color w:val="808080"/>
        </w:rPr>
      </w:pPr>
    </w:p>
    <w:p w14:paraId="33BB8E76" w14:textId="6403873F" w:rsidR="00794C96" w:rsidRDefault="00794C96" w:rsidP="004426D8">
      <w:pPr>
        <w:spacing w:after="160"/>
        <w:rPr>
          <w:rFonts w:eastAsia="Calibri" w:cs="Times New Roman"/>
          <w:b/>
          <w:iCs/>
          <w:color w:val="808080"/>
        </w:rPr>
      </w:pPr>
    </w:p>
    <w:p w14:paraId="76685E0A" w14:textId="3CF53D83" w:rsidR="00C602EF" w:rsidRDefault="00C602EF" w:rsidP="004426D8">
      <w:pPr>
        <w:spacing w:after="160"/>
        <w:rPr>
          <w:rFonts w:eastAsia="Calibri" w:cs="Times New Roman"/>
          <w:b/>
          <w:iCs/>
          <w:color w:val="808080"/>
        </w:rPr>
      </w:pPr>
    </w:p>
    <w:p w14:paraId="2745918C" w14:textId="5797E114" w:rsidR="005445C6" w:rsidRDefault="005445C6">
      <w:pPr>
        <w:spacing w:after="160" w:line="0" w:lineRule="auto"/>
        <w:jc w:val="left"/>
        <w:rPr>
          <w:rFonts w:eastAsia="Calibri" w:cs="Times New Roman"/>
          <w:b/>
          <w:iCs/>
          <w:color w:val="808080"/>
        </w:rPr>
      </w:pPr>
      <w:r>
        <w:rPr>
          <w:rFonts w:eastAsia="Calibri" w:cs="Times New Roman"/>
          <w:b/>
          <w:iCs/>
          <w:color w:val="808080"/>
        </w:rPr>
        <w:br w:type="page"/>
      </w:r>
    </w:p>
    <w:p w14:paraId="3180BDC6" w14:textId="2236AFB2" w:rsidR="004B7FEF" w:rsidRPr="003C3C83" w:rsidRDefault="00375DBF" w:rsidP="00375DBF">
      <w:pPr>
        <w:pStyle w:val="a1"/>
        <w:ind w:left="0"/>
        <w:rPr>
          <w:sz w:val="28"/>
          <w:szCs w:val="28"/>
        </w:rPr>
      </w:pPr>
      <w:bookmarkStart w:id="4" w:name="_Toc89172817"/>
      <w:r w:rsidRPr="00375DBF">
        <w:rPr>
          <w:sz w:val="28"/>
          <w:szCs w:val="28"/>
        </w:rPr>
        <w:lastRenderedPageBreak/>
        <w:t>Ανάλυση των εξελίξεων στο ΑΕΠ το 2021</w:t>
      </w:r>
      <w:bookmarkEnd w:id="4"/>
      <w:r w:rsidR="00DF60E7">
        <w:rPr>
          <w:sz w:val="28"/>
          <w:szCs w:val="28"/>
        </w:rPr>
        <w:t xml:space="preserve"> </w:t>
      </w:r>
      <w:r w:rsidR="004B7FEF" w:rsidRPr="003C3C83">
        <w:rPr>
          <w:sz w:val="28"/>
          <w:szCs w:val="28"/>
        </w:rPr>
        <w:t xml:space="preserve"> </w:t>
      </w:r>
    </w:p>
    <w:p w14:paraId="33DE6C09" w14:textId="78119F18" w:rsidR="00DF60E7" w:rsidRPr="00553403" w:rsidRDefault="00DF60E7" w:rsidP="00DF60E7">
      <w:pPr>
        <w:rPr>
          <w:rFonts w:eastAsia="Calibri" w:cs="Times New Roman"/>
          <w:color w:val="auto"/>
        </w:rPr>
      </w:pPr>
      <w:r w:rsidRPr="00553403">
        <w:rPr>
          <w:rFonts w:eastAsia="Calibri" w:cs="Times New Roman"/>
          <w:color w:val="auto"/>
        </w:rPr>
        <w:t xml:space="preserve">Το ακαθάριστο εγχώριο προϊόν σημείωσε το </w:t>
      </w:r>
      <w:r w:rsidR="005445C6">
        <w:rPr>
          <w:rFonts w:eastAsia="Calibri" w:cs="Times New Roman"/>
          <w:color w:val="auto"/>
        </w:rPr>
        <w:t>β</w:t>
      </w:r>
      <w:r w:rsidRPr="00553403">
        <w:rPr>
          <w:rFonts w:eastAsia="Calibri" w:cs="Times New Roman"/>
          <w:color w:val="auto"/>
        </w:rPr>
        <w:t xml:space="preserve">’ τρίμηνο του 2021 </w:t>
      </w:r>
      <w:r>
        <w:rPr>
          <w:rFonts w:eastAsia="Calibri" w:cs="Times New Roman"/>
          <w:color w:val="auto"/>
        </w:rPr>
        <w:t>ισχυρή</w:t>
      </w:r>
      <w:r w:rsidRPr="00553403">
        <w:rPr>
          <w:rFonts w:eastAsia="Calibri" w:cs="Times New Roman"/>
          <w:color w:val="auto"/>
        </w:rPr>
        <w:t xml:space="preserve"> </w:t>
      </w:r>
      <w:r>
        <w:rPr>
          <w:rFonts w:eastAsia="Calibri" w:cs="Times New Roman"/>
          <w:color w:val="auto"/>
        </w:rPr>
        <w:t>αύξηση</w:t>
      </w:r>
      <w:r w:rsidRPr="00553403">
        <w:rPr>
          <w:rFonts w:eastAsia="Calibri" w:cs="Times New Roman"/>
          <w:color w:val="auto"/>
        </w:rPr>
        <w:t xml:space="preserve"> της τάξης του 16,2%, ενώ στο </w:t>
      </w:r>
      <w:r w:rsidR="005445C6">
        <w:rPr>
          <w:rFonts w:eastAsia="Calibri" w:cs="Times New Roman"/>
          <w:color w:val="auto"/>
        </w:rPr>
        <w:t>α</w:t>
      </w:r>
      <w:r w:rsidRPr="00553403">
        <w:rPr>
          <w:rFonts w:eastAsia="Calibri" w:cs="Times New Roman"/>
          <w:color w:val="auto"/>
        </w:rPr>
        <w:t>’ εξάμηνο η αύξηση του ΑΕΠ διαμορφώθηκε στο 6,3%</w:t>
      </w:r>
      <w:r>
        <w:rPr>
          <w:rFonts w:eastAsia="Calibri" w:cs="Times New Roman"/>
          <w:color w:val="auto"/>
        </w:rPr>
        <w:t>, σε ετήσια βάση</w:t>
      </w:r>
      <w:r w:rsidRPr="00553403">
        <w:rPr>
          <w:rFonts w:eastAsia="Calibri" w:cs="Times New Roman"/>
          <w:color w:val="auto"/>
        </w:rPr>
        <w:t xml:space="preserve">. Όλοι οι προσδιοριστικοί παράγοντες του ΑΕΠ </w:t>
      </w:r>
      <w:r w:rsidR="00686FEB">
        <w:rPr>
          <w:rFonts w:eastAsia="Calibri" w:cs="Times New Roman"/>
          <w:color w:val="auto"/>
        </w:rPr>
        <w:t>το</w:t>
      </w:r>
      <w:r w:rsidRPr="00553403">
        <w:rPr>
          <w:rFonts w:eastAsia="Calibri" w:cs="Times New Roman"/>
          <w:color w:val="auto"/>
        </w:rPr>
        <w:t xml:space="preserve"> </w:t>
      </w:r>
      <w:r w:rsidR="005445C6">
        <w:rPr>
          <w:rFonts w:eastAsia="Calibri" w:cs="Times New Roman"/>
          <w:color w:val="auto"/>
        </w:rPr>
        <w:t>α</w:t>
      </w:r>
      <w:r w:rsidRPr="00553403">
        <w:rPr>
          <w:rFonts w:eastAsia="Calibri" w:cs="Times New Roman"/>
          <w:color w:val="auto"/>
        </w:rPr>
        <w:t>' εξάμηνο παρουσίασαν βελτίωση,</w:t>
      </w:r>
      <w:r w:rsidR="005445C6">
        <w:rPr>
          <w:rFonts w:eastAsia="Calibri" w:cs="Times New Roman"/>
          <w:color w:val="auto"/>
        </w:rPr>
        <w:t xml:space="preserve"> </w:t>
      </w:r>
      <w:r w:rsidRPr="00553403">
        <w:rPr>
          <w:rFonts w:eastAsia="Calibri" w:cs="Times New Roman"/>
          <w:color w:val="auto"/>
        </w:rPr>
        <w:t xml:space="preserve">πλην των εισαγωγών αγαθών και υπηρεσιών. Η </w:t>
      </w:r>
      <w:r>
        <w:rPr>
          <w:rFonts w:eastAsia="Calibri" w:cs="Times New Roman"/>
          <w:color w:val="auto"/>
        </w:rPr>
        <w:t xml:space="preserve">ελαφρά </w:t>
      </w:r>
      <w:r w:rsidRPr="00553403">
        <w:rPr>
          <w:rFonts w:eastAsia="Calibri" w:cs="Times New Roman"/>
          <w:color w:val="auto"/>
        </w:rPr>
        <w:t xml:space="preserve">άνοδος της αξίας των ελληνικών εξαγωγών αγαθών και υπηρεσιών δεν ήταν επαρκής για να αντισταθμίσει τη μεγαλύτερη αύξηση των εισαγωγών, με αποτέλεσμα την αρνητική </w:t>
      </w:r>
      <w:r>
        <w:rPr>
          <w:rFonts w:eastAsia="Calibri" w:cs="Times New Roman"/>
          <w:color w:val="auto"/>
        </w:rPr>
        <w:t>επίδραση</w:t>
      </w:r>
      <w:r w:rsidRPr="00553403">
        <w:rPr>
          <w:rFonts w:eastAsia="Calibri" w:cs="Times New Roman"/>
          <w:color w:val="auto"/>
        </w:rPr>
        <w:t xml:space="preserve"> του</w:t>
      </w:r>
      <w:r w:rsidR="00375DBF">
        <w:rPr>
          <w:rFonts w:eastAsia="Calibri" w:cs="Times New Roman"/>
          <w:color w:val="auto"/>
        </w:rPr>
        <w:t xml:space="preserve"> συνολικού εξωτερικού τομέα στη</w:t>
      </w:r>
      <w:r w:rsidRPr="00553403">
        <w:rPr>
          <w:rFonts w:eastAsia="Calibri" w:cs="Times New Roman"/>
          <w:color w:val="auto"/>
        </w:rPr>
        <w:t xml:space="preserve"> διαμόρφωση του ΑΕΠ</w:t>
      </w:r>
      <w:r w:rsidRPr="00313A4C">
        <w:rPr>
          <w:rFonts w:eastAsia="Calibri" w:cs="Times New Roman"/>
          <w:color w:val="auto"/>
        </w:rPr>
        <w:t>.</w:t>
      </w:r>
      <w:r>
        <w:rPr>
          <w:rStyle w:val="af1"/>
          <w:rFonts w:eastAsia="Calibri" w:cs="Times New Roman"/>
          <w:color w:val="auto"/>
        </w:rPr>
        <w:footnoteReference w:id="1"/>
      </w:r>
      <w:r w:rsidRPr="00553403">
        <w:rPr>
          <w:rFonts w:eastAsia="Calibri" w:cs="Times New Roman"/>
          <w:color w:val="auto"/>
        </w:rPr>
        <w:t xml:space="preserve"> </w:t>
      </w:r>
    </w:p>
    <w:p w14:paraId="349F6CB2" w14:textId="3698DEDF" w:rsidR="00DF60E7" w:rsidRPr="008A7551" w:rsidRDefault="00DF60E7" w:rsidP="00DF60E7">
      <w:pPr>
        <w:spacing w:after="0" w:line="240" w:lineRule="auto"/>
        <w:ind w:right="-1068"/>
        <w:rPr>
          <w:b/>
          <w:iCs/>
          <w:sz w:val="20"/>
          <w:szCs w:val="20"/>
        </w:rPr>
      </w:pPr>
      <w:bookmarkStart w:id="5" w:name="_Toc89172863"/>
      <w:r w:rsidRPr="008A190C">
        <w:rPr>
          <w:b/>
          <w:iCs/>
          <w:color w:val="44546A" w:themeColor="text2"/>
          <w:sz w:val="20"/>
          <w:szCs w:val="20"/>
        </w:rPr>
        <w:t xml:space="preserve">Διάγραμμα </w:t>
      </w:r>
      <w:r w:rsidRPr="008A190C">
        <w:rPr>
          <w:b/>
          <w:color w:val="44546A" w:themeColor="text2"/>
          <w:sz w:val="20"/>
          <w:szCs w:val="20"/>
        </w:rPr>
        <w:fldChar w:fldCharType="begin"/>
      </w:r>
      <w:r w:rsidRPr="008A190C">
        <w:rPr>
          <w:b/>
          <w:iCs/>
          <w:color w:val="44546A" w:themeColor="text2"/>
          <w:sz w:val="20"/>
          <w:szCs w:val="20"/>
        </w:rPr>
        <w:instrText xml:space="preserve"> SEQ Διάγραμμα \* ARABIC </w:instrText>
      </w:r>
      <w:r w:rsidRPr="008A190C">
        <w:rPr>
          <w:b/>
          <w:color w:val="44546A" w:themeColor="text2"/>
          <w:sz w:val="20"/>
          <w:szCs w:val="20"/>
        </w:rPr>
        <w:fldChar w:fldCharType="separate"/>
      </w:r>
      <w:r w:rsidR="0038196B">
        <w:rPr>
          <w:b/>
          <w:iCs/>
          <w:noProof/>
          <w:color w:val="44546A" w:themeColor="text2"/>
          <w:sz w:val="20"/>
          <w:szCs w:val="20"/>
        </w:rPr>
        <w:t>1</w:t>
      </w:r>
      <w:r w:rsidRPr="008A190C">
        <w:rPr>
          <w:b/>
          <w:color w:val="44546A" w:themeColor="text2"/>
          <w:sz w:val="20"/>
          <w:szCs w:val="20"/>
        </w:rPr>
        <w:fldChar w:fldCharType="end"/>
      </w:r>
      <w:r w:rsidRPr="008A190C">
        <w:rPr>
          <w:b/>
          <w:iCs/>
          <w:color w:val="44546A" w:themeColor="text2"/>
          <w:sz w:val="20"/>
          <w:szCs w:val="20"/>
        </w:rPr>
        <w:t>:</w:t>
      </w:r>
      <w:r w:rsidRPr="000B38C0">
        <w:rPr>
          <w:iCs/>
          <w:color w:val="44546A" w:themeColor="text2"/>
          <w:sz w:val="20"/>
          <w:szCs w:val="20"/>
        </w:rPr>
        <w:t xml:space="preserve"> </w:t>
      </w:r>
      <w:r w:rsidRPr="000B38C0">
        <w:rPr>
          <w:rFonts w:eastAsia="Calibri" w:cs="Times New Roman"/>
          <w:iCs/>
          <w:color w:val="auto"/>
          <w:sz w:val="20"/>
          <w:szCs w:val="20"/>
        </w:rPr>
        <w:t xml:space="preserve"> </w:t>
      </w:r>
      <w:r>
        <w:rPr>
          <w:rFonts w:eastAsia="Times New Roman" w:cs="Calibri"/>
          <w:bCs/>
          <w:color w:val="00A3E0"/>
          <w:spacing w:val="-4"/>
          <w:sz w:val="20"/>
          <w:szCs w:val="20"/>
          <w:lang w:eastAsia="el-GR"/>
        </w:rPr>
        <w:t>Τριμηνιαίο ΑΕΠ 2019-202</w:t>
      </w:r>
      <w:r w:rsidRPr="00D37B96">
        <w:rPr>
          <w:rFonts w:eastAsia="Times New Roman" w:cs="Calibri"/>
          <w:bCs/>
          <w:color w:val="00A3E0"/>
          <w:spacing w:val="-4"/>
          <w:sz w:val="20"/>
          <w:szCs w:val="20"/>
          <w:lang w:eastAsia="el-GR"/>
        </w:rPr>
        <w:t>1</w:t>
      </w:r>
      <w:r>
        <w:rPr>
          <w:rFonts w:eastAsia="Times New Roman" w:cs="Calibri"/>
          <w:bCs/>
          <w:color w:val="00A3E0"/>
          <w:spacing w:val="-4"/>
          <w:sz w:val="20"/>
          <w:szCs w:val="20"/>
          <w:lang w:eastAsia="el-GR"/>
        </w:rPr>
        <w:t xml:space="preserve"> (μεταβολή σε ετήσια βάση)</w:t>
      </w:r>
      <w:bookmarkEnd w:id="5"/>
    </w:p>
    <w:p w14:paraId="6319C952" w14:textId="77777777" w:rsidR="00DF60E7" w:rsidRPr="008A7551" w:rsidRDefault="00DF60E7" w:rsidP="00DF60E7">
      <w:pPr>
        <w:spacing w:after="0" w:line="240" w:lineRule="auto"/>
        <w:rPr>
          <w:color w:val="00B0F0"/>
          <w:sz w:val="16"/>
          <w:szCs w:val="16"/>
        </w:rPr>
      </w:pPr>
      <w:r w:rsidRPr="007B68A6">
        <w:rPr>
          <w:noProof/>
          <w:shd w:val="clear" w:color="auto" w:fill="000000" w:themeFill="text1"/>
          <w:lang w:eastAsia="el-GR"/>
        </w:rPr>
        <w:drawing>
          <wp:inline distT="0" distB="0" distL="0" distR="0" wp14:anchorId="467DA388" wp14:editId="5CF77EC2">
            <wp:extent cx="5278120" cy="3402965"/>
            <wp:effectExtent l="0" t="0" r="17780" b="6985"/>
            <wp:docPr id="25" name="Γράφημα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ED2C65">
        <w:rPr>
          <w:b/>
          <w:color w:val="5F6265"/>
          <w:sz w:val="16"/>
          <w:szCs w:val="16"/>
        </w:rPr>
        <w:t>Πηγή:</w:t>
      </w:r>
      <w:r w:rsidRPr="008A7551">
        <w:rPr>
          <w:color w:val="auto"/>
          <w:sz w:val="16"/>
          <w:szCs w:val="16"/>
        </w:rPr>
        <w:t xml:space="preserve"> </w:t>
      </w:r>
      <w:r w:rsidRPr="008A7551">
        <w:rPr>
          <w:color w:val="00B0F0"/>
          <w:sz w:val="16"/>
          <w:szCs w:val="16"/>
        </w:rPr>
        <w:t>ΕΛΣΤΑΤ (Στοιχεία με εποχι</w:t>
      </w:r>
      <w:r>
        <w:rPr>
          <w:color w:val="00B0F0"/>
          <w:sz w:val="16"/>
          <w:szCs w:val="16"/>
        </w:rPr>
        <w:t>κή διόρθωση, σταθερές τιμές 2015</w:t>
      </w:r>
      <w:r w:rsidRPr="008A7551">
        <w:rPr>
          <w:color w:val="00B0F0"/>
          <w:sz w:val="16"/>
          <w:szCs w:val="16"/>
        </w:rPr>
        <w:t xml:space="preserve">) </w:t>
      </w:r>
    </w:p>
    <w:p w14:paraId="6F4D34C4" w14:textId="77777777" w:rsidR="00DF60E7" w:rsidRPr="00F40C74" w:rsidRDefault="00DF60E7" w:rsidP="007254C6">
      <w:pPr>
        <w:spacing w:after="120" w:line="240" w:lineRule="auto"/>
        <w:rPr>
          <w:color w:val="auto"/>
          <w:sz w:val="16"/>
          <w:szCs w:val="16"/>
        </w:rPr>
      </w:pPr>
      <w:r w:rsidRPr="008A7551">
        <w:rPr>
          <w:color w:val="auto"/>
          <w:sz w:val="16"/>
          <w:szCs w:val="16"/>
        </w:rPr>
        <w:t>Σημ</w:t>
      </w:r>
      <w:r>
        <w:rPr>
          <w:color w:val="auto"/>
          <w:sz w:val="16"/>
          <w:szCs w:val="16"/>
        </w:rPr>
        <w:t>είωση</w:t>
      </w:r>
      <w:r w:rsidRPr="008A7551">
        <w:rPr>
          <w:color w:val="auto"/>
          <w:sz w:val="16"/>
          <w:szCs w:val="16"/>
        </w:rPr>
        <w:t>: Δεξιός άξονας</w:t>
      </w:r>
      <w:r w:rsidRPr="00F40C74">
        <w:rPr>
          <w:color w:val="auto"/>
          <w:sz w:val="16"/>
          <w:szCs w:val="16"/>
        </w:rPr>
        <w:t xml:space="preserve"> % μεταβολή του ΑΕΠ, αριστερός άξονας όγκος ΑΕΠ σε εκατ. ευρώ)</w:t>
      </w:r>
    </w:p>
    <w:p w14:paraId="7FEE2535" w14:textId="77777777" w:rsidR="00DF60E7" w:rsidRPr="008A7551" w:rsidRDefault="00DF60E7" w:rsidP="00DF60E7">
      <w:pPr>
        <w:spacing w:after="0" w:line="240" w:lineRule="auto"/>
        <w:rPr>
          <w:rFonts w:eastAsia="Calibri" w:cs="Times New Roman"/>
          <w:b/>
          <w:iCs/>
          <w:color w:val="808080" w:themeColor="background1" w:themeShade="80"/>
        </w:rPr>
      </w:pPr>
    </w:p>
    <w:p w14:paraId="6E165292" w14:textId="26457386" w:rsidR="005445C6" w:rsidRDefault="00DF60E7" w:rsidP="00DF60E7">
      <w:pPr>
        <w:spacing w:after="120"/>
        <w:rPr>
          <w:rFonts w:eastAsia="Calibri" w:cs="Times New Roman"/>
          <w:color w:val="auto"/>
        </w:rPr>
      </w:pPr>
      <w:r w:rsidRPr="00553403">
        <w:rPr>
          <w:rFonts w:eastAsia="Calibri" w:cs="Times New Roman"/>
          <w:color w:val="auto"/>
        </w:rPr>
        <w:t>Ειδικότερα, σε σύγκριση με την αντίστοιχη περίοδο του προηγούμενου έτους, κατά το Α’ εξάμηνο του 2021 η ιδιωτική κατανάλωση αυξήθηκε κατά 4,0%, η δημόσια κατανάλωση κατά 7,</w:t>
      </w:r>
      <w:r w:rsidRPr="00066EF7">
        <w:rPr>
          <w:rFonts w:eastAsia="Calibri" w:cs="Times New Roman"/>
          <w:color w:val="auto"/>
        </w:rPr>
        <w:t>1</w:t>
      </w:r>
      <w:r w:rsidRPr="00553403">
        <w:rPr>
          <w:rFonts w:eastAsia="Calibri" w:cs="Times New Roman"/>
          <w:color w:val="auto"/>
        </w:rPr>
        <w:t xml:space="preserve">%, o ακαθάριστος σχηματισμός παγίου κεφαλαίου (ΑΣΠΚ) κατά 11,8%, και οι εξαγωγές αγαθών και υπηρεσιών κατά 3,4%. Στον αντίποδα, όπως προαναφέρθηκε, οι εισαγωγές αγαθών και υπηρεσιών αυξήθηκαν κατά 8,4%, </w:t>
      </w:r>
      <w:r>
        <w:rPr>
          <w:rFonts w:eastAsia="Calibri" w:cs="Times New Roman"/>
          <w:color w:val="auto"/>
        </w:rPr>
        <w:t xml:space="preserve">αντισταθμίζοντας πλήρως </w:t>
      </w:r>
      <w:r w:rsidR="00375DBF">
        <w:rPr>
          <w:rFonts w:eastAsia="Calibri" w:cs="Times New Roman"/>
          <w:color w:val="auto"/>
        </w:rPr>
        <w:t xml:space="preserve">στο τελικό ισοζύγιο </w:t>
      </w:r>
      <w:r>
        <w:rPr>
          <w:rFonts w:eastAsia="Calibri" w:cs="Times New Roman"/>
          <w:color w:val="auto"/>
        </w:rPr>
        <w:t>την αύξηση των εξαγωγών</w:t>
      </w:r>
      <w:r w:rsidRPr="00553403">
        <w:rPr>
          <w:rFonts w:eastAsia="Calibri" w:cs="Times New Roman"/>
          <w:color w:val="auto"/>
        </w:rPr>
        <w:t>.</w:t>
      </w:r>
    </w:p>
    <w:p w14:paraId="05EA9461" w14:textId="77777777" w:rsidR="005445C6" w:rsidRDefault="005445C6">
      <w:pPr>
        <w:spacing w:after="160" w:line="0" w:lineRule="auto"/>
        <w:jc w:val="left"/>
        <w:rPr>
          <w:rFonts w:eastAsia="Calibri" w:cs="Times New Roman"/>
          <w:color w:val="auto"/>
        </w:rPr>
      </w:pPr>
      <w:r>
        <w:rPr>
          <w:rFonts w:eastAsia="Calibri" w:cs="Times New Roman"/>
          <w:color w:val="auto"/>
        </w:rPr>
        <w:br w:type="page"/>
      </w:r>
    </w:p>
    <w:p w14:paraId="696A8FAA" w14:textId="0B9C67A4" w:rsidR="00DF60E7" w:rsidRPr="007F0661" w:rsidRDefault="00DF60E7" w:rsidP="00DF60E7">
      <w:pPr>
        <w:spacing w:after="120" w:line="240" w:lineRule="auto"/>
        <w:rPr>
          <w:i/>
          <w:color w:val="538135" w:themeColor="accent6" w:themeShade="BF"/>
        </w:rPr>
      </w:pPr>
      <w:bookmarkStart w:id="6" w:name="_Toc496890366"/>
      <w:bookmarkStart w:id="7" w:name="_Ref498097872"/>
      <w:bookmarkStart w:id="8" w:name="_Toc22920815"/>
      <w:bookmarkStart w:id="9" w:name="_Toc25065288"/>
      <w:bookmarkStart w:id="10" w:name="_Toc89172846"/>
      <w:r>
        <w:rPr>
          <w:b/>
          <w:sz w:val="20"/>
          <w:szCs w:val="20"/>
        </w:rPr>
        <w:lastRenderedPageBreak/>
        <w:t xml:space="preserve">Πίνακας </w:t>
      </w:r>
      <w:r w:rsidRPr="002C37A0">
        <w:rPr>
          <w:b/>
          <w:i/>
          <w:sz w:val="20"/>
          <w:szCs w:val="20"/>
        </w:rPr>
        <w:fldChar w:fldCharType="begin"/>
      </w:r>
      <w:r w:rsidRPr="002C37A0">
        <w:rPr>
          <w:b/>
          <w:sz w:val="20"/>
          <w:szCs w:val="20"/>
        </w:rPr>
        <w:instrText xml:space="preserve"> SEQ Πίνακας \* ARABIC </w:instrText>
      </w:r>
      <w:r w:rsidRPr="002C37A0">
        <w:rPr>
          <w:b/>
          <w:i/>
          <w:sz w:val="20"/>
          <w:szCs w:val="20"/>
        </w:rPr>
        <w:fldChar w:fldCharType="separate"/>
      </w:r>
      <w:r w:rsidR="0038196B">
        <w:rPr>
          <w:b/>
          <w:noProof/>
          <w:sz w:val="20"/>
          <w:szCs w:val="20"/>
        </w:rPr>
        <w:t>1</w:t>
      </w:r>
      <w:r w:rsidRPr="002C37A0">
        <w:rPr>
          <w:b/>
          <w:i/>
          <w:sz w:val="20"/>
          <w:szCs w:val="20"/>
        </w:rPr>
        <w:fldChar w:fldCharType="end"/>
      </w:r>
      <w:r w:rsidRPr="0024509F">
        <w:rPr>
          <w:b/>
          <w:color w:val="00B0F0"/>
          <w:sz w:val="20"/>
          <w:szCs w:val="20"/>
        </w:rPr>
        <w:t>:</w:t>
      </w:r>
      <w:r w:rsidRPr="0024509F">
        <w:rPr>
          <w:b/>
          <w:iCs/>
          <w:color w:val="00B0F0"/>
        </w:rPr>
        <w:t xml:space="preserve"> </w:t>
      </w:r>
      <w:r>
        <w:rPr>
          <w:color w:val="00B0F0"/>
          <w:sz w:val="20"/>
          <w:szCs w:val="20"/>
        </w:rPr>
        <w:t xml:space="preserve">ΑΕΠ </w:t>
      </w:r>
      <w:r w:rsidR="007254C6">
        <w:rPr>
          <w:color w:val="00B0F0"/>
          <w:sz w:val="20"/>
          <w:szCs w:val="20"/>
        </w:rPr>
        <w:t xml:space="preserve">α’ εξαμήνου </w:t>
      </w:r>
      <w:r>
        <w:rPr>
          <w:color w:val="00B0F0"/>
          <w:sz w:val="20"/>
          <w:szCs w:val="20"/>
        </w:rPr>
        <w:t>202</w:t>
      </w:r>
      <w:r w:rsidRPr="007F4AA4">
        <w:rPr>
          <w:color w:val="00B0F0"/>
          <w:sz w:val="20"/>
          <w:szCs w:val="20"/>
        </w:rPr>
        <w:t>1</w:t>
      </w:r>
      <w:r w:rsidRPr="00757B17">
        <w:rPr>
          <w:color w:val="00B0F0"/>
          <w:sz w:val="20"/>
          <w:szCs w:val="20"/>
        </w:rPr>
        <w:t xml:space="preserve"> και συνιστώσες</w:t>
      </w:r>
      <w:bookmarkEnd w:id="6"/>
      <w:bookmarkEnd w:id="7"/>
      <w:r w:rsidR="007254C6">
        <w:rPr>
          <w:color w:val="00B0F0"/>
          <w:sz w:val="20"/>
          <w:szCs w:val="20"/>
        </w:rPr>
        <w:t xml:space="preserve"> </w:t>
      </w:r>
      <w:r w:rsidRPr="00757B17">
        <w:rPr>
          <w:color w:val="00B0F0"/>
          <w:sz w:val="20"/>
          <w:szCs w:val="20"/>
        </w:rPr>
        <w:t>δαπάνης</w:t>
      </w:r>
      <w:bookmarkEnd w:id="8"/>
      <w:bookmarkEnd w:id="9"/>
      <w:bookmarkEnd w:id="10"/>
      <w:r w:rsidRPr="007F0661">
        <w:rPr>
          <w:b/>
          <w:i/>
          <w:color w:val="00B0F0"/>
          <w:sz w:val="20"/>
          <w:szCs w:val="20"/>
        </w:rPr>
        <w:t xml:space="preserve"> </w:t>
      </w:r>
    </w:p>
    <w:tbl>
      <w:tblPr>
        <w:tblW w:w="8364" w:type="dxa"/>
        <w:tblInd w:w="-10" w:type="dxa"/>
        <w:tblCellMar>
          <w:left w:w="0" w:type="dxa"/>
          <w:right w:w="0" w:type="dxa"/>
        </w:tblCellMar>
        <w:tblLook w:val="04A0" w:firstRow="1" w:lastRow="0" w:firstColumn="1" w:lastColumn="0" w:noHBand="0" w:noVBand="1"/>
      </w:tblPr>
      <w:tblGrid>
        <w:gridCol w:w="3196"/>
        <w:gridCol w:w="5168"/>
      </w:tblGrid>
      <w:tr w:rsidR="005445C6" w:rsidRPr="007254C6" w14:paraId="24BE0900" w14:textId="77777777" w:rsidTr="007254C6">
        <w:trPr>
          <w:trHeight w:val="116"/>
        </w:trPr>
        <w:tc>
          <w:tcPr>
            <w:tcW w:w="3196" w:type="dxa"/>
            <w:tcBorders>
              <w:top w:val="single" w:sz="8" w:space="0" w:color="auto"/>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5C282B71" w14:textId="77777777" w:rsidR="005445C6" w:rsidRPr="007254C6" w:rsidRDefault="005445C6" w:rsidP="00140420">
            <w:pPr>
              <w:spacing w:after="0" w:line="240" w:lineRule="auto"/>
              <w:jc w:val="left"/>
              <w:rPr>
                <w:b/>
                <w:color w:val="auto"/>
              </w:rPr>
            </w:pPr>
            <w:r w:rsidRPr="007254C6">
              <w:rPr>
                <w:b/>
                <w:color w:val="auto"/>
              </w:rPr>
              <w:t>ΑΕΠ</w:t>
            </w:r>
          </w:p>
        </w:tc>
        <w:tc>
          <w:tcPr>
            <w:tcW w:w="5168" w:type="dxa"/>
            <w:tcBorders>
              <w:top w:val="single" w:sz="8" w:space="0" w:color="auto"/>
              <w:left w:val="single" w:sz="8" w:space="0" w:color="auto"/>
              <w:bottom w:val="single" w:sz="8" w:space="0" w:color="auto"/>
              <w:right w:val="single" w:sz="8" w:space="0" w:color="auto"/>
            </w:tcBorders>
            <w:shd w:val="clear" w:color="auto" w:fill="B4C6E7" w:themeFill="accent5" w:themeFillTint="66"/>
          </w:tcPr>
          <w:p w14:paraId="78F687A0" w14:textId="77777777" w:rsidR="005445C6" w:rsidRPr="007254C6" w:rsidRDefault="005445C6" w:rsidP="00140420">
            <w:pPr>
              <w:jc w:val="center"/>
              <w:rPr>
                <w:b/>
                <w:color w:val="auto"/>
              </w:rPr>
            </w:pPr>
            <w:r w:rsidRPr="007254C6">
              <w:rPr>
                <w:b/>
                <w:color w:val="auto"/>
              </w:rPr>
              <w:t>6,3</w:t>
            </w:r>
          </w:p>
        </w:tc>
      </w:tr>
      <w:tr w:rsidR="005445C6" w:rsidRPr="007254C6" w14:paraId="0CE4AD5C" w14:textId="77777777" w:rsidTr="005445C6">
        <w:trPr>
          <w:trHeight w:val="361"/>
        </w:trPr>
        <w:tc>
          <w:tcPr>
            <w:tcW w:w="31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6C12DA" w14:textId="77777777" w:rsidR="005445C6" w:rsidRPr="007254C6" w:rsidRDefault="005445C6" w:rsidP="00140420">
            <w:pPr>
              <w:spacing w:after="0" w:line="240" w:lineRule="auto"/>
              <w:jc w:val="left"/>
              <w:rPr>
                <w:color w:val="auto"/>
              </w:rPr>
            </w:pPr>
            <w:r w:rsidRPr="007254C6">
              <w:rPr>
                <w:color w:val="auto"/>
              </w:rPr>
              <w:t>Ιδιωτική κατανάλωση</w:t>
            </w:r>
          </w:p>
        </w:tc>
        <w:tc>
          <w:tcPr>
            <w:tcW w:w="5168" w:type="dxa"/>
            <w:tcBorders>
              <w:top w:val="single" w:sz="8" w:space="0" w:color="auto"/>
              <w:left w:val="single" w:sz="8" w:space="0" w:color="auto"/>
              <w:bottom w:val="single" w:sz="8" w:space="0" w:color="auto"/>
              <w:right w:val="single" w:sz="8" w:space="0" w:color="auto"/>
            </w:tcBorders>
          </w:tcPr>
          <w:p w14:paraId="77E4502C" w14:textId="77777777" w:rsidR="005445C6" w:rsidRPr="007254C6" w:rsidRDefault="005445C6" w:rsidP="00140420">
            <w:pPr>
              <w:jc w:val="center"/>
              <w:rPr>
                <w:color w:val="auto"/>
              </w:rPr>
            </w:pPr>
            <w:r w:rsidRPr="007254C6">
              <w:rPr>
                <w:color w:val="auto"/>
              </w:rPr>
              <w:t>4,0</w:t>
            </w:r>
          </w:p>
        </w:tc>
      </w:tr>
      <w:tr w:rsidR="005445C6" w:rsidRPr="007254C6" w14:paraId="0E06FA59" w14:textId="77777777" w:rsidTr="005445C6">
        <w:trPr>
          <w:trHeight w:val="361"/>
        </w:trPr>
        <w:tc>
          <w:tcPr>
            <w:tcW w:w="31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DB6230" w14:textId="77777777" w:rsidR="005445C6" w:rsidRPr="007254C6" w:rsidRDefault="005445C6" w:rsidP="00140420">
            <w:pPr>
              <w:spacing w:after="0" w:line="240" w:lineRule="auto"/>
              <w:jc w:val="left"/>
              <w:rPr>
                <w:color w:val="auto"/>
              </w:rPr>
            </w:pPr>
            <w:r w:rsidRPr="007254C6">
              <w:rPr>
                <w:color w:val="auto"/>
              </w:rPr>
              <w:t>Δημόσια κατανάλωση</w:t>
            </w:r>
          </w:p>
        </w:tc>
        <w:tc>
          <w:tcPr>
            <w:tcW w:w="5168" w:type="dxa"/>
            <w:tcBorders>
              <w:top w:val="single" w:sz="8" w:space="0" w:color="auto"/>
              <w:left w:val="single" w:sz="8" w:space="0" w:color="auto"/>
              <w:bottom w:val="single" w:sz="8" w:space="0" w:color="auto"/>
              <w:right w:val="single" w:sz="8" w:space="0" w:color="auto"/>
            </w:tcBorders>
          </w:tcPr>
          <w:p w14:paraId="7D2BA286" w14:textId="77777777" w:rsidR="005445C6" w:rsidRPr="007254C6" w:rsidRDefault="005445C6" w:rsidP="00140420">
            <w:pPr>
              <w:jc w:val="center"/>
              <w:rPr>
                <w:color w:val="auto"/>
                <w:lang w:val="en-US"/>
              </w:rPr>
            </w:pPr>
            <w:r w:rsidRPr="007254C6">
              <w:rPr>
                <w:color w:val="auto"/>
              </w:rPr>
              <w:t>7,</w:t>
            </w:r>
            <w:r w:rsidRPr="007254C6">
              <w:rPr>
                <w:color w:val="auto"/>
                <w:lang w:val="en-US"/>
              </w:rPr>
              <w:t>1</w:t>
            </w:r>
          </w:p>
        </w:tc>
      </w:tr>
      <w:tr w:rsidR="005445C6" w:rsidRPr="007254C6" w14:paraId="517AFAA9" w14:textId="77777777" w:rsidTr="005445C6">
        <w:trPr>
          <w:trHeight w:val="606"/>
        </w:trPr>
        <w:tc>
          <w:tcPr>
            <w:tcW w:w="31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CBEF1FD" w14:textId="77777777" w:rsidR="005445C6" w:rsidRPr="007254C6" w:rsidRDefault="005445C6" w:rsidP="00140420">
            <w:pPr>
              <w:spacing w:after="0" w:line="240" w:lineRule="auto"/>
              <w:jc w:val="left"/>
              <w:rPr>
                <w:color w:val="auto"/>
              </w:rPr>
            </w:pPr>
            <w:r w:rsidRPr="007254C6">
              <w:rPr>
                <w:color w:val="auto"/>
              </w:rPr>
              <w:t>Ακαθάριστος σχηματισμός παγίου κεφαλαίου</w:t>
            </w:r>
          </w:p>
        </w:tc>
        <w:tc>
          <w:tcPr>
            <w:tcW w:w="5168" w:type="dxa"/>
            <w:tcBorders>
              <w:top w:val="single" w:sz="8" w:space="0" w:color="auto"/>
              <w:left w:val="single" w:sz="8" w:space="0" w:color="auto"/>
              <w:bottom w:val="single" w:sz="8" w:space="0" w:color="auto"/>
              <w:right w:val="single" w:sz="8" w:space="0" w:color="auto"/>
            </w:tcBorders>
          </w:tcPr>
          <w:p w14:paraId="7BD26509" w14:textId="77777777" w:rsidR="005445C6" w:rsidRPr="007254C6" w:rsidRDefault="005445C6" w:rsidP="00140420">
            <w:pPr>
              <w:jc w:val="center"/>
              <w:rPr>
                <w:color w:val="auto"/>
              </w:rPr>
            </w:pPr>
            <w:r w:rsidRPr="007254C6">
              <w:rPr>
                <w:color w:val="auto"/>
              </w:rPr>
              <w:t>11,8</w:t>
            </w:r>
          </w:p>
        </w:tc>
      </w:tr>
      <w:tr w:rsidR="005445C6" w:rsidRPr="007254C6" w14:paraId="1412C772" w14:textId="77777777" w:rsidTr="005445C6">
        <w:trPr>
          <w:trHeight w:val="488"/>
        </w:trPr>
        <w:tc>
          <w:tcPr>
            <w:tcW w:w="31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EF10EA" w14:textId="77777777" w:rsidR="005445C6" w:rsidRPr="007254C6" w:rsidRDefault="005445C6" w:rsidP="00140420">
            <w:pPr>
              <w:spacing w:after="0" w:line="240" w:lineRule="auto"/>
              <w:jc w:val="left"/>
              <w:rPr>
                <w:color w:val="auto"/>
              </w:rPr>
            </w:pPr>
            <w:r w:rsidRPr="007254C6">
              <w:rPr>
                <w:color w:val="auto"/>
              </w:rPr>
              <w:t>Εξαγωγές αγαθών και υπηρεσιών</w:t>
            </w:r>
          </w:p>
        </w:tc>
        <w:tc>
          <w:tcPr>
            <w:tcW w:w="5168" w:type="dxa"/>
            <w:tcBorders>
              <w:top w:val="single" w:sz="8" w:space="0" w:color="auto"/>
              <w:left w:val="single" w:sz="8" w:space="0" w:color="auto"/>
              <w:bottom w:val="single" w:sz="8" w:space="0" w:color="auto"/>
              <w:right w:val="single" w:sz="8" w:space="0" w:color="auto"/>
            </w:tcBorders>
          </w:tcPr>
          <w:p w14:paraId="2397DD55" w14:textId="77777777" w:rsidR="005445C6" w:rsidRPr="007254C6" w:rsidRDefault="005445C6" w:rsidP="00140420">
            <w:pPr>
              <w:jc w:val="center"/>
              <w:rPr>
                <w:color w:val="auto"/>
              </w:rPr>
            </w:pPr>
            <w:r w:rsidRPr="007254C6">
              <w:rPr>
                <w:color w:val="auto"/>
              </w:rPr>
              <w:t>3,4</w:t>
            </w:r>
          </w:p>
        </w:tc>
      </w:tr>
      <w:tr w:rsidR="005445C6" w:rsidRPr="007254C6" w14:paraId="4B2F685D" w14:textId="77777777" w:rsidTr="005445C6">
        <w:trPr>
          <w:trHeight w:val="28"/>
        </w:trPr>
        <w:tc>
          <w:tcPr>
            <w:tcW w:w="31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7A116B" w14:textId="77777777" w:rsidR="005445C6" w:rsidRPr="007254C6" w:rsidRDefault="005445C6" w:rsidP="00140420">
            <w:pPr>
              <w:spacing w:after="0" w:line="240" w:lineRule="auto"/>
              <w:jc w:val="left"/>
              <w:rPr>
                <w:color w:val="auto"/>
              </w:rPr>
            </w:pPr>
            <w:r w:rsidRPr="007254C6">
              <w:rPr>
                <w:color w:val="auto"/>
              </w:rPr>
              <w:t>Εισαγωγές αγαθών και υπηρεσιών</w:t>
            </w:r>
          </w:p>
        </w:tc>
        <w:tc>
          <w:tcPr>
            <w:tcW w:w="5168" w:type="dxa"/>
            <w:tcBorders>
              <w:top w:val="single" w:sz="8" w:space="0" w:color="auto"/>
              <w:left w:val="single" w:sz="8" w:space="0" w:color="auto"/>
              <w:bottom w:val="single" w:sz="8" w:space="0" w:color="auto"/>
              <w:right w:val="single" w:sz="8" w:space="0" w:color="auto"/>
            </w:tcBorders>
          </w:tcPr>
          <w:p w14:paraId="5165D87F" w14:textId="77777777" w:rsidR="005445C6" w:rsidRPr="007254C6" w:rsidRDefault="005445C6" w:rsidP="00140420">
            <w:pPr>
              <w:jc w:val="center"/>
              <w:rPr>
                <w:color w:val="auto"/>
              </w:rPr>
            </w:pPr>
            <w:r w:rsidRPr="007254C6">
              <w:rPr>
                <w:color w:val="auto"/>
              </w:rPr>
              <w:t>8,4</w:t>
            </w:r>
          </w:p>
        </w:tc>
      </w:tr>
    </w:tbl>
    <w:p w14:paraId="74C384A9" w14:textId="2F8260CA" w:rsidR="00DF60E7" w:rsidRPr="00745906" w:rsidRDefault="00DF60E7" w:rsidP="00DF60E7">
      <w:pPr>
        <w:rPr>
          <w:color w:val="00B0F0"/>
          <w:sz w:val="18"/>
          <w:szCs w:val="18"/>
        </w:rPr>
      </w:pPr>
      <w:r w:rsidRPr="005445C6">
        <w:rPr>
          <w:b/>
          <w:sz w:val="18"/>
          <w:szCs w:val="18"/>
        </w:rPr>
        <w:t>Πηγή:</w:t>
      </w:r>
      <w:r w:rsidRPr="005445C6">
        <w:rPr>
          <w:sz w:val="18"/>
          <w:szCs w:val="18"/>
        </w:rPr>
        <w:t xml:space="preserve"> </w:t>
      </w:r>
      <w:r w:rsidR="005445C6">
        <w:rPr>
          <w:color w:val="00B0F0"/>
          <w:sz w:val="18"/>
          <w:szCs w:val="18"/>
        </w:rPr>
        <w:t>ΕΛΣΤΑΤ</w:t>
      </w:r>
      <w:r w:rsidRPr="005445C6">
        <w:rPr>
          <w:color w:val="00B0F0"/>
          <w:sz w:val="18"/>
          <w:szCs w:val="18"/>
        </w:rPr>
        <w:t>, υπολογισμοί ΕΔΣ. (Σταθερές τιμές 2015, με εποχική διόρθωση).</w:t>
      </w:r>
      <w:r w:rsidRPr="00745906">
        <w:rPr>
          <w:color w:val="00B0F0"/>
          <w:sz w:val="18"/>
          <w:szCs w:val="18"/>
        </w:rPr>
        <w:t xml:space="preserve"> </w:t>
      </w:r>
    </w:p>
    <w:p w14:paraId="0BC52F2C" w14:textId="321C795F" w:rsidR="00DF60E7" w:rsidRDefault="00DF60E7" w:rsidP="00DF60E7">
      <w:pPr>
        <w:spacing w:after="120"/>
        <w:rPr>
          <w:rFonts w:eastAsia="Calibri" w:cs="Times New Roman"/>
          <w:color w:val="auto"/>
        </w:rPr>
      </w:pPr>
      <w:r w:rsidRPr="008A7551">
        <w:rPr>
          <w:rFonts w:eastAsia="Calibri" w:cs="Times New Roman"/>
          <w:color w:val="auto"/>
        </w:rPr>
        <w:t xml:space="preserve">Η </w:t>
      </w:r>
      <w:r>
        <w:rPr>
          <w:rFonts w:eastAsia="Calibri" w:cs="Times New Roman"/>
          <w:color w:val="auto"/>
        </w:rPr>
        <w:t>αύξηση</w:t>
      </w:r>
      <w:r w:rsidRPr="008A7551">
        <w:rPr>
          <w:rFonts w:eastAsia="Calibri" w:cs="Times New Roman"/>
          <w:color w:val="auto"/>
        </w:rPr>
        <w:t xml:space="preserve"> του ακαθάριστου σχηματισμού παγίου κεφαλαίου</w:t>
      </w:r>
      <w:r w:rsidR="00E84FC5">
        <w:rPr>
          <w:rFonts w:eastAsia="Calibri" w:cs="Times New Roman"/>
          <w:color w:val="auto"/>
        </w:rPr>
        <w:t xml:space="preserve"> (</w:t>
      </w:r>
      <w:r w:rsidR="00E84FC5">
        <w:rPr>
          <w:rFonts w:eastAsia="Calibri" w:cs="Times New Roman"/>
          <w:color w:val="auto"/>
        </w:rPr>
        <w:fldChar w:fldCharType="begin"/>
      </w:r>
      <w:r w:rsidR="00E84FC5">
        <w:rPr>
          <w:rFonts w:eastAsia="Calibri" w:cs="Times New Roman"/>
          <w:color w:val="auto"/>
        </w:rPr>
        <w:instrText xml:space="preserve"> REF _Ref87894462 \h </w:instrText>
      </w:r>
      <w:r w:rsidR="00E84FC5">
        <w:rPr>
          <w:rFonts w:eastAsia="Calibri" w:cs="Times New Roman"/>
          <w:color w:val="auto"/>
        </w:rPr>
      </w:r>
      <w:r w:rsidR="00E84FC5">
        <w:rPr>
          <w:rFonts w:eastAsia="Calibri" w:cs="Times New Roman"/>
          <w:color w:val="auto"/>
        </w:rPr>
        <w:fldChar w:fldCharType="separate"/>
      </w:r>
      <w:r w:rsidR="0038196B" w:rsidRPr="00A26616">
        <w:rPr>
          <w:b/>
          <w:sz w:val="20"/>
          <w:szCs w:val="20"/>
        </w:rPr>
        <w:t xml:space="preserve">Πίνακας </w:t>
      </w:r>
      <w:r w:rsidR="0038196B">
        <w:rPr>
          <w:b/>
          <w:noProof/>
          <w:sz w:val="20"/>
          <w:szCs w:val="20"/>
        </w:rPr>
        <w:t>2</w:t>
      </w:r>
      <w:r w:rsidR="00E84FC5">
        <w:rPr>
          <w:rFonts w:eastAsia="Calibri" w:cs="Times New Roman"/>
          <w:color w:val="auto"/>
        </w:rPr>
        <w:fldChar w:fldCharType="end"/>
      </w:r>
      <w:r w:rsidR="00E84FC5">
        <w:rPr>
          <w:rFonts w:eastAsia="Calibri" w:cs="Times New Roman"/>
          <w:color w:val="auto"/>
        </w:rPr>
        <w:t>)</w:t>
      </w:r>
      <w:r w:rsidRPr="008A7551">
        <w:rPr>
          <w:rFonts w:eastAsia="Calibri" w:cs="Times New Roman"/>
          <w:color w:val="auto"/>
        </w:rPr>
        <w:t xml:space="preserve"> οφείλεται</w:t>
      </w:r>
      <w:r w:rsidR="00E84FC5">
        <w:rPr>
          <w:rFonts w:eastAsia="Calibri" w:cs="Times New Roman"/>
          <w:color w:val="auto"/>
        </w:rPr>
        <w:t>,</w:t>
      </w:r>
      <w:r w:rsidRPr="008A7551">
        <w:rPr>
          <w:rFonts w:eastAsia="Calibri" w:cs="Times New Roman"/>
          <w:color w:val="auto"/>
        </w:rPr>
        <w:t xml:space="preserve"> κυρίως</w:t>
      </w:r>
      <w:r w:rsidR="00E84FC5">
        <w:rPr>
          <w:rFonts w:eastAsia="Calibri" w:cs="Times New Roman"/>
          <w:color w:val="auto"/>
        </w:rPr>
        <w:t>,</w:t>
      </w:r>
      <w:r w:rsidRPr="008A7551">
        <w:rPr>
          <w:rFonts w:eastAsia="Calibri" w:cs="Times New Roman"/>
          <w:color w:val="auto"/>
        </w:rPr>
        <w:t xml:space="preserve"> </w:t>
      </w:r>
      <w:r w:rsidR="00375DBF">
        <w:rPr>
          <w:rFonts w:eastAsia="Calibri" w:cs="Times New Roman"/>
          <w:color w:val="auto"/>
        </w:rPr>
        <w:t>σε επενδύσεις</w:t>
      </w:r>
      <w:r w:rsidRPr="008A7551">
        <w:rPr>
          <w:rFonts w:eastAsia="Calibri" w:cs="Times New Roman"/>
          <w:color w:val="auto"/>
        </w:rPr>
        <w:t xml:space="preserve"> </w:t>
      </w:r>
      <w:r w:rsidR="00375DBF">
        <w:rPr>
          <w:rFonts w:eastAsia="Calibri" w:cs="Times New Roman"/>
          <w:color w:val="auto"/>
        </w:rPr>
        <w:t>των κατηγοριών</w:t>
      </w:r>
      <w:r w:rsidRPr="008A7551">
        <w:rPr>
          <w:rFonts w:eastAsia="Calibri" w:cs="Times New Roman"/>
          <w:color w:val="auto"/>
        </w:rPr>
        <w:t xml:space="preserve"> «μεταφορικός εξοπλισμός και οπλικά </w:t>
      </w:r>
      <w:r>
        <w:rPr>
          <w:rFonts w:eastAsia="Calibri" w:cs="Times New Roman"/>
          <w:color w:val="auto"/>
        </w:rPr>
        <w:t>συστήματα» (73</w:t>
      </w:r>
      <w:r w:rsidRPr="008A7551">
        <w:rPr>
          <w:rFonts w:eastAsia="Calibri" w:cs="Times New Roman"/>
          <w:color w:val="auto"/>
        </w:rPr>
        <w:t>,</w:t>
      </w:r>
      <w:r>
        <w:rPr>
          <w:rFonts w:eastAsia="Calibri" w:cs="Times New Roman"/>
          <w:color w:val="auto"/>
        </w:rPr>
        <w:t xml:space="preserve">8%) καθώς και στην κατηγορία </w:t>
      </w:r>
      <w:r w:rsidRPr="008A7551">
        <w:rPr>
          <w:rFonts w:eastAsia="Calibri" w:cs="Times New Roman"/>
          <w:color w:val="auto"/>
        </w:rPr>
        <w:t>«</w:t>
      </w:r>
      <w:r w:rsidR="00E84FC5">
        <w:rPr>
          <w:rFonts w:eastAsia="Calibri" w:cs="Times New Roman"/>
          <w:color w:val="auto"/>
        </w:rPr>
        <w:t>ε</w:t>
      </w:r>
      <w:r w:rsidRPr="008A7551">
        <w:rPr>
          <w:rFonts w:eastAsia="Calibri" w:cs="Times New Roman"/>
          <w:color w:val="auto"/>
        </w:rPr>
        <w:t xml:space="preserve">ξοπλισμός τεχνολογίας πληροφορικής και επικοινωνίας» </w:t>
      </w:r>
      <w:r w:rsidR="00E84FC5">
        <w:rPr>
          <w:rFonts w:eastAsia="Calibri" w:cs="Times New Roman"/>
          <w:color w:val="auto"/>
        </w:rPr>
        <w:t xml:space="preserve">(28,7%). </w:t>
      </w:r>
      <w:r w:rsidRPr="008A7551">
        <w:rPr>
          <w:rFonts w:eastAsia="Calibri" w:cs="Times New Roman"/>
          <w:color w:val="auto"/>
        </w:rPr>
        <w:t xml:space="preserve">Στις </w:t>
      </w:r>
      <w:r>
        <w:rPr>
          <w:rFonts w:eastAsia="Calibri" w:cs="Times New Roman"/>
          <w:color w:val="auto"/>
        </w:rPr>
        <w:t>υπόλοιπες κατηγορίες παγίων επενδύσεων</w:t>
      </w:r>
      <w:r w:rsidR="00E84FC5">
        <w:rPr>
          <w:rFonts w:eastAsia="Calibri" w:cs="Times New Roman"/>
          <w:color w:val="auto"/>
        </w:rPr>
        <w:t>,</w:t>
      </w:r>
      <w:r>
        <w:rPr>
          <w:rFonts w:eastAsia="Calibri" w:cs="Times New Roman"/>
          <w:color w:val="auto"/>
        </w:rPr>
        <w:t xml:space="preserve"> σημαντική </w:t>
      </w:r>
      <w:r w:rsidRPr="008A7551">
        <w:rPr>
          <w:rFonts w:eastAsia="Calibri" w:cs="Times New Roman"/>
          <w:color w:val="auto"/>
        </w:rPr>
        <w:t>άνοδο σημειώνει η κατηγορία «</w:t>
      </w:r>
      <w:r w:rsidR="00E84FC5">
        <w:rPr>
          <w:rFonts w:eastAsia="Calibri" w:cs="Times New Roman"/>
          <w:color w:val="auto"/>
        </w:rPr>
        <w:t>μ</w:t>
      </w:r>
      <w:r w:rsidRPr="008A7551">
        <w:rPr>
          <w:rFonts w:eastAsia="Calibri" w:cs="Times New Roman"/>
          <w:color w:val="auto"/>
        </w:rPr>
        <w:t>ηχανολογικός εξοπλισμός και οπλικά συστήματα»</w:t>
      </w:r>
      <w:r>
        <w:rPr>
          <w:rFonts w:eastAsia="Calibri" w:cs="Times New Roman"/>
          <w:color w:val="auto"/>
        </w:rPr>
        <w:t xml:space="preserve"> </w:t>
      </w:r>
      <w:r w:rsidRPr="008A7551">
        <w:rPr>
          <w:rFonts w:eastAsia="Calibri" w:cs="Times New Roman"/>
          <w:color w:val="auto"/>
        </w:rPr>
        <w:t xml:space="preserve">η αξία της οποίας το </w:t>
      </w:r>
      <w:r w:rsidR="00E84FC5">
        <w:rPr>
          <w:rFonts w:eastAsia="Calibri" w:cs="Times New Roman"/>
          <w:color w:val="auto"/>
        </w:rPr>
        <w:t>α</w:t>
      </w:r>
      <w:r w:rsidRPr="008A7551">
        <w:rPr>
          <w:rFonts w:eastAsia="Calibri" w:cs="Times New Roman"/>
          <w:color w:val="auto"/>
        </w:rPr>
        <w:t>’ εξάμην</w:t>
      </w:r>
      <w:r>
        <w:rPr>
          <w:rFonts w:eastAsia="Calibri" w:cs="Times New Roman"/>
          <w:color w:val="auto"/>
        </w:rPr>
        <w:t>ο του 2021 είναι αυξημένη κατά 14,9</w:t>
      </w:r>
      <w:r w:rsidRPr="008A7551">
        <w:rPr>
          <w:rFonts w:eastAsia="Calibri" w:cs="Times New Roman"/>
          <w:color w:val="auto"/>
        </w:rPr>
        <w:t>% σε σχέση με το αντίστοιχο εξάμηνο του 20</w:t>
      </w:r>
      <w:r>
        <w:rPr>
          <w:rFonts w:eastAsia="Calibri" w:cs="Times New Roman"/>
          <w:color w:val="auto"/>
        </w:rPr>
        <w:t>20</w:t>
      </w:r>
      <w:r w:rsidRPr="008A7551">
        <w:rPr>
          <w:rFonts w:eastAsia="Calibri" w:cs="Times New Roman"/>
          <w:color w:val="auto"/>
        </w:rPr>
        <w:t xml:space="preserve">. </w:t>
      </w:r>
      <w:r>
        <w:rPr>
          <w:rFonts w:eastAsia="Calibri" w:cs="Times New Roman"/>
          <w:color w:val="auto"/>
        </w:rPr>
        <w:t>Θετική</w:t>
      </w:r>
      <w:r w:rsidRPr="008A7551">
        <w:rPr>
          <w:rFonts w:eastAsia="Calibri" w:cs="Times New Roman"/>
          <w:color w:val="auto"/>
        </w:rPr>
        <w:t xml:space="preserve"> είναι η εικόνα </w:t>
      </w:r>
      <w:r>
        <w:rPr>
          <w:rFonts w:eastAsia="Calibri" w:cs="Times New Roman"/>
          <w:color w:val="auto"/>
        </w:rPr>
        <w:t>και σε άλλες κατηγορίες όπως,</w:t>
      </w:r>
      <w:r w:rsidRPr="008A7551">
        <w:rPr>
          <w:rFonts w:eastAsia="Calibri" w:cs="Times New Roman"/>
          <w:color w:val="auto"/>
        </w:rPr>
        <w:t xml:space="preserve"> «</w:t>
      </w:r>
      <w:r w:rsidR="00E84FC5">
        <w:rPr>
          <w:rFonts w:eastAsia="Calibri" w:cs="Times New Roman"/>
          <w:color w:val="auto"/>
        </w:rPr>
        <w:t>ά</w:t>
      </w:r>
      <w:r w:rsidRPr="008A7551">
        <w:rPr>
          <w:rFonts w:eastAsia="Calibri" w:cs="Times New Roman"/>
          <w:color w:val="auto"/>
        </w:rPr>
        <w:t>λλες κατασκευές» (κ</w:t>
      </w:r>
      <w:r>
        <w:rPr>
          <w:rFonts w:eastAsia="Calibri" w:cs="Times New Roman"/>
          <w:color w:val="auto"/>
        </w:rPr>
        <w:t xml:space="preserve">ατά κανόνα δημόσιες επενδύσεις), </w:t>
      </w:r>
      <w:r w:rsidRPr="008A7551">
        <w:rPr>
          <w:rFonts w:eastAsia="Calibri" w:cs="Times New Roman"/>
          <w:color w:val="auto"/>
        </w:rPr>
        <w:t>«</w:t>
      </w:r>
      <w:r w:rsidR="00E84FC5">
        <w:rPr>
          <w:rFonts w:eastAsia="Calibri" w:cs="Times New Roman"/>
          <w:color w:val="auto"/>
        </w:rPr>
        <w:t>α</w:t>
      </w:r>
      <w:r w:rsidRPr="008A7551">
        <w:rPr>
          <w:rFonts w:eastAsia="Calibri" w:cs="Times New Roman"/>
          <w:color w:val="auto"/>
        </w:rPr>
        <w:t>λλά προϊόντα»</w:t>
      </w:r>
      <w:r w:rsidRPr="00361F90">
        <w:rPr>
          <w:rFonts w:eastAsia="Calibri" w:cs="Times New Roman"/>
          <w:color w:val="auto"/>
        </w:rPr>
        <w:t xml:space="preserve">, </w:t>
      </w:r>
      <w:r w:rsidRPr="008A7551">
        <w:rPr>
          <w:rFonts w:eastAsia="Calibri" w:cs="Times New Roman"/>
          <w:color w:val="auto"/>
        </w:rPr>
        <w:t>και</w:t>
      </w:r>
      <w:r w:rsidRPr="00361F90">
        <w:rPr>
          <w:rFonts w:eastAsia="Calibri" w:cs="Times New Roman"/>
          <w:color w:val="auto"/>
        </w:rPr>
        <w:t xml:space="preserve"> </w:t>
      </w:r>
      <w:r>
        <w:rPr>
          <w:rFonts w:eastAsia="Calibri" w:cs="Times New Roman"/>
          <w:color w:val="auto"/>
        </w:rPr>
        <w:t>«</w:t>
      </w:r>
      <w:r w:rsidR="00E84FC5">
        <w:rPr>
          <w:rFonts w:eastAsia="Calibri" w:cs="Times New Roman"/>
          <w:color w:val="auto"/>
        </w:rPr>
        <w:t>α</w:t>
      </w:r>
      <w:r w:rsidRPr="008A7551">
        <w:rPr>
          <w:rFonts w:eastAsia="Calibri" w:cs="Times New Roman"/>
          <w:color w:val="auto"/>
        </w:rPr>
        <w:t xml:space="preserve">γροτικά προϊόντα» </w:t>
      </w:r>
      <w:r>
        <w:rPr>
          <w:rFonts w:eastAsia="Calibri" w:cs="Times New Roman"/>
          <w:color w:val="auto"/>
        </w:rPr>
        <w:t>με αυξήσεις 7,9%, 7,8% και 2,7% αντίστοιχα.</w:t>
      </w:r>
      <w:r w:rsidRPr="0089207F">
        <w:rPr>
          <w:rFonts w:eastAsia="Calibri" w:cs="Times New Roman"/>
          <w:color w:val="auto"/>
        </w:rPr>
        <w:t xml:space="preserve"> </w:t>
      </w:r>
      <w:r w:rsidR="00375DBF">
        <w:rPr>
          <w:rFonts w:eastAsia="Calibri" w:cs="Times New Roman"/>
          <w:color w:val="auto"/>
        </w:rPr>
        <w:t>Αντιθέτως οι επενδύσεις</w:t>
      </w:r>
      <w:r w:rsidR="00E84FC5">
        <w:rPr>
          <w:rFonts w:eastAsia="Calibri" w:cs="Times New Roman"/>
          <w:color w:val="auto"/>
        </w:rPr>
        <w:t xml:space="preserve"> σε </w:t>
      </w:r>
      <w:r>
        <w:rPr>
          <w:rFonts w:eastAsia="Calibri" w:cs="Times New Roman"/>
          <w:color w:val="auto"/>
        </w:rPr>
        <w:t>«</w:t>
      </w:r>
      <w:r w:rsidR="00E84FC5">
        <w:rPr>
          <w:rFonts w:eastAsia="Calibri" w:cs="Times New Roman"/>
          <w:color w:val="auto"/>
        </w:rPr>
        <w:t>κ</w:t>
      </w:r>
      <w:r>
        <w:rPr>
          <w:rFonts w:eastAsia="Calibri" w:cs="Times New Roman"/>
          <w:color w:val="auto"/>
        </w:rPr>
        <w:t>ατοικίες»</w:t>
      </w:r>
      <w:r w:rsidRPr="008A7551">
        <w:rPr>
          <w:rFonts w:eastAsia="Calibri" w:cs="Times New Roman"/>
          <w:color w:val="auto"/>
        </w:rPr>
        <w:t xml:space="preserve"> </w:t>
      </w:r>
      <w:r>
        <w:rPr>
          <w:rFonts w:eastAsia="Calibri" w:cs="Times New Roman"/>
          <w:color w:val="auto"/>
        </w:rPr>
        <w:t>εμφάνισ</w:t>
      </w:r>
      <w:r w:rsidR="00375DBF">
        <w:rPr>
          <w:rFonts w:eastAsia="Calibri" w:cs="Times New Roman"/>
          <w:color w:val="auto"/>
        </w:rPr>
        <w:t>αν</w:t>
      </w:r>
      <w:r>
        <w:rPr>
          <w:rFonts w:eastAsia="Calibri" w:cs="Times New Roman"/>
          <w:color w:val="auto"/>
        </w:rPr>
        <w:t xml:space="preserve"> οριακή πτώση</w:t>
      </w:r>
      <w:r w:rsidRPr="008A7551">
        <w:rPr>
          <w:rFonts w:eastAsia="Calibri" w:cs="Times New Roman"/>
          <w:color w:val="auto"/>
        </w:rPr>
        <w:t xml:space="preserve"> (0,</w:t>
      </w:r>
      <w:r>
        <w:rPr>
          <w:rFonts w:eastAsia="Calibri" w:cs="Times New Roman"/>
          <w:color w:val="auto"/>
        </w:rPr>
        <w:t>5</w:t>
      </w:r>
      <w:r w:rsidRPr="008A7551">
        <w:rPr>
          <w:rFonts w:eastAsia="Calibri" w:cs="Times New Roman"/>
          <w:color w:val="auto"/>
        </w:rPr>
        <w:t>%).</w:t>
      </w:r>
    </w:p>
    <w:p w14:paraId="26AF747E" w14:textId="36D7ACC4" w:rsidR="00DF60E7" w:rsidRPr="009E221B" w:rsidRDefault="00DF60E7" w:rsidP="00DF60E7">
      <w:pPr>
        <w:spacing w:after="120"/>
        <w:rPr>
          <w:rFonts w:eastAsia="Calibri" w:cs="Times New Roman"/>
          <w:color w:val="00B0F0"/>
        </w:rPr>
      </w:pPr>
      <w:bookmarkStart w:id="11" w:name="_Ref87894462"/>
      <w:bookmarkStart w:id="12" w:name="_Toc529888493"/>
      <w:bookmarkStart w:id="13" w:name="_Toc22920816"/>
      <w:bookmarkStart w:id="14" w:name="_Toc25065289"/>
      <w:bookmarkStart w:id="15" w:name="_Ref87894457"/>
      <w:bookmarkStart w:id="16" w:name="_Toc89172847"/>
      <w:r w:rsidRPr="00A26616">
        <w:rPr>
          <w:b/>
          <w:sz w:val="20"/>
          <w:szCs w:val="20"/>
        </w:rPr>
        <w:t xml:space="preserve">Πίνακας </w:t>
      </w:r>
      <w:r w:rsidRPr="00A26616">
        <w:rPr>
          <w:b/>
          <w:i/>
          <w:sz w:val="20"/>
          <w:szCs w:val="20"/>
        </w:rPr>
        <w:fldChar w:fldCharType="begin"/>
      </w:r>
      <w:r w:rsidRPr="00A26616">
        <w:rPr>
          <w:b/>
          <w:sz w:val="20"/>
          <w:szCs w:val="20"/>
        </w:rPr>
        <w:instrText xml:space="preserve"> SEQ Πίνακας \* ARABIC </w:instrText>
      </w:r>
      <w:r w:rsidRPr="00A26616">
        <w:rPr>
          <w:b/>
          <w:i/>
          <w:sz w:val="20"/>
          <w:szCs w:val="20"/>
        </w:rPr>
        <w:fldChar w:fldCharType="separate"/>
      </w:r>
      <w:r w:rsidR="0038196B">
        <w:rPr>
          <w:b/>
          <w:noProof/>
          <w:sz w:val="20"/>
          <w:szCs w:val="20"/>
        </w:rPr>
        <w:t>2</w:t>
      </w:r>
      <w:r w:rsidRPr="00A26616">
        <w:rPr>
          <w:b/>
          <w:i/>
          <w:sz w:val="20"/>
          <w:szCs w:val="20"/>
        </w:rPr>
        <w:fldChar w:fldCharType="end"/>
      </w:r>
      <w:bookmarkEnd w:id="11"/>
      <w:r w:rsidRPr="000E7588">
        <w:rPr>
          <w:b/>
          <w:sz w:val="20"/>
          <w:szCs w:val="20"/>
        </w:rPr>
        <w:t>:</w:t>
      </w:r>
      <w:r w:rsidRPr="00A26616">
        <w:rPr>
          <w:b/>
          <w:iCs/>
          <w:color w:val="00B0F0"/>
        </w:rPr>
        <w:t xml:space="preserve"> </w:t>
      </w:r>
      <w:r w:rsidRPr="009E221B">
        <w:rPr>
          <w:color w:val="00B0F0"/>
          <w:sz w:val="20"/>
          <w:szCs w:val="20"/>
        </w:rPr>
        <w:t>Ακαθάριστος σχηματισμός παγίου κεφαλαίου ανά κατηγορία (σε εκατ. ευρώ)</w:t>
      </w:r>
      <w:bookmarkEnd w:id="12"/>
      <w:r w:rsidRPr="009E221B">
        <w:rPr>
          <w:color w:val="00B0F0"/>
          <w:sz w:val="20"/>
          <w:szCs w:val="20"/>
        </w:rPr>
        <w:t>.</w:t>
      </w:r>
      <w:bookmarkEnd w:id="13"/>
      <w:bookmarkEnd w:id="14"/>
      <w:bookmarkEnd w:id="15"/>
      <w:bookmarkEnd w:id="16"/>
    </w:p>
    <w:tbl>
      <w:tblPr>
        <w:tblW w:w="8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5"/>
        <w:gridCol w:w="1850"/>
        <w:gridCol w:w="1818"/>
        <w:gridCol w:w="969"/>
      </w:tblGrid>
      <w:tr w:rsidR="00DF60E7" w:rsidRPr="00A26616" w14:paraId="46B9E6BE" w14:textId="77777777" w:rsidTr="00140420">
        <w:trPr>
          <w:trHeight w:val="312"/>
        </w:trPr>
        <w:tc>
          <w:tcPr>
            <w:tcW w:w="3695" w:type="dxa"/>
            <w:shd w:val="clear" w:color="auto" w:fill="BDD6EE" w:themeFill="accent1" w:themeFillTint="66"/>
            <w:noWrap/>
            <w:vAlign w:val="bottom"/>
            <w:hideMark/>
          </w:tcPr>
          <w:p w14:paraId="3414C085" w14:textId="77777777" w:rsidR="00DF60E7" w:rsidRPr="00A26616" w:rsidRDefault="00DF60E7" w:rsidP="00140420">
            <w:pPr>
              <w:spacing w:after="0" w:line="240" w:lineRule="auto"/>
              <w:jc w:val="left"/>
              <w:rPr>
                <w:rFonts w:eastAsia="Times New Roman" w:cs="Times New Roman"/>
                <w:color w:val="auto"/>
                <w:sz w:val="20"/>
                <w:szCs w:val="20"/>
                <w:lang w:eastAsia="el-GR"/>
              </w:rPr>
            </w:pPr>
          </w:p>
        </w:tc>
        <w:tc>
          <w:tcPr>
            <w:tcW w:w="1850" w:type="dxa"/>
            <w:shd w:val="clear" w:color="auto" w:fill="BDD6EE" w:themeFill="accent1" w:themeFillTint="66"/>
            <w:noWrap/>
            <w:vAlign w:val="bottom"/>
            <w:hideMark/>
          </w:tcPr>
          <w:p w14:paraId="1B2A7161" w14:textId="7DCA07A7" w:rsidR="00DF60E7" w:rsidRPr="00A26616" w:rsidRDefault="00DF60E7" w:rsidP="00E84FC5">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2020</w:t>
            </w:r>
            <w:r w:rsidRPr="00A26616">
              <w:rPr>
                <w:rFonts w:eastAsia="Times New Roman" w:cs="Calibri"/>
                <w:color w:val="000000"/>
                <w:sz w:val="20"/>
                <w:szCs w:val="20"/>
                <w:lang w:eastAsia="el-GR"/>
              </w:rPr>
              <w:t xml:space="preserve"> (</w:t>
            </w:r>
            <w:r w:rsidR="00E84FC5">
              <w:rPr>
                <w:rFonts w:eastAsia="Times New Roman" w:cs="Calibri"/>
                <w:color w:val="000000"/>
                <w:sz w:val="20"/>
                <w:szCs w:val="20"/>
                <w:lang w:eastAsia="el-GR"/>
              </w:rPr>
              <w:t>α</w:t>
            </w:r>
            <w:r w:rsidRPr="00A26616">
              <w:rPr>
                <w:rFonts w:eastAsia="Times New Roman" w:cs="Calibri"/>
                <w:color w:val="000000"/>
                <w:sz w:val="20"/>
                <w:szCs w:val="20"/>
                <w:lang w:eastAsia="el-GR"/>
              </w:rPr>
              <w:t>' εξ.)</w:t>
            </w:r>
          </w:p>
        </w:tc>
        <w:tc>
          <w:tcPr>
            <w:tcW w:w="1818" w:type="dxa"/>
            <w:shd w:val="clear" w:color="auto" w:fill="BDD6EE" w:themeFill="accent1" w:themeFillTint="66"/>
            <w:noWrap/>
            <w:vAlign w:val="bottom"/>
            <w:hideMark/>
          </w:tcPr>
          <w:p w14:paraId="464C5F85" w14:textId="49B113EF" w:rsidR="00DF60E7" w:rsidRPr="00A26616" w:rsidRDefault="00DF60E7" w:rsidP="00E84FC5">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202</w:t>
            </w:r>
            <w:r>
              <w:rPr>
                <w:rFonts w:eastAsia="Times New Roman" w:cs="Calibri"/>
                <w:color w:val="000000"/>
                <w:sz w:val="20"/>
                <w:szCs w:val="20"/>
                <w:lang w:val="en-US" w:eastAsia="el-GR"/>
              </w:rPr>
              <w:t>1</w:t>
            </w:r>
            <w:r w:rsidRPr="00A26616">
              <w:rPr>
                <w:rFonts w:eastAsia="Times New Roman" w:cs="Calibri"/>
                <w:color w:val="000000"/>
                <w:sz w:val="20"/>
                <w:szCs w:val="20"/>
                <w:lang w:eastAsia="el-GR"/>
              </w:rPr>
              <w:t xml:space="preserve"> (</w:t>
            </w:r>
            <w:r w:rsidR="00E84FC5">
              <w:rPr>
                <w:rFonts w:eastAsia="Times New Roman" w:cs="Calibri"/>
                <w:color w:val="000000"/>
                <w:sz w:val="20"/>
                <w:szCs w:val="20"/>
                <w:lang w:eastAsia="el-GR"/>
              </w:rPr>
              <w:t>α</w:t>
            </w:r>
            <w:r w:rsidRPr="00A26616">
              <w:rPr>
                <w:rFonts w:eastAsia="Times New Roman" w:cs="Calibri"/>
                <w:color w:val="000000"/>
                <w:sz w:val="20"/>
                <w:szCs w:val="20"/>
                <w:lang w:eastAsia="el-GR"/>
              </w:rPr>
              <w:t>' εξ.)</w:t>
            </w:r>
          </w:p>
        </w:tc>
        <w:tc>
          <w:tcPr>
            <w:tcW w:w="969" w:type="dxa"/>
            <w:shd w:val="clear" w:color="auto" w:fill="BDD6EE" w:themeFill="accent1" w:themeFillTint="66"/>
            <w:noWrap/>
            <w:vAlign w:val="bottom"/>
            <w:hideMark/>
          </w:tcPr>
          <w:p w14:paraId="7AF93D84" w14:textId="77777777" w:rsidR="00DF60E7" w:rsidRPr="00A26616" w:rsidRDefault="00DF60E7" w:rsidP="00140420">
            <w:pPr>
              <w:spacing w:after="0" w:line="240" w:lineRule="auto"/>
              <w:jc w:val="center"/>
              <w:rPr>
                <w:rFonts w:eastAsia="Times New Roman" w:cs="Calibri"/>
                <w:color w:val="000000"/>
                <w:sz w:val="20"/>
                <w:szCs w:val="20"/>
                <w:lang w:eastAsia="el-GR"/>
              </w:rPr>
            </w:pPr>
            <w:r w:rsidRPr="00A26616">
              <w:rPr>
                <w:rFonts w:eastAsia="Times New Roman" w:cs="Calibri"/>
                <w:color w:val="000000"/>
                <w:sz w:val="20"/>
                <w:szCs w:val="20"/>
                <w:lang w:eastAsia="el-GR"/>
              </w:rPr>
              <w:t>Δ%</w:t>
            </w:r>
          </w:p>
        </w:tc>
      </w:tr>
      <w:tr w:rsidR="00DF60E7" w:rsidRPr="00A26616" w14:paraId="264622EA" w14:textId="77777777" w:rsidTr="00140420">
        <w:trPr>
          <w:trHeight w:val="312"/>
        </w:trPr>
        <w:tc>
          <w:tcPr>
            <w:tcW w:w="3695" w:type="dxa"/>
            <w:shd w:val="clear" w:color="auto" w:fill="auto"/>
            <w:noWrap/>
            <w:vAlign w:val="bottom"/>
            <w:hideMark/>
          </w:tcPr>
          <w:p w14:paraId="64D5CF2D" w14:textId="77777777" w:rsidR="00DF60E7" w:rsidRPr="00A26616" w:rsidRDefault="00DF60E7" w:rsidP="00140420">
            <w:pPr>
              <w:spacing w:after="0" w:line="240" w:lineRule="auto"/>
              <w:jc w:val="left"/>
              <w:rPr>
                <w:rFonts w:eastAsia="Times New Roman" w:cs="Calibri"/>
                <w:color w:val="000000"/>
                <w:sz w:val="20"/>
                <w:szCs w:val="20"/>
                <w:lang w:eastAsia="el-GR"/>
              </w:rPr>
            </w:pPr>
            <w:r w:rsidRPr="00A26616">
              <w:rPr>
                <w:rFonts w:eastAsia="Times New Roman" w:cs="Calibri"/>
                <w:color w:val="000000"/>
                <w:sz w:val="20"/>
                <w:szCs w:val="20"/>
                <w:lang w:eastAsia="el-GR"/>
              </w:rPr>
              <w:t>Κατοικίες</w:t>
            </w:r>
          </w:p>
        </w:tc>
        <w:tc>
          <w:tcPr>
            <w:tcW w:w="1850" w:type="dxa"/>
            <w:noWrap/>
            <w:vAlign w:val="bottom"/>
          </w:tcPr>
          <w:p w14:paraId="7979EE7A" w14:textId="77777777" w:rsidR="00DF60E7" w:rsidRPr="00A26616"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838</w:t>
            </w:r>
          </w:p>
        </w:tc>
        <w:tc>
          <w:tcPr>
            <w:tcW w:w="1818" w:type="dxa"/>
            <w:shd w:val="clear" w:color="auto" w:fill="auto"/>
            <w:noWrap/>
            <w:vAlign w:val="bottom"/>
          </w:tcPr>
          <w:p w14:paraId="55BEA532" w14:textId="77777777" w:rsidR="00DF60E7" w:rsidRPr="00A26616"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834</w:t>
            </w:r>
          </w:p>
        </w:tc>
        <w:tc>
          <w:tcPr>
            <w:tcW w:w="969" w:type="dxa"/>
            <w:shd w:val="clear" w:color="auto" w:fill="auto"/>
            <w:noWrap/>
            <w:vAlign w:val="bottom"/>
          </w:tcPr>
          <w:p w14:paraId="0DD45824" w14:textId="77777777" w:rsidR="00DF60E7" w:rsidRPr="00A26616"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-0,5%</w:t>
            </w:r>
          </w:p>
        </w:tc>
      </w:tr>
      <w:tr w:rsidR="00DF60E7" w:rsidRPr="00A26616" w14:paraId="35506C53" w14:textId="77777777" w:rsidTr="00140420">
        <w:trPr>
          <w:trHeight w:val="312"/>
        </w:trPr>
        <w:tc>
          <w:tcPr>
            <w:tcW w:w="3695" w:type="dxa"/>
            <w:shd w:val="clear" w:color="auto" w:fill="auto"/>
            <w:noWrap/>
            <w:vAlign w:val="bottom"/>
            <w:hideMark/>
          </w:tcPr>
          <w:p w14:paraId="6BB62992" w14:textId="77777777" w:rsidR="00DF60E7" w:rsidRPr="00A26616" w:rsidRDefault="00DF60E7" w:rsidP="00140420">
            <w:pPr>
              <w:spacing w:after="0" w:line="240" w:lineRule="auto"/>
              <w:jc w:val="left"/>
              <w:rPr>
                <w:rFonts w:eastAsia="Times New Roman" w:cs="Calibri"/>
                <w:color w:val="000000"/>
                <w:sz w:val="20"/>
                <w:szCs w:val="20"/>
                <w:lang w:eastAsia="el-GR"/>
              </w:rPr>
            </w:pPr>
            <w:r w:rsidRPr="00A26616">
              <w:rPr>
                <w:rFonts w:eastAsia="Times New Roman" w:cs="Calibri"/>
                <w:color w:val="000000"/>
                <w:sz w:val="20"/>
                <w:szCs w:val="20"/>
                <w:lang w:eastAsia="el-GR"/>
              </w:rPr>
              <w:t>Άλλες κατασκευές</w:t>
            </w:r>
          </w:p>
        </w:tc>
        <w:tc>
          <w:tcPr>
            <w:tcW w:w="1850" w:type="dxa"/>
            <w:noWrap/>
            <w:vAlign w:val="bottom"/>
          </w:tcPr>
          <w:p w14:paraId="4665B994" w14:textId="77777777" w:rsidR="00DF60E7" w:rsidRPr="007E63FD"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2.399</w:t>
            </w:r>
          </w:p>
        </w:tc>
        <w:tc>
          <w:tcPr>
            <w:tcW w:w="1818" w:type="dxa"/>
            <w:shd w:val="clear" w:color="auto" w:fill="auto"/>
            <w:noWrap/>
            <w:vAlign w:val="bottom"/>
          </w:tcPr>
          <w:p w14:paraId="478D4033" w14:textId="77777777" w:rsidR="00DF60E7" w:rsidRPr="007E63FD"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2.590</w:t>
            </w:r>
          </w:p>
        </w:tc>
        <w:tc>
          <w:tcPr>
            <w:tcW w:w="969" w:type="dxa"/>
            <w:shd w:val="clear" w:color="auto" w:fill="auto"/>
            <w:noWrap/>
            <w:vAlign w:val="bottom"/>
          </w:tcPr>
          <w:p w14:paraId="10E4D1C7" w14:textId="77777777" w:rsidR="00DF60E7" w:rsidRPr="00A26616"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7,9%</w:t>
            </w:r>
          </w:p>
        </w:tc>
      </w:tr>
      <w:tr w:rsidR="00DF60E7" w:rsidRPr="00A26616" w14:paraId="01AA6782" w14:textId="77777777" w:rsidTr="00140420">
        <w:trPr>
          <w:trHeight w:val="312"/>
        </w:trPr>
        <w:tc>
          <w:tcPr>
            <w:tcW w:w="3695" w:type="dxa"/>
            <w:shd w:val="clear" w:color="auto" w:fill="auto"/>
            <w:noWrap/>
            <w:vAlign w:val="bottom"/>
            <w:hideMark/>
          </w:tcPr>
          <w:p w14:paraId="69588C5C" w14:textId="77777777" w:rsidR="00DF60E7" w:rsidRPr="00A26616" w:rsidRDefault="00DF60E7" w:rsidP="00140420">
            <w:pPr>
              <w:spacing w:after="0" w:line="240" w:lineRule="auto"/>
              <w:jc w:val="left"/>
              <w:rPr>
                <w:rFonts w:eastAsia="Times New Roman" w:cs="Calibri"/>
                <w:color w:val="000000"/>
                <w:sz w:val="20"/>
                <w:szCs w:val="20"/>
                <w:lang w:eastAsia="el-GR"/>
              </w:rPr>
            </w:pPr>
            <w:r w:rsidRPr="00A26616">
              <w:rPr>
                <w:rFonts w:eastAsia="Times New Roman" w:cs="Calibri"/>
                <w:color w:val="000000"/>
                <w:sz w:val="20"/>
                <w:szCs w:val="20"/>
                <w:lang w:eastAsia="el-GR"/>
              </w:rPr>
              <w:t>Αγροτικά προϊόντα</w:t>
            </w:r>
          </w:p>
        </w:tc>
        <w:tc>
          <w:tcPr>
            <w:tcW w:w="1850" w:type="dxa"/>
            <w:noWrap/>
            <w:vAlign w:val="bottom"/>
          </w:tcPr>
          <w:p w14:paraId="050D87F5" w14:textId="77777777" w:rsidR="00DF60E7" w:rsidRPr="007E63FD"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44</w:t>
            </w:r>
          </w:p>
        </w:tc>
        <w:tc>
          <w:tcPr>
            <w:tcW w:w="1818" w:type="dxa"/>
            <w:shd w:val="clear" w:color="auto" w:fill="auto"/>
            <w:noWrap/>
            <w:vAlign w:val="bottom"/>
          </w:tcPr>
          <w:p w14:paraId="73257002" w14:textId="77777777" w:rsidR="00DF60E7" w:rsidRPr="007E63FD"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45</w:t>
            </w:r>
          </w:p>
        </w:tc>
        <w:tc>
          <w:tcPr>
            <w:tcW w:w="969" w:type="dxa"/>
            <w:shd w:val="clear" w:color="auto" w:fill="auto"/>
            <w:noWrap/>
            <w:vAlign w:val="bottom"/>
          </w:tcPr>
          <w:p w14:paraId="7E46EACB" w14:textId="77777777" w:rsidR="00DF60E7" w:rsidRPr="00A26616"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2,7%</w:t>
            </w:r>
          </w:p>
        </w:tc>
      </w:tr>
      <w:tr w:rsidR="00DF60E7" w:rsidRPr="00A26616" w14:paraId="69256009" w14:textId="77777777" w:rsidTr="00140420">
        <w:trPr>
          <w:trHeight w:val="312"/>
        </w:trPr>
        <w:tc>
          <w:tcPr>
            <w:tcW w:w="3695" w:type="dxa"/>
            <w:shd w:val="clear" w:color="auto" w:fill="auto"/>
            <w:noWrap/>
            <w:vAlign w:val="bottom"/>
            <w:hideMark/>
          </w:tcPr>
          <w:p w14:paraId="0151A026" w14:textId="77777777" w:rsidR="00DF60E7" w:rsidRPr="00A26616" w:rsidRDefault="00DF60E7" w:rsidP="00140420">
            <w:pPr>
              <w:spacing w:after="0" w:line="240" w:lineRule="auto"/>
              <w:jc w:val="left"/>
              <w:rPr>
                <w:rFonts w:eastAsia="Times New Roman" w:cs="Calibri"/>
                <w:color w:val="000000"/>
                <w:sz w:val="20"/>
                <w:szCs w:val="20"/>
                <w:lang w:eastAsia="el-GR"/>
              </w:rPr>
            </w:pPr>
            <w:r w:rsidRPr="00A26616">
              <w:rPr>
                <w:rFonts w:eastAsia="Times New Roman" w:cs="Calibri"/>
                <w:color w:val="000000"/>
                <w:sz w:val="20"/>
                <w:szCs w:val="20"/>
                <w:lang w:eastAsia="el-GR"/>
              </w:rPr>
              <w:t>Μεταφορικός εξοπλισμός και οπλικά συστήματα</w:t>
            </w:r>
          </w:p>
        </w:tc>
        <w:tc>
          <w:tcPr>
            <w:tcW w:w="1850" w:type="dxa"/>
            <w:noWrap/>
            <w:vAlign w:val="bottom"/>
          </w:tcPr>
          <w:p w14:paraId="337994F2" w14:textId="77777777" w:rsidR="00DF60E7" w:rsidRPr="007E63FD"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448</w:t>
            </w:r>
          </w:p>
        </w:tc>
        <w:tc>
          <w:tcPr>
            <w:tcW w:w="1818" w:type="dxa"/>
            <w:shd w:val="clear" w:color="auto" w:fill="auto"/>
            <w:noWrap/>
            <w:vAlign w:val="bottom"/>
          </w:tcPr>
          <w:p w14:paraId="5A53C8CB" w14:textId="77777777" w:rsidR="00DF60E7" w:rsidRPr="007E63FD"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779</w:t>
            </w:r>
          </w:p>
        </w:tc>
        <w:tc>
          <w:tcPr>
            <w:tcW w:w="969" w:type="dxa"/>
            <w:shd w:val="clear" w:color="auto" w:fill="auto"/>
            <w:noWrap/>
            <w:vAlign w:val="bottom"/>
          </w:tcPr>
          <w:p w14:paraId="5B4B0C58" w14:textId="77777777" w:rsidR="00DF60E7" w:rsidRPr="00A26616"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73,8%</w:t>
            </w:r>
          </w:p>
        </w:tc>
      </w:tr>
      <w:tr w:rsidR="00DF60E7" w:rsidRPr="00A26616" w14:paraId="26AF19D9" w14:textId="77777777" w:rsidTr="00140420">
        <w:trPr>
          <w:trHeight w:val="312"/>
        </w:trPr>
        <w:tc>
          <w:tcPr>
            <w:tcW w:w="3695" w:type="dxa"/>
            <w:shd w:val="clear" w:color="auto" w:fill="auto"/>
            <w:noWrap/>
            <w:vAlign w:val="bottom"/>
            <w:hideMark/>
          </w:tcPr>
          <w:p w14:paraId="59E231D4" w14:textId="77777777" w:rsidR="00DF60E7" w:rsidRPr="00A26616" w:rsidRDefault="00DF60E7" w:rsidP="00140420">
            <w:pPr>
              <w:spacing w:after="0" w:line="240" w:lineRule="auto"/>
              <w:jc w:val="left"/>
              <w:rPr>
                <w:rFonts w:eastAsia="Times New Roman" w:cs="Calibri"/>
                <w:color w:val="000000"/>
                <w:sz w:val="20"/>
                <w:szCs w:val="20"/>
                <w:lang w:eastAsia="el-GR"/>
              </w:rPr>
            </w:pPr>
            <w:r w:rsidRPr="00A26616">
              <w:rPr>
                <w:rFonts w:eastAsia="Times New Roman" w:cs="Calibri"/>
                <w:color w:val="000000"/>
                <w:sz w:val="20"/>
                <w:szCs w:val="20"/>
                <w:lang w:eastAsia="el-GR"/>
              </w:rPr>
              <w:t>Εξοπλισμός Τεχνολογίας Πληροφορικής και Επικοινωνίας</w:t>
            </w:r>
          </w:p>
        </w:tc>
        <w:tc>
          <w:tcPr>
            <w:tcW w:w="1850" w:type="dxa"/>
            <w:noWrap/>
            <w:vAlign w:val="bottom"/>
          </w:tcPr>
          <w:p w14:paraId="559E75D2" w14:textId="77777777" w:rsidR="00DF60E7" w:rsidRPr="007E63FD"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1.003</w:t>
            </w:r>
          </w:p>
        </w:tc>
        <w:tc>
          <w:tcPr>
            <w:tcW w:w="1818" w:type="dxa"/>
            <w:shd w:val="clear" w:color="auto" w:fill="auto"/>
            <w:noWrap/>
            <w:vAlign w:val="bottom"/>
          </w:tcPr>
          <w:p w14:paraId="3B1AD108" w14:textId="77777777" w:rsidR="00DF60E7" w:rsidRPr="007E63FD"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1.291</w:t>
            </w:r>
          </w:p>
        </w:tc>
        <w:tc>
          <w:tcPr>
            <w:tcW w:w="969" w:type="dxa"/>
            <w:shd w:val="clear" w:color="auto" w:fill="auto"/>
            <w:noWrap/>
            <w:vAlign w:val="bottom"/>
          </w:tcPr>
          <w:p w14:paraId="0ED1EE49" w14:textId="77777777" w:rsidR="00DF60E7" w:rsidRPr="00A26616"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28,7%</w:t>
            </w:r>
          </w:p>
        </w:tc>
      </w:tr>
      <w:tr w:rsidR="00DF60E7" w:rsidRPr="00A26616" w14:paraId="1E198402" w14:textId="77777777" w:rsidTr="00140420">
        <w:trPr>
          <w:trHeight w:val="312"/>
        </w:trPr>
        <w:tc>
          <w:tcPr>
            <w:tcW w:w="3695" w:type="dxa"/>
            <w:shd w:val="clear" w:color="auto" w:fill="auto"/>
            <w:noWrap/>
            <w:vAlign w:val="bottom"/>
            <w:hideMark/>
          </w:tcPr>
          <w:p w14:paraId="267F5D92" w14:textId="77777777" w:rsidR="00DF60E7" w:rsidRPr="00A26616" w:rsidRDefault="00DF60E7" w:rsidP="00140420">
            <w:pPr>
              <w:spacing w:after="0" w:line="240" w:lineRule="auto"/>
              <w:jc w:val="left"/>
              <w:rPr>
                <w:rFonts w:eastAsia="Times New Roman" w:cs="Calibri"/>
                <w:color w:val="000000"/>
                <w:sz w:val="20"/>
                <w:szCs w:val="20"/>
                <w:lang w:eastAsia="el-GR"/>
              </w:rPr>
            </w:pPr>
            <w:r w:rsidRPr="00A26616">
              <w:rPr>
                <w:rFonts w:eastAsia="Times New Roman" w:cs="Calibri"/>
                <w:color w:val="000000"/>
                <w:sz w:val="20"/>
                <w:szCs w:val="20"/>
                <w:lang w:eastAsia="el-GR"/>
              </w:rPr>
              <w:t>Μηχανολογικός εξοπλισμός και οπλικά συστήματα</w:t>
            </w:r>
          </w:p>
        </w:tc>
        <w:tc>
          <w:tcPr>
            <w:tcW w:w="1850" w:type="dxa"/>
            <w:noWrap/>
            <w:vAlign w:val="bottom"/>
          </w:tcPr>
          <w:p w14:paraId="7F35654E" w14:textId="77777777" w:rsidR="00DF60E7" w:rsidRPr="007E63FD"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2.375</w:t>
            </w:r>
          </w:p>
        </w:tc>
        <w:tc>
          <w:tcPr>
            <w:tcW w:w="1818" w:type="dxa"/>
            <w:shd w:val="clear" w:color="auto" w:fill="auto"/>
            <w:noWrap/>
            <w:vAlign w:val="bottom"/>
          </w:tcPr>
          <w:p w14:paraId="3E7C552D" w14:textId="77777777" w:rsidR="00DF60E7" w:rsidRPr="007E63FD"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2.729</w:t>
            </w:r>
          </w:p>
        </w:tc>
        <w:tc>
          <w:tcPr>
            <w:tcW w:w="969" w:type="dxa"/>
            <w:shd w:val="clear" w:color="auto" w:fill="auto"/>
            <w:noWrap/>
            <w:vAlign w:val="bottom"/>
          </w:tcPr>
          <w:p w14:paraId="42DC724B" w14:textId="77777777" w:rsidR="00DF60E7" w:rsidRPr="00A26616"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14,9%</w:t>
            </w:r>
          </w:p>
        </w:tc>
      </w:tr>
      <w:tr w:rsidR="00DF60E7" w:rsidRPr="00A26616" w14:paraId="504CCFB9" w14:textId="77777777" w:rsidTr="00140420">
        <w:trPr>
          <w:trHeight w:val="312"/>
        </w:trPr>
        <w:tc>
          <w:tcPr>
            <w:tcW w:w="3695" w:type="dxa"/>
            <w:shd w:val="clear" w:color="auto" w:fill="auto"/>
            <w:noWrap/>
            <w:vAlign w:val="bottom"/>
            <w:hideMark/>
          </w:tcPr>
          <w:p w14:paraId="53EA159F" w14:textId="77777777" w:rsidR="00DF60E7" w:rsidRPr="00A26616" w:rsidRDefault="00DF60E7" w:rsidP="00140420">
            <w:pPr>
              <w:spacing w:after="0" w:line="240" w:lineRule="auto"/>
              <w:jc w:val="left"/>
              <w:rPr>
                <w:rFonts w:eastAsia="Times New Roman" w:cs="Calibri"/>
                <w:color w:val="000000"/>
                <w:sz w:val="20"/>
                <w:szCs w:val="20"/>
                <w:lang w:eastAsia="el-GR"/>
              </w:rPr>
            </w:pPr>
            <w:r w:rsidRPr="00A26616">
              <w:rPr>
                <w:rFonts w:eastAsia="Times New Roman" w:cs="Calibri"/>
                <w:color w:val="000000"/>
                <w:sz w:val="20"/>
                <w:szCs w:val="20"/>
                <w:lang w:eastAsia="el-GR"/>
              </w:rPr>
              <w:t>Άλλα προϊόντα</w:t>
            </w:r>
          </w:p>
        </w:tc>
        <w:tc>
          <w:tcPr>
            <w:tcW w:w="1850" w:type="dxa"/>
            <w:noWrap/>
            <w:vAlign w:val="bottom"/>
          </w:tcPr>
          <w:p w14:paraId="564C46E2" w14:textId="77777777" w:rsidR="00DF60E7" w:rsidRPr="007E63FD"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1.824</w:t>
            </w:r>
          </w:p>
        </w:tc>
        <w:tc>
          <w:tcPr>
            <w:tcW w:w="1818" w:type="dxa"/>
            <w:shd w:val="clear" w:color="auto" w:fill="auto"/>
            <w:noWrap/>
            <w:vAlign w:val="bottom"/>
          </w:tcPr>
          <w:p w14:paraId="474828F0" w14:textId="77777777" w:rsidR="00DF60E7" w:rsidRPr="007E63FD"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1.966</w:t>
            </w:r>
          </w:p>
        </w:tc>
        <w:tc>
          <w:tcPr>
            <w:tcW w:w="969" w:type="dxa"/>
            <w:shd w:val="clear" w:color="auto" w:fill="auto"/>
            <w:noWrap/>
            <w:vAlign w:val="bottom"/>
          </w:tcPr>
          <w:p w14:paraId="36575B0D" w14:textId="77777777" w:rsidR="00DF60E7" w:rsidRPr="00A26616"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7,8%</w:t>
            </w:r>
          </w:p>
        </w:tc>
      </w:tr>
    </w:tbl>
    <w:p w14:paraId="2DC9C96B" w14:textId="77777777" w:rsidR="00DF60E7" w:rsidRPr="000E7588" w:rsidRDefault="00DF60E7" w:rsidP="00DF60E7">
      <w:pPr>
        <w:rPr>
          <w:color w:val="00B0F0"/>
          <w:sz w:val="18"/>
          <w:szCs w:val="18"/>
        </w:rPr>
      </w:pPr>
      <w:r w:rsidRPr="000E7588">
        <w:rPr>
          <w:b/>
          <w:sz w:val="18"/>
          <w:szCs w:val="18"/>
        </w:rPr>
        <w:t xml:space="preserve">Πηγή: </w:t>
      </w:r>
      <w:r w:rsidRPr="000E7588">
        <w:rPr>
          <w:color w:val="00B0F0"/>
          <w:sz w:val="18"/>
          <w:szCs w:val="18"/>
        </w:rPr>
        <w:t>ΕΛΣΤΑΤ (Σταθερές τιμές 2015/εποχικά διορθωμένα στοιχεία), υπολογισμοί ΕΔΣ.</w:t>
      </w:r>
    </w:p>
    <w:p w14:paraId="3140E636" w14:textId="41C8D7B5" w:rsidR="00DF60E7" w:rsidRPr="008A7551" w:rsidRDefault="00DF60E7" w:rsidP="00DF60E7">
      <w:pPr>
        <w:spacing w:after="120"/>
        <w:rPr>
          <w:rFonts w:eastAsia="Calibri" w:cs="Times New Roman"/>
          <w:color w:val="auto"/>
        </w:rPr>
      </w:pPr>
      <w:bookmarkStart w:id="17" w:name="_Ref22809471"/>
      <w:r w:rsidRPr="008A7551">
        <w:rPr>
          <w:rFonts w:eastAsia="Calibri" w:cs="Times New Roman"/>
          <w:color w:val="auto"/>
        </w:rPr>
        <w:t>Αναφορικά με τον εξωτερικό τομέα (</w:t>
      </w:r>
      <w:r w:rsidR="00E84FC5">
        <w:rPr>
          <w:rFonts w:eastAsia="Calibri" w:cs="Times New Roman"/>
          <w:color w:val="auto"/>
        </w:rPr>
        <w:fldChar w:fldCharType="begin"/>
      </w:r>
      <w:r w:rsidR="00E84FC5">
        <w:rPr>
          <w:rFonts w:eastAsia="Calibri" w:cs="Times New Roman"/>
          <w:color w:val="auto"/>
        </w:rPr>
        <w:instrText xml:space="preserve"> REF _Ref87894729 \h </w:instrText>
      </w:r>
      <w:r w:rsidR="00E84FC5">
        <w:rPr>
          <w:rFonts w:eastAsia="Calibri" w:cs="Times New Roman"/>
          <w:color w:val="auto"/>
        </w:rPr>
      </w:r>
      <w:r w:rsidR="00E84FC5">
        <w:rPr>
          <w:rFonts w:eastAsia="Calibri" w:cs="Times New Roman"/>
          <w:color w:val="auto"/>
        </w:rPr>
        <w:fldChar w:fldCharType="separate"/>
      </w:r>
      <w:r w:rsidR="0038196B" w:rsidRPr="000E7588">
        <w:rPr>
          <w:b/>
          <w:sz w:val="20"/>
          <w:szCs w:val="20"/>
        </w:rPr>
        <w:t>Πίνακας</w:t>
      </w:r>
      <w:r w:rsidR="0038196B" w:rsidRPr="00A26616">
        <w:rPr>
          <w:b/>
          <w:sz w:val="20"/>
          <w:szCs w:val="20"/>
        </w:rPr>
        <w:t xml:space="preserve"> </w:t>
      </w:r>
      <w:r w:rsidR="0038196B">
        <w:rPr>
          <w:b/>
          <w:noProof/>
          <w:sz w:val="20"/>
          <w:szCs w:val="20"/>
        </w:rPr>
        <w:t>3</w:t>
      </w:r>
      <w:r w:rsidR="00E84FC5">
        <w:rPr>
          <w:rFonts w:eastAsia="Calibri" w:cs="Times New Roman"/>
          <w:color w:val="auto"/>
        </w:rPr>
        <w:fldChar w:fldCharType="end"/>
      </w:r>
      <w:r w:rsidRPr="008A7551">
        <w:rPr>
          <w:rFonts w:eastAsia="Calibri" w:cs="Times New Roman"/>
          <w:color w:val="auto"/>
        </w:rPr>
        <w:t xml:space="preserve">) το έλλειμμα του ισοζυγίου αγαθών </w:t>
      </w:r>
      <w:r>
        <w:rPr>
          <w:rFonts w:eastAsia="Calibri" w:cs="Times New Roman"/>
          <w:color w:val="auto"/>
        </w:rPr>
        <w:t xml:space="preserve">και υπηρεσιών διευρύνθηκε </w:t>
      </w:r>
      <w:r w:rsidR="00375DBF" w:rsidRPr="008A7551">
        <w:rPr>
          <w:rFonts w:eastAsia="Calibri" w:cs="Times New Roman"/>
          <w:color w:val="auto"/>
        </w:rPr>
        <w:t xml:space="preserve">στο </w:t>
      </w:r>
      <w:r w:rsidR="00375DBF">
        <w:rPr>
          <w:rFonts w:eastAsia="Calibri" w:cs="Times New Roman"/>
          <w:color w:val="auto"/>
        </w:rPr>
        <w:t>α</w:t>
      </w:r>
      <w:r w:rsidR="00375DBF" w:rsidRPr="008A7551">
        <w:rPr>
          <w:rFonts w:eastAsia="Calibri" w:cs="Times New Roman"/>
          <w:color w:val="auto"/>
        </w:rPr>
        <w:t>’ εξάμηνο του 202</w:t>
      </w:r>
      <w:r w:rsidR="00375DBF">
        <w:rPr>
          <w:rFonts w:eastAsia="Calibri" w:cs="Times New Roman"/>
          <w:color w:val="auto"/>
        </w:rPr>
        <w:t xml:space="preserve">1, </w:t>
      </w:r>
      <w:r>
        <w:rPr>
          <w:rFonts w:eastAsia="Calibri" w:cs="Times New Roman"/>
          <w:color w:val="auto"/>
        </w:rPr>
        <w:t>κατά 4</w:t>
      </w:r>
      <w:r w:rsidRPr="008A7551">
        <w:rPr>
          <w:rFonts w:eastAsia="Calibri" w:cs="Times New Roman"/>
          <w:color w:val="auto"/>
        </w:rPr>
        <w:t>.</w:t>
      </w:r>
      <w:r>
        <w:rPr>
          <w:rFonts w:eastAsia="Calibri" w:cs="Times New Roman"/>
          <w:color w:val="auto"/>
        </w:rPr>
        <w:t>972</w:t>
      </w:r>
      <w:r w:rsidRPr="008A7551">
        <w:rPr>
          <w:rFonts w:eastAsia="Calibri" w:cs="Times New Roman"/>
          <w:color w:val="auto"/>
        </w:rPr>
        <w:t xml:space="preserve"> εκατ. ευρώ, λόγω της </w:t>
      </w:r>
      <w:r>
        <w:rPr>
          <w:rFonts w:eastAsia="Calibri" w:cs="Times New Roman"/>
          <w:color w:val="auto"/>
        </w:rPr>
        <w:t xml:space="preserve">υπερδιπλάσιας αύξησης </w:t>
      </w:r>
      <w:r w:rsidR="00375DBF">
        <w:rPr>
          <w:rFonts w:eastAsia="Calibri" w:cs="Times New Roman"/>
          <w:color w:val="auto"/>
        </w:rPr>
        <w:t>της</w:t>
      </w:r>
      <w:r>
        <w:rPr>
          <w:rFonts w:eastAsia="Calibri" w:cs="Times New Roman"/>
          <w:color w:val="auto"/>
        </w:rPr>
        <w:t xml:space="preserve"> δαπάνη</w:t>
      </w:r>
      <w:r w:rsidR="00375DBF">
        <w:rPr>
          <w:rFonts w:eastAsia="Calibri" w:cs="Times New Roman"/>
          <w:color w:val="auto"/>
        </w:rPr>
        <w:t>ς</w:t>
      </w:r>
      <w:r>
        <w:rPr>
          <w:rFonts w:eastAsia="Calibri" w:cs="Times New Roman"/>
          <w:color w:val="auto"/>
        </w:rPr>
        <w:t xml:space="preserve"> για εισαγωγές σε σχέση με τις ελληνικές εξαγωγές. Η σημαντική αύξηση των εισαγωγών είναι εν μέρει δικαιολογημένη λόγω της </w:t>
      </w:r>
      <w:r w:rsidRPr="001C4C87">
        <w:rPr>
          <w:rFonts w:eastAsia="Calibri" w:cs="Times New Roman"/>
          <w:color w:val="auto"/>
        </w:rPr>
        <w:t>σημαντικής ανάκαμψης των επενδύσεων και της ιδιωτικής</w:t>
      </w:r>
      <w:r>
        <w:rPr>
          <w:rFonts w:eastAsia="Calibri" w:cs="Times New Roman"/>
          <w:color w:val="auto"/>
        </w:rPr>
        <w:t xml:space="preserve"> </w:t>
      </w:r>
      <w:r w:rsidRPr="001C4C87">
        <w:rPr>
          <w:rFonts w:eastAsia="Calibri" w:cs="Times New Roman"/>
          <w:color w:val="auto"/>
        </w:rPr>
        <w:t>κατανάλωσης που συνεπάγονται αυξημένες ανάγκες σε εισαγόμενες πρώτες ύλες,</w:t>
      </w:r>
      <w:r>
        <w:rPr>
          <w:rFonts w:eastAsia="Calibri" w:cs="Times New Roman"/>
          <w:color w:val="auto"/>
        </w:rPr>
        <w:t xml:space="preserve"> </w:t>
      </w:r>
      <w:r w:rsidRPr="001C4C87">
        <w:rPr>
          <w:rFonts w:eastAsia="Calibri" w:cs="Times New Roman"/>
          <w:color w:val="auto"/>
        </w:rPr>
        <w:t>μηχανήματα και καταναλωτικά αγαθά.</w:t>
      </w:r>
      <w:r>
        <w:rPr>
          <w:rFonts w:eastAsia="Calibri" w:cs="Times New Roman"/>
          <w:color w:val="auto"/>
        </w:rPr>
        <w:t xml:space="preserve"> Από την άλλη πλευρά</w:t>
      </w:r>
      <w:r w:rsidR="00F27CC6">
        <w:rPr>
          <w:rFonts w:eastAsia="Calibri" w:cs="Times New Roman"/>
          <w:color w:val="auto"/>
        </w:rPr>
        <w:t>,</w:t>
      </w:r>
      <w:r>
        <w:rPr>
          <w:rFonts w:eastAsia="Calibri" w:cs="Times New Roman"/>
          <w:color w:val="auto"/>
        </w:rPr>
        <w:t xml:space="preserve"> η χαμηλή εξαγωγική επίδοση που καταγράφηκε οφείλεται σε μεγάλο βαθμό στην πτώση κατά 13,0</w:t>
      </w:r>
      <w:r w:rsidRPr="008A7551">
        <w:rPr>
          <w:rFonts w:eastAsia="Calibri" w:cs="Times New Roman"/>
          <w:color w:val="auto"/>
        </w:rPr>
        <w:t xml:space="preserve">% </w:t>
      </w:r>
      <w:r>
        <w:rPr>
          <w:rFonts w:eastAsia="Calibri" w:cs="Times New Roman"/>
          <w:color w:val="auto"/>
        </w:rPr>
        <w:t>των εξαγωγών</w:t>
      </w:r>
      <w:r w:rsidRPr="008A7551">
        <w:rPr>
          <w:rFonts w:eastAsia="Calibri" w:cs="Times New Roman"/>
          <w:color w:val="auto"/>
        </w:rPr>
        <w:t xml:space="preserve"> υπηρεσιών και οφείλεται, σχεδόν αποκλειστικά, στη σημαντική συρρίκνωση των τουριστικών εισπράξεων.</w:t>
      </w:r>
      <w:r>
        <w:rPr>
          <w:rFonts w:eastAsia="Calibri" w:cs="Times New Roman"/>
          <w:color w:val="auto"/>
        </w:rPr>
        <w:t xml:space="preserve"> </w:t>
      </w:r>
    </w:p>
    <w:p w14:paraId="21CC8561" w14:textId="7C0547B7" w:rsidR="00DF60E7" w:rsidRPr="007F0661" w:rsidRDefault="00DF60E7" w:rsidP="00DF60E7">
      <w:pPr>
        <w:spacing w:after="120"/>
        <w:rPr>
          <w:rFonts w:eastAsia="Calibri" w:cs="Times New Roman"/>
          <w:i/>
          <w:color w:val="00B0F0"/>
        </w:rPr>
      </w:pPr>
      <w:bookmarkStart w:id="18" w:name="_Ref87894729"/>
      <w:bookmarkStart w:id="19" w:name="_Toc89172848"/>
      <w:r w:rsidRPr="000E7588">
        <w:rPr>
          <w:b/>
          <w:sz w:val="20"/>
          <w:szCs w:val="20"/>
        </w:rPr>
        <w:lastRenderedPageBreak/>
        <w:t>Πίνακας</w:t>
      </w:r>
      <w:r w:rsidRPr="00A26616">
        <w:rPr>
          <w:b/>
          <w:sz w:val="20"/>
          <w:szCs w:val="20"/>
        </w:rPr>
        <w:t xml:space="preserve"> </w:t>
      </w:r>
      <w:r w:rsidRPr="000E7588">
        <w:rPr>
          <w:b/>
          <w:sz w:val="20"/>
          <w:szCs w:val="20"/>
        </w:rPr>
        <w:fldChar w:fldCharType="begin"/>
      </w:r>
      <w:r w:rsidRPr="00A26616">
        <w:rPr>
          <w:b/>
          <w:sz w:val="20"/>
          <w:szCs w:val="20"/>
        </w:rPr>
        <w:instrText xml:space="preserve"> SEQ Πίνακας \* ARABIC </w:instrText>
      </w:r>
      <w:r w:rsidRPr="000E7588">
        <w:rPr>
          <w:b/>
          <w:sz w:val="20"/>
          <w:szCs w:val="20"/>
        </w:rPr>
        <w:fldChar w:fldCharType="separate"/>
      </w:r>
      <w:r w:rsidR="0038196B">
        <w:rPr>
          <w:b/>
          <w:noProof/>
          <w:sz w:val="20"/>
          <w:szCs w:val="20"/>
        </w:rPr>
        <w:t>3</w:t>
      </w:r>
      <w:r w:rsidRPr="000E7588">
        <w:rPr>
          <w:b/>
          <w:sz w:val="20"/>
          <w:szCs w:val="20"/>
        </w:rPr>
        <w:fldChar w:fldCharType="end"/>
      </w:r>
      <w:bookmarkEnd w:id="17"/>
      <w:bookmarkEnd w:id="18"/>
      <w:r w:rsidRPr="000E7588">
        <w:rPr>
          <w:b/>
          <w:sz w:val="20"/>
          <w:szCs w:val="20"/>
        </w:rPr>
        <w:t>:</w:t>
      </w:r>
      <w:r w:rsidRPr="00A26616">
        <w:rPr>
          <w:b/>
          <w:iCs/>
          <w:color w:val="00B0F0"/>
        </w:rPr>
        <w:t xml:space="preserve"> </w:t>
      </w:r>
      <w:r w:rsidRPr="009E221B">
        <w:rPr>
          <w:color w:val="00B0F0"/>
          <w:sz w:val="20"/>
          <w:szCs w:val="20"/>
        </w:rPr>
        <w:t>Εισαγωγές και εξαγωγές αγαθών και υπηρεσιών (σε εκατ. ευρώ)</w:t>
      </w:r>
      <w:bookmarkEnd w:id="19"/>
    </w:p>
    <w:tbl>
      <w:tblPr>
        <w:tblW w:w="8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5"/>
        <w:gridCol w:w="1850"/>
        <w:gridCol w:w="1818"/>
        <w:gridCol w:w="969"/>
      </w:tblGrid>
      <w:tr w:rsidR="00DF60E7" w:rsidRPr="00A26616" w14:paraId="035C85EF" w14:textId="77777777" w:rsidTr="00140420">
        <w:trPr>
          <w:trHeight w:val="312"/>
        </w:trPr>
        <w:tc>
          <w:tcPr>
            <w:tcW w:w="3695" w:type="dxa"/>
            <w:shd w:val="clear" w:color="auto" w:fill="BDD6EE" w:themeFill="accent1" w:themeFillTint="66"/>
            <w:noWrap/>
            <w:vAlign w:val="bottom"/>
            <w:hideMark/>
          </w:tcPr>
          <w:p w14:paraId="3E2592F6" w14:textId="77777777" w:rsidR="00DF60E7" w:rsidRPr="00A26616" w:rsidRDefault="00DF60E7" w:rsidP="00140420">
            <w:pPr>
              <w:spacing w:after="0" w:line="240" w:lineRule="auto"/>
              <w:jc w:val="left"/>
              <w:rPr>
                <w:rFonts w:eastAsia="Times New Roman" w:cs="Times New Roman"/>
                <w:color w:val="auto"/>
                <w:sz w:val="20"/>
                <w:szCs w:val="20"/>
                <w:lang w:eastAsia="el-GR"/>
              </w:rPr>
            </w:pPr>
          </w:p>
        </w:tc>
        <w:tc>
          <w:tcPr>
            <w:tcW w:w="1850" w:type="dxa"/>
            <w:shd w:val="clear" w:color="auto" w:fill="BDD6EE" w:themeFill="accent1" w:themeFillTint="66"/>
            <w:noWrap/>
            <w:vAlign w:val="bottom"/>
            <w:hideMark/>
          </w:tcPr>
          <w:p w14:paraId="4283AE1A" w14:textId="42F505AA" w:rsidR="00DF60E7" w:rsidRPr="00A26616" w:rsidRDefault="00DF60E7" w:rsidP="00E84FC5">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20</w:t>
            </w:r>
            <w:r>
              <w:rPr>
                <w:rFonts w:eastAsia="Times New Roman" w:cs="Calibri"/>
                <w:color w:val="000000"/>
                <w:sz w:val="20"/>
                <w:szCs w:val="20"/>
                <w:lang w:val="en-US" w:eastAsia="el-GR"/>
              </w:rPr>
              <w:t>20</w:t>
            </w:r>
            <w:r w:rsidRPr="00A26616">
              <w:rPr>
                <w:rFonts w:eastAsia="Times New Roman" w:cs="Calibri"/>
                <w:color w:val="000000"/>
                <w:sz w:val="20"/>
                <w:szCs w:val="20"/>
                <w:lang w:eastAsia="el-GR"/>
              </w:rPr>
              <w:t xml:space="preserve"> (</w:t>
            </w:r>
            <w:r w:rsidR="00E84FC5">
              <w:rPr>
                <w:rFonts w:eastAsia="Times New Roman" w:cs="Calibri"/>
                <w:color w:val="000000"/>
                <w:sz w:val="20"/>
                <w:szCs w:val="20"/>
                <w:lang w:eastAsia="el-GR"/>
              </w:rPr>
              <w:t>α</w:t>
            </w:r>
            <w:r w:rsidRPr="00A26616">
              <w:rPr>
                <w:rFonts w:eastAsia="Times New Roman" w:cs="Calibri"/>
                <w:color w:val="000000"/>
                <w:sz w:val="20"/>
                <w:szCs w:val="20"/>
                <w:lang w:eastAsia="el-GR"/>
              </w:rPr>
              <w:t>' εξ.)</w:t>
            </w:r>
          </w:p>
        </w:tc>
        <w:tc>
          <w:tcPr>
            <w:tcW w:w="1818" w:type="dxa"/>
            <w:shd w:val="clear" w:color="auto" w:fill="BDD6EE" w:themeFill="accent1" w:themeFillTint="66"/>
            <w:noWrap/>
            <w:vAlign w:val="bottom"/>
            <w:hideMark/>
          </w:tcPr>
          <w:p w14:paraId="50BAE0E7" w14:textId="4A4D3987" w:rsidR="00DF60E7" w:rsidRPr="00A26616" w:rsidRDefault="00DF60E7" w:rsidP="00E84FC5">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2021</w:t>
            </w:r>
            <w:r w:rsidRPr="00A26616">
              <w:rPr>
                <w:rFonts w:eastAsia="Times New Roman" w:cs="Calibri"/>
                <w:color w:val="000000"/>
                <w:sz w:val="20"/>
                <w:szCs w:val="20"/>
                <w:lang w:eastAsia="el-GR"/>
              </w:rPr>
              <w:t xml:space="preserve"> (</w:t>
            </w:r>
            <w:r w:rsidR="00E84FC5">
              <w:rPr>
                <w:rFonts w:eastAsia="Times New Roman" w:cs="Calibri"/>
                <w:color w:val="000000"/>
                <w:sz w:val="20"/>
                <w:szCs w:val="20"/>
                <w:lang w:eastAsia="el-GR"/>
              </w:rPr>
              <w:t>α</w:t>
            </w:r>
            <w:r w:rsidRPr="00A26616">
              <w:rPr>
                <w:rFonts w:eastAsia="Times New Roman" w:cs="Calibri"/>
                <w:color w:val="000000"/>
                <w:sz w:val="20"/>
                <w:szCs w:val="20"/>
                <w:lang w:eastAsia="el-GR"/>
              </w:rPr>
              <w:t>' εξ.)</w:t>
            </w:r>
          </w:p>
        </w:tc>
        <w:tc>
          <w:tcPr>
            <w:tcW w:w="969" w:type="dxa"/>
            <w:shd w:val="clear" w:color="auto" w:fill="BDD6EE" w:themeFill="accent1" w:themeFillTint="66"/>
            <w:noWrap/>
            <w:vAlign w:val="bottom"/>
            <w:hideMark/>
          </w:tcPr>
          <w:p w14:paraId="2C52E65F" w14:textId="77777777" w:rsidR="00DF60E7" w:rsidRPr="00A26616" w:rsidRDefault="00DF60E7" w:rsidP="00140420">
            <w:pPr>
              <w:spacing w:after="0" w:line="240" w:lineRule="auto"/>
              <w:jc w:val="center"/>
              <w:rPr>
                <w:rFonts w:eastAsia="Times New Roman" w:cs="Calibri"/>
                <w:color w:val="000000"/>
                <w:sz w:val="20"/>
                <w:szCs w:val="20"/>
                <w:lang w:eastAsia="el-GR"/>
              </w:rPr>
            </w:pPr>
            <w:r w:rsidRPr="00A26616">
              <w:rPr>
                <w:rFonts w:eastAsia="Times New Roman" w:cs="Calibri"/>
                <w:color w:val="000000"/>
                <w:sz w:val="20"/>
                <w:szCs w:val="20"/>
                <w:lang w:eastAsia="el-GR"/>
              </w:rPr>
              <w:t>Δ%</w:t>
            </w:r>
          </w:p>
        </w:tc>
      </w:tr>
      <w:tr w:rsidR="00DF60E7" w:rsidRPr="00A26616" w14:paraId="3FD0184F" w14:textId="77777777" w:rsidTr="00140420">
        <w:trPr>
          <w:trHeight w:val="312"/>
        </w:trPr>
        <w:tc>
          <w:tcPr>
            <w:tcW w:w="3695" w:type="dxa"/>
            <w:shd w:val="clear" w:color="auto" w:fill="auto"/>
            <w:noWrap/>
            <w:vAlign w:val="bottom"/>
            <w:hideMark/>
          </w:tcPr>
          <w:p w14:paraId="0F8AD6E0" w14:textId="77777777" w:rsidR="00DF60E7" w:rsidRPr="00A26616" w:rsidRDefault="00DF60E7" w:rsidP="00140420">
            <w:pPr>
              <w:spacing w:after="0" w:line="240" w:lineRule="auto"/>
              <w:jc w:val="left"/>
              <w:rPr>
                <w:rFonts w:eastAsia="Times New Roman" w:cs="Calibri"/>
                <w:b/>
                <w:color w:val="000000"/>
                <w:sz w:val="20"/>
                <w:szCs w:val="20"/>
                <w:lang w:eastAsia="el-GR"/>
              </w:rPr>
            </w:pPr>
            <w:r w:rsidRPr="00A26616">
              <w:rPr>
                <w:rFonts w:eastAsia="Times New Roman" w:cs="Calibri"/>
                <w:b/>
                <w:color w:val="000000"/>
                <w:sz w:val="20"/>
                <w:szCs w:val="20"/>
                <w:lang w:eastAsia="el-GR"/>
              </w:rPr>
              <w:t>Εξαγωγές αγαθών και υπηρεσιών</w:t>
            </w:r>
          </w:p>
        </w:tc>
        <w:tc>
          <w:tcPr>
            <w:tcW w:w="1850" w:type="dxa"/>
            <w:shd w:val="clear" w:color="auto" w:fill="auto"/>
            <w:noWrap/>
            <w:vAlign w:val="bottom"/>
          </w:tcPr>
          <w:p w14:paraId="5C6219ED" w14:textId="77777777" w:rsidR="00DF60E7" w:rsidRPr="00A26616" w:rsidRDefault="00DF60E7" w:rsidP="00140420">
            <w:pPr>
              <w:spacing w:after="0" w:line="240" w:lineRule="auto"/>
              <w:jc w:val="center"/>
              <w:rPr>
                <w:rFonts w:eastAsia="Times New Roman" w:cs="Calibri"/>
                <w:color w:val="000000"/>
                <w:sz w:val="20"/>
                <w:szCs w:val="20"/>
                <w:lang w:eastAsia="el-GR"/>
              </w:rPr>
            </w:pPr>
          </w:p>
        </w:tc>
        <w:tc>
          <w:tcPr>
            <w:tcW w:w="1818" w:type="dxa"/>
            <w:shd w:val="clear" w:color="auto" w:fill="auto"/>
            <w:noWrap/>
            <w:vAlign w:val="bottom"/>
          </w:tcPr>
          <w:p w14:paraId="3A898F09" w14:textId="77777777" w:rsidR="00DF60E7" w:rsidRPr="00A26616" w:rsidRDefault="00DF60E7" w:rsidP="00140420">
            <w:pPr>
              <w:spacing w:after="0" w:line="240" w:lineRule="auto"/>
              <w:jc w:val="center"/>
              <w:rPr>
                <w:rFonts w:eastAsia="Times New Roman" w:cs="Calibri"/>
                <w:color w:val="000000"/>
                <w:sz w:val="20"/>
                <w:szCs w:val="20"/>
                <w:lang w:eastAsia="el-GR"/>
              </w:rPr>
            </w:pPr>
          </w:p>
        </w:tc>
        <w:tc>
          <w:tcPr>
            <w:tcW w:w="969" w:type="dxa"/>
            <w:shd w:val="clear" w:color="auto" w:fill="auto"/>
            <w:noWrap/>
            <w:vAlign w:val="bottom"/>
          </w:tcPr>
          <w:p w14:paraId="4A41225D" w14:textId="77777777" w:rsidR="00DF60E7" w:rsidRPr="00A26616" w:rsidRDefault="00DF60E7" w:rsidP="00140420">
            <w:pPr>
              <w:spacing w:after="0" w:line="240" w:lineRule="auto"/>
              <w:jc w:val="center"/>
              <w:rPr>
                <w:rFonts w:eastAsia="Times New Roman" w:cs="Calibri"/>
                <w:color w:val="000000"/>
                <w:sz w:val="20"/>
                <w:szCs w:val="20"/>
                <w:lang w:val="en-US" w:eastAsia="el-GR"/>
              </w:rPr>
            </w:pPr>
          </w:p>
        </w:tc>
      </w:tr>
      <w:tr w:rsidR="00DF60E7" w:rsidRPr="00A26616" w14:paraId="6DA4F941" w14:textId="77777777" w:rsidTr="00140420">
        <w:trPr>
          <w:trHeight w:val="312"/>
        </w:trPr>
        <w:tc>
          <w:tcPr>
            <w:tcW w:w="3695" w:type="dxa"/>
            <w:shd w:val="clear" w:color="auto" w:fill="auto"/>
            <w:noWrap/>
            <w:vAlign w:val="bottom"/>
          </w:tcPr>
          <w:p w14:paraId="2D417654" w14:textId="77777777" w:rsidR="00DF60E7" w:rsidRPr="00A26616" w:rsidRDefault="00DF60E7" w:rsidP="00140420">
            <w:pPr>
              <w:spacing w:after="0" w:line="240" w:lineRule="auto"/>
              <w:jc w:val="right"/>
              <w:rPr>
                <w:rFonts w:eastAsia="Times New Roman" w:cs="Calibri"/>
                <w:i/>
                <w:color w:val="000000"/>
                <w:sz w:val="20"/>
                <w:szCs w:val="20"/>
                <w:lang w:eastAsia="el-GR"/>
              </w:rPr>
            </w:pPr>
            <w:r w:rsidRPr="00A26616">
              <w:rPr>
                <w:rFonts w:eastAsia="Times New Roman" w:cs="Calibri"/>
                <w:i/>
                <w:color w:val="000000"/>
                <w:sz w:val="20"/>
                <w:szCs w:val="20"/>
                <w:lang w:eastAsia="el-GR"/>
              </w:rPr>
              <w:t>Σύνολο</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653002" w14:textId="77777777" w:rsidR="00DF60E7" w:rsidRPr="00A26616"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29.544</w:t>
            </w:r>
          </w:p>
        </w:tc>
        <w:tc>
          <w:tcPr>
            <w:tcW w:w="1818" w:type="dxa"/>
            <w:tcBorders>
              <w:top w:val="nil"/>
              <w:left w:val="single" w:sz="4" w:space="0" w:color="auto"/>
              <w:bottom w:val="single" w:sz="4" w:space="0" w:color="auto"/>
              <w:right w:val="single" w:sz="4" w:space="0" w:color="auto"/>
            </w:tcBorders>
            <w:shd w:val="clear" w:color="auto" w:fill="auto"/>
            <w:noWrap/>
            <w:vAlign w:val="bottom"/>
          </w:tcPr>
          <w:p w14:paraId="1BEF9F1C" w14:textId="77777777" w:rsidR="00DF60E7" w:rsidRPr="00A26616"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30.547</w:t>
            </w:r>
          </w:p>
        </w:tc>
        <w:tc>
          <w:tcPr>
            <w:tcW w:w="969" w:type="dxa"/>
            <w:shd w:val="clear" w:color="auto" w:fill="auto"/>
            <w:noWrap/>
            <w:vAlign w:val="bottom"/>
          </w:tcPr>
          <w:p w14:paraId="52B7BB9B" w14:textId="77777777" w:rsidR="00DF60E7" w:rsidRPr="00A26616"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3,4%</w:t>
            </w:r>
          </w:p>
        </w:tc>
      </w:tr>
      <w:tr w:rsidR="00DF60E7" w:rsidRPr="00A26616" w14:paraId="776B31B3" w14:textId="77777777" w:rsidTr="00140420">
        <w:trPr>
          <w:trHeight w:val="312"/>
        </w:trPr>
        <w:tc>
          <w:tcPr>
            <w:tcW w:w="3695" w:type="dxa"/>
            <w:shd w:val="clear" w:color="auto" w:fill="auto"/>
            <w:noWrap/>
            <w:vAlign w:val="bottom"/>
          </w:tcPr>
          <w:p w14:paraId="6CFB2B8C" w14:textId="77777777" w:rsidR="00DF60E7" w:rsidRPr="00A26616" w:rsidRDefault="00DF60E7" w:rsidP="00140420">
            <w:pPr>
              <w:spacing w:after="0" w:line="240" w:lineRule="auto"/>
              <w:jc w:val="right"/>
              <w:rPr>
                <w:rFonts w:eastAsia="Times New Roman" w:cs="Calibri"/>
                <w:i/>
                <w:color w:val="000000"/>
                <w:sz w:val="20"/>
                <w:szCs w:val="20"/>
                <w:lang w:eastAsia="el-GR"/>
              </w:rPr>
            </w:pPr>
            <w:r w:rsidRPr="00A26616">
              <w:rPr>
                <w:rFonts w:eastAsia="Times New Roman" w:cs="Calibri"/>
                <w:i/>
                <w:color w:val="000000"/>
                <w:sz w:val="20"/>
                <w:szCs w:val="20"/>
                <w:lang w:eastAsia="el-GR"/>
              </w:rPr>
              <w:t>Αγαθά</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C27A4A" w14:textId="77777777" w:rsidR="00DF60E7" w:rsidRPr="00A26616"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15.471</w:t>
            </w:r>
          </w:p>
        </w:tc>
        <w:tc>
          <w:tcPr>
            <w:tcW w:w="1818" w:type="dxa"/>
            <w:tcBorders>
              <w:top w:val="nil"/>
              <w:left w:val="single" w:sz="4" w:space="0" w:color="auto"/>
              <w:bottom w:val="single" w:sz="4" w:space="0" w:color="auto"/>
              <w:right w:val="single" w:sz="4" w:space="0" w:color="auto"/>
            </w:tcBorders>
            <w:shd w:val="clear" w:color="auto" w:fill="auto"/>
            <w:noWrap/>
            <w:vAlign w:val="bottom"/>
          </w:tcPr>
          <w:p w14:paraId="11DA6066" w14:textId="77777777" w:rsidR="00DF60E7" w:rsidRPr="00A26616"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17.451</w:t>
            </w:r>
          </w:p>
        </w:tc>
        <w:tc>
          <w:tcPr>
            <w:tcW w:w="969" w:type="dxa"/>
            <w:shd w:val="clear" w:color="auto" w:fill="auto"/>
            <w:noWrap/>
            <w:vAlign w:val="bottom"/>
          </w:tcPr>
          <w:p w14:paraId="01B0D1BF" w14:textId="77777777" w:rsidR="00DF60E7" w:rsidRPr="00A26616"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12,8%</w:t>
            </w:r>
          </w:p>
        </w:tc>
      </w:tr>
      <w:tr w:rsidR="00DF60E7" w:rsidRPr="00A26616" w14:paraId="34C72989" w14:textId="77777777" w:rsidTr="00140420">
        <w:trPr>
          <w:trHeight w:val="312"/>
        </w:trPr>
        <w:tc>
          <w:tcPr>
            <w:tcW w:w="3695" w:type="dxa"/>
            <w:shd w:val="clear" w:color="auto" w:fill="auto"/>
            <w:noWrap/>
            <w:vAlign w:val="bottom"/>
          </w:tcPr>
          <w:p w14:paraId="665E8B66" w14:textId="77777777" w:rsidR="00DF60E7" w:rsidRPr="00A26616" w:rsidRDefault="00DF60E7" w:rsidP="00140420">
            <w:pPr>
              <w:spacing w:after="0" w:line="240" w:lineRule="auto"/>
              <w:jc w:val="right"/>
              <w:rPr>
                <w:rFonts w:eastAsia="Times New Roman" w:cs="Calibri"/>
                <w:i/>
                <w:color w:val="000000"/>
                <w:sz w:val="20"/>
                <w:szCs w:val="20"/>
                <w:lang w:eastAsia="el-GR"/>
              </w:rPr>
            </w:pPr>
            <w:r w:rsidRPr="00A26616">
              <w:rPr>
                <w:rFonts w:eastAsia="Times New Roman" w:cs="Calibri"/>
                <w:i/>
                <w:color w:val="000000"/>
                <w:sz w:val="20"/>
                <w:szCs w:val="20"/>
                <w:lang w:eastAsia="el-GR"/>
              </w:rPr>
              <w:t>Υπηρεσίες</w:t>
            </w:r>
          </w:p>
        </w:tc>
        <w:tc>
          <w:tcPr>
            <w:tcW w:w="1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6C40F" w14:textId="77777777" w:rsidR="00DF60E7" w:rsidRPr="00A26616"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13.564</w:t>
            </w:r>
          </w:p>
        </w:tc>
        <w:tc>
          <w:tcPr>
            <w:tcW w:w="1818" w:type="dxa"/>
            <w:tcBorders>
              <w:top w:val="nil"/>
              <w:left w:val="single" w:sz="4" w:space="0" w:color="auto"/>
              <w:bottom w:val="single" w:sz="4" w:space="0" w:color="auto"/>
              <w:right w:val="single" w:sz="4" w:space="0" w:color="auto"/>
            </w:tcBorders>
            <w:shd w:val="clear" w:color="auto" w:fill="auto"/>
            <w:noWrap/>
            <w:vAlign w:val="bottom"/>
          </w:tcPr>
          <w:p w14:paraId="086C64E5" w14:textId="77777777" w:rsidR="00DF60E7" w:rsidRPr="00F46817"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11.806</w:t>
            </w:r>
          </w:p>
        </w:tc>
        <w:tc>
          <w:tcPr>
            <w:tcW w:w="969" w:type="dxa"/>
            <w:shd w:val="clear" w:color="auto" w:fill="auto"/>
            <w:noWrap/>
            <w:vAlign w:val="bottom"/>
          </w:tcPr>
          <w:p w14:paraId="416758D1" w14:textId="77777777" w:rsidR="00DF60E7" w:rsidRPr="00A26616"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-13,0%</w:t>
            </w:r>
          </w:p>
        </w:tc>
      </w:tr>
      <w:tr w:rsidR="00DF60E7" w:rsidRPr="00A26616" w14:paraId="51F90120" w14:textId="77777777" w:rsidTr="00140420">
        <w:trPr>
          <w:trHeight w:val="312"/>
        </w:trPr>
        <w:tc>
          <w:tcPr>
            <w:tcW w:w="3695" w:type="dxa"/>
            <w:shd w:val="clear" w:color="auto" w:fill="auto"/>
            <w:noWrap/>
            <w:vAlign w:val="bottom"/>
          </w:tcPr>
          <w:p w14:paraId="57913DEA" w14:textId="77777777" w:rsidR="00DF60E7" w:rsidRPr="00A26616" w:rsidRDefault="00DF60E7" w:rsidP="00140420">
            <w:pPr>
              <w:spacing w:after="0" w:line="240" w:lineRule="auto"/>
              <w:jc w:val="left"/>
              <w:rPr>
                <w:rFonts w:eastAsia="Times New Roman" w:cs="Calibri"/>
                <w:b/>
                <w:color w:val="000000"/>
                <w:sz w:val="20"/>
                <w:szCs w:val="20"/>
                <w:lang w:eastAsia="el-GR"/>
              </w:rPr>
            </w:pPr>
            <w:r w:rsidRPr="00A26616">
              <w:rPr>
                <w:rFonts w:eastAsia="Times New Roman" w:cs="Calibri"/>
                <w:b/>
                <w:color w:val="000000"/>
                <w:sz w:val="20"/>
                <w:szCs w:val="20"/>
                <w:lang w:eastAsia="el-GR"/>
              </w:rPr>
              <w:t>Εισαγωγές αγαθών και υπηρεσιών</w:t>
            </w:r>
          </w:p>
        </w:tc>
        <w:tc>
          <w:tcPr>
            <w:tcW w:w="1850" w:type="dxa"/>
            <w:shd w:val="clear" w:color="auto" w:fill="auto"/>
            <w:noWrap/>
            <w:vAlign w:val="bottom"/>
          </w:tcPr>
          <w:p w14:paraId="7A012F58" w14:textId="77777777" w:rsidR="00DF60E7" w:rsidRPr="00A26616" w:rsidRDefault="00DF60E7" w:rsidP="00140420">
            <w:pPr>
              <w:spacing w:after="0" w:line="240" w:lineRule="auto"/>
              <w:jc w:val="center"/>
              <w:rPr>
                <w:rFonts w:eastAsia="Times New Roman" w:cs="Calibri"/>
                <w:color w:val="000000"/>
                <w:sz w:val="20"/>
                <w:szCs w:val="20"/>
                <w:lang w:val="en-US" w:eastAsia="el-GR"/>
              </w:rPr>
            </w:pPr>
          </w:p>
        </w:tc>
        <w:tc>
          <w:tcPr>
            <w:tcW w:w="1818" w:type="dxa"/>
            <w:tcBorders>
              <w:bottom w:val="single" w:sz="4" w:space="0" w:color="auto"/>
            </w:tcBorders>
            <w:shd w:val="clear" w:color="auto" w:fill="auto"/>
            <w:noWrap/>
            <w:vAlign w:val="bottom"/>
          </w:tcPr>
          <w:p w14:paraId="1A822E0B" w14:textId="77777777" w:rsidR="00DF60E7" w:rsidRPr="00A26616" w:rsidRDefault="00DF60E7" w:rsidP="00140420">
            <w:pPr>
              <w:spacing w:after="0" w:line="240" w:lineRule="auto"/>
              <w:jc w:val="center"/>
              <w:rPr>
                <w:rFonts w:eastAsia="Times New Roman" w:cs="Calibri"/>
                <w:color w:val="000000"/>
                <w:sz w:val="20"/>
                <w:szCs w:val="20"/>
                <w:lang w:val="en-US" w:eastAsia="el-GR"/>
              </w:rPr>
            </w:pPr>
          </w:p>
        </w:tc>
        <w:tc>
          <w:tcPr>
            <w:tcW w:w="969" w:type="dxa"/>
            <w:shd w:val="clear" w:color="auto" w:fill="auto"/>
            <w:noWrap/>
            <w:vAlign w:val="bottom"/>
          </w:tcPr>
          <w:p w14:paraId="0F2D2534" w14:textId="77777777" w:rsidR="00DF60E7" w:rsidRPr="00A26616" w:rsidRDefault="00DF60E7" w:rsidP="00140420">
            <w:pPr>
              <w:spacing w:after="0" w:line="240" w:lineRule="auto"/>
              <w:jc w:val="center"/>
              <w:rPr>
                <w:rFonts w:eastAsia="Times New Roman" w:cs="Calibri"/>
                <w:color w:val="000000"/>
                <w:sz w:val="20"/>
                <w:szCs w:val="20"/>
                <w:lang w:eastAsia="el-GR"/>
              </w:rPr>
            </w:pPr>
          </w:p>
        </w:tc>
      </w:tr>
      <w:tr w:rsidR="00DF60E7" w:rsidRPr="00A26616" w14:paraId="272D67BA" w14:textId="77777777" w:rsidTr="00140420">
        <w:trPr>
          <w:trHeight w:val="312"/>
        </w:trPr>
        <w:tc>
          <w:tcPr>
            <w:tcW w:w="3695" w:type="dxa"/>
            <w:shd w:val="clear" w:color="auto" w:fill="auto"/>
            <w:noWrap/>
            <w:vAlign w:val="bottom"/>
          </w:tcPr>
          <w:p w14:paraId="58ACFC2B" w14:textId="77777777" w:rsidR="00DF60E7" w:rsidRPr="00A26616" w:rsidRDefault="00DF60E7" w:rsidP="00140420">
            <w:pPr>
              <w:spacing w:after="0" w:line="240" w:lineRule="auto"/>
              <w:jc w:val="right"/>
              <w:rPr>
                <w:rFonts w:eastAsia="Times New Roman" w:cs="Calibri"/>
                <w:i/>
                <w:color w:val="000000"/>
                <w:sz w:val="20"/>
                <w:szCs w:val="20"/>
                <w:lang w:eastAsia="el-GR"/>
              </w:rPr>
            </w:pPr>
            <w:r w:rsidRPr="00A26616">
              <w:rPr>
                <w:rFonts w:eastAsia="Times New Roman" w:cs="Calibri"/>
                <w:i/>
                <w:color w:val="000000"/>
                <w:sz w:val="20"/>
                <w:szCs w:val="20"/>
                <w:lang w:eastAsia="el-GR"/>
              </w:rPr>
              <w:t>Σύνολο</w:t>
            </w:r>
          </w:p>
        </w:tc>
        <w:tc>
          <w:tcPr>
            <w:tcW w:w="1850" w:type="dxa"/>
            <w:shd w:val="clear" w:color="auto" w:fill="auto"/>
            <w:noWrap/>
            <w:vAlign w:val="bottom"/>
          </w:tcPr>
          <w:p w14:paraId="7F52EBC3" w14:textId="77777777" w:rsidR="00DF60E7" w:rsidRPr="00A26616"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32.772</w:t>
            </w:r>
          </w:p>
        </w:tc>
        <w:tc>
          <w:tcPr>
            <w:tcW w:w="1818" w:type="dxa"/>
            <w:shd w:val="clear" w:color="auto" w:fill="auto"/>
            <w:noWrap/>
            <w:vAlign w:val="bottom"/>
          </w:tcPr>
          <w:p w14:paraId="2B2B987E" w14:textId="77777777" w:rsidR="00DF60E7" w:rsidRPr="00A26616"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35.520</w:t>
            </w:r>
          </w:p>
        </w:tc>
        <w:tc>
          <w:tcPr>
            <w:tcW w:w="969" w:type="dxa"/>
            <w:shd w:val="clear" w:color="auto" w:fill="auto"/>
            <w:noWrap/>
            <w:vAlign w:val="bottom"/>
          </w:tcPr>
          <w:p w14:paraId="4285EEF8" w14:textId="77777777" w:rsidR="00DF60E7" w:rsidRPr="00A26616"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8,4%</w:t>
            </w:r>
          </w:p>
        </w:tc>
      </w:tr>
      <w:tr w:rsidR="00DF60E7" w:rsidRPr="00A26616" w14:paraId="5E61D900" w14:textId="77777777" w:rsidTr="00140420">
        <w:trPr>
          <w:trHeight w:val="312"/>
        </w:trPr>
        <w:tc>
          <w:tcPr>
            <w:tcW w:w="3695" w:type="dxa"/>
            <w:shd w:val="clear" w:color="auto" w:fill="auto"/>
            <w:noWrap/>
            <w:vAlign w:val="bottom"/>
          </w:tcPr>
          <w:p w14:paraId="13F116ED" w14:textId="77777777" w:rsidR="00DF60E7" w:rsidRPr="00A26616" w:rsidRDefault="00DF60E7" w:rsidP="00140420">
            <w:pPr>
              <w:spacing w:after="0" w:line="240" w:lineRule="auto"/>
              <w:jc w:val="right"/>
              <w:rPr>
                <w:rFonts w:eastAsia="Times New Roman" w:cs="Calibri"/>
                <w:i/>
                <w:color w:val="000000"/>
                <w:sz w:val="20"/>
                <w:szCs w:val="20"/>
                <w:lang w:eastAsia="el-GR"/>
              </w:rPr>
            </w:pPr>
            <w:r w:rsidRPr="00A26616">
              <w:rPr>
                <w:rFonts w:eastAsia="Times New Roman" w:cs="Calibri"/>
                <w:i/>
                <w:color w:val="000000"/>
                <w:sz w:val="20"/>
                <w:szCs w:val="20"/>
                <w:lang w:eastAsia="el-GR"/>
              </w:rPr>
              <w:t>Αγαθά</w:t>
            </w:r>
          </w:p>
        </w:tc>
        <w:tc>
          <w:tcPr>
            <w:tcW w:w="1850" w:type="dxa"/>
            <w:shd w:val="clear" w:color="auto" w:fill="auto"/>
            <w:noWrap/>
            <w:vAlign w:val="bottom"/>
          </w:tcPr>
          <w:p w14:paraId="23093919" w14:textId="77777777" w:rsidR="00DF60E7" w:rsidRPr="00A26616"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24.500</w:t>
            </w:r>
          </w:p>
        </w:tc>
        <w:tc>
          <w:tcPr>
            <w:tcW w:w="1818" w:type="dxa"/>
            <w:shd w:val="clear" w:color="auto" w:fill="auto"/>
            <w:noWrap/>
            <w:vAlign w:val="bottom"/>
          </w:tcPr>
          <w:p w14:paraId="33E033FF" w14:textId="77777777" w:rsidR="00DF60E7" w:rsidRPr="00A26616"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26.433</w:t>
            </w:r>
          </w:p>
        </w:tc>
        <w:tc>
          <w:tcPr>
            <w:tcW w:w="969" w:type="dxa"/>
            <w:shd w:val="clear" w:color="auto" w:fill="auto"/>
            <w:noWrap/>
            <w:vAlign w:val="bottom"/>
          </w:tcPr>
          <w:p w14:paraId="3B379527" w14:textId="77777777" w:rsidR="00DF60E7" w:rsidRPr="00A26616"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7,9%</w:t>
            </w:r>
          </w:p>
        </w:tc>
      </w:tr>
      <w:tr w:rsidR="00DF60E7" w:rsidRPr="00A26616" w14:paraId="10791844" w14:textId="77777777" w:rsidTr="00140420">
        <w:trPr>
          <w:trHeight w:val="312"/>
        </w:trPr>
        <w:tc>
          <w:tcPr>
            <w:tcW w:w="3695" w:type="dxa"/>
            <w:shd w:val="clear" w:color="auto" w:fill="auto"/>
            <w:noWrap/>
            <w:vAlign w:val="bottom"/>
          </w:tcPr>
          <w:p w14:paraId="6ACEBB0D" w14:textId="77777777" w:rsidR="00DF60E7" w:rsidRPr="00A26616" w:rsidRDefault="00DF60E7" w:rsidP="00140420">
            <w:pPr>
              <w:spacing w:after="0" w:line="240" w:lineRule="auto"/>
              <w:jc w:val="right"/>
              <w:rPr>
                <w:rFonts w:eastAsia="Times New Roman" w:cs="Calibri"/>
                <w:i/>
                <w:color w:val="000000"/>
                <w:sz w:val="20"/>
                <w:szCs w:val="20"/>
                <w:lang w:eastAsia="el-GR"/>
              </w:rPr>
            </w:pPr>
            <w:r w:rsidRPr="00A26616">
              <w:rPr>
                <w:rFonts w:eastAsia="Times New Roman" w:cs="Calibri"/>
                <w:i/>
                <w:color w:val="000000"/>
                <w:sz w:val="20"/>
                <w:szCs w:val="20"/>
                <w:lang w:eastAsia="el-GR"/>
              </w:rPr>
              <w:t>Υπηρεσίες</w:t>
            </w:r>
          </w:p>
        </w:tc>
        <w:tc>
          <w:tcPr>
            <w:tcW w:w="1850" w:type="dxa"/>
            <w:shd w:val="clear" w:color="auto" w:fill="auto"/>
            <w:noWrap/>
            <w:vAlign w:val="bottom"/>
          </w:tcPr>
          <w:p w14:paraId="17EACAB3" w14:textId="77777777" w:rsidR="00DF60E7" w:rsidRPr="00F46817"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8.418</w:t>
            </w:r>
          </w:p>
        </w:tc>
        <w:tc>
          <w:tcPr>
            <w:tcW w:w="1818" w:type="dxa"/>
            <w:shd w:val="clear" w:color="auto" w:fill="auto"/>
            <w:noWrap/>
            <w:vAlign w:val="bottom"/>
          </w:tcPr>
          <w:p w14:paraId="256EFAF0" w14:textId="77777777" w:rsidR="00DF60E7" w:rsidRPr="00A26616"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9.349</w:t>
            </w:r>
          </w:p>
        </w:tc>
        <w:tc>
          <w:tcPr>
            <w:tcW w:w="969" w:type="dxa"/>
            <w:shd w:val="clear" w:color="auto" w:fill="auto"/>
            <w:noWrap/>
            <w:vAlign w:val="bottom"/>
          </w:tcPr>
          <w:p w14:paraId="2D9D8EB9" w14:textId="77777777" w:rsidR="00DF60E7" w:rsidRPr="00A26616" w:rsidRDefault="00DF60E7" w:rsidP="00140420">
            <w:pPr>
              <w:spacing w:after="0" w:line="240" w:lineRule="auto"/>
              <w:jc w:val="center"/>
              <w:rPr>
                <w:rFonts w:eastAsia="Times New Roman" w:cs="Calibri"/>
                <w:color w:val="000000"/>
                <w:sz w:val="20"/>
                <w:szCs w:val="20"/>
                <w:lang w:eastAsia="el-GR"/>
              </w:rPr>
            </w:pPr>
            <w:r>
              <w:rPr>
                <w:rFonts w:eastAsia="Times New Roman" w:cs="Calibri"/>
                <w:color w:val="000000"/>
                <w:sz w:val="20"/>
                <w:szCs w:val="20"/>
                <w:lang w:eastAsia="el-GR"/>
              </w:rPr>
              <w:t>11,1%</w:t>
            </w:r>
          </w:p>
        </w:tc>
      </w:tr>
    </w:tbl>
    <w:p w14:paraId="10A4A001" w14:textId="77777777" w:rsidR="00DF60E7" w:rsidRDefault="00DF60E7" w:rsidP="00DF60E7">
      <w:pPr>
        <w:spacing w:after="0"/>
        <w:rPr>
          <w:color w:val="00B0F0"/>
          <w:sz w:val="18"/>
          <w:szCs w:val="18"/>
        </w:rPr>
      </w:pPr>
      <w:r w:rsidRPr="00A26616">
        <w:rPr>
          <w:b/>
          <w:sz w:val="18"/>
          <w:szCs w:val="18"/>
        </w:rPr>
        <w:t>Πηγή:</w:t>
      </w:r>
      <w:r w:rsidRPr="00A26616">
        <w:rPr>
          <w:color w:val="auto"/>
          <w:sz w:val="18"/>
          <w:szCs w:val="18"/>
        </w:rPr>
        <w:t xml:space="preserve"> </w:t>
      </w:r>
      <w:r w:rsidRPr="00A26616">
        <w:rPr>
          <w:color w:val="00B0F0"/>
          <w:sz w:val="18"/>
          <w:szCs w:val="18"/>
        </w:rPr>
        <w:t>ΕΛΣΤΑΤ</w:t>
      </w:r>
      <w:r>
        <w:rPr>
          <w:color w:val="00B0F0"/>
          <w:sz w:val="18"/>
          <w:szCs w:val="18"/>
        </w:rPr>
        <w:t xml:space="preserve">, </w:t>
      </w:r>
      <w:r w:rsidRPr="000B4F2A">
        <w:rPr>
          <w:color w:val="00B0F0"/>
          <w:sz w:val="18"/>
          <w:szCs w:val="18"/>
        </w:rPr>
        <w:t>(Σταθερές τιμές 201</w:t>
      </w:r>
      <w:r>
        <w:rPr>
          <w:color w:val="00B0F0"/>
          <w:sz w:val="18"/>
          <w:szCs w:val="18"/>
        </w:rPr>
        <w:t>5</w:t>
      </w:r>
      <w:r w:rsidRPr="000B4F2A">
        <w:rPr>
          <w:color w:val="00B0F0"/>
          <w:sz w:val="18"/>
          <w:szCs w:val="18"/>
        </w:rPr>
        <w:t>/εποχικά διορθωμένα στοιχεία)</w:t>
      </w:r>
      <w:r w:rsidRPr="00F341B3">
        <w:rPr>
          <w:color w:val="00B0F0"/>
          <w:sz w:val="18"/>
          <w:szCs w:val="18"/>
        </w:rPr>
        <w:t xml:space="preserve">, </w:t>
      </w:r>
      <w:r w:rsidRPr="00745906">
        <w:rPr>
          <w:color w:val="00B0F0"/>
          <w:sz w:val="18"/>
          <w:szCs w:val="18"/>
        </w:rPr>
        <w:t>υπολογισμοί ΕΔΣ</w:t>
      </w:r>
      <w:r w:rsidRPr="000B4F2A">
        <w:rPr>
          <w:color w:val="00B0F0"/>
          <w:sz w:val="18"/>
          <w:szCs w:val="18"/>
        </w:rPr>
        <w:t>.</w:t>
      </w:r>
    </w:p>
    <w:p w14:paraId="169AFBCA" w14:textId="77777777" w:rsidR="00DF60E7" w:rsidRDefault="00DF60E7" w:rsidP="00DF60E7">
      <w:pPr>
        <w:spacing w:after="0"/>
        <w:rPr>
          <w:color w:val="00B0F0"/>
          <w:sz w:val="18"/>
          <w:szCs w:val="18"/>
        </w:rPr>
      </w:pPr>
    </w:p>
    <w:p w14:paraId="52BA3B6A" w14:textId="0C5A9DC9" w:rsidR="00DF60E7" w:rsidRPr="00E061F3" w:rsidRDefault="00DF60E7" w:rsidP="00DF60E7">
      <w:pPr>
        <w:spacing w:after="360"/>
        <w:rPr>
          <w:rFonts w:eastAsia="Calibri" w:cs="Times New Roman"/>
          <w:color w:val="auto"/>
        </w:rPr>
      </w:pPr>
      <w:r w:rsidRPr="008A7551">
        <w:rPr>
          <w:rFonts w:eastAsia="Calibri" w:cs="Times New Roman"/>
          <w:color w:val="auto"/>
        </w:rPr>
        <w:t>Σχετικά με τις εκτιμήσεις για την εξέλιξη του ΑΕΠ το 202</w:t>
      </w:r>
      <w:r>
        <w:rPr>
          <w:rFonts w:eastAsia="Calibri" w:cs="Times New Roman"/>
          <w:color w:val="auto"/>
        </w:rPr>
        <w:t>1, στην από 1</w:t>
      </w:r>
      <w:r w:rsidRPr="008A7551">
        <w:rPr>
          <w:rFonts w:eastAsia="Calibri" w:cs="Times New Roman"/>
          <w:color w:val="auto"/>
        </w:rPr>
        <w:t>/10/202</w:t>
      </w:r>
      <w:r>
        <w:rPr>
          <w:rFonts w:eastAsia="Calibri" w:cs="Times New Roman"/>
          <w:color w:val="auto"/>
        </w:rPr>
        <w:t>1</w:t>
      </w:r>
      <w:r w:rsidRPr="008A7551">
        <w:rPr>
          <w:rFonts w:eastAsia="Calibri" w:cs="Times New Roman"/>
          <w:color w:val="auto"/>
        </w:rPr>
        <w:t xml:space="preserve"> δημοσιευμένη γνώμη του Ελληνικού Δημοσιονομικού Συμβουλίου (ΕΔΣ)</w:t>
      </w:r>
      <w:r>
        <w:rPr>
          <w:rStyle w:val="af1"/>
          <w:rFonts w:eastAsia="Calibri" w:cs="Times New Roman"/>
          <w:color w:val="auto"/>
        </w:rPr>
        <w:footnoteReference w:id="2"/>
      </w:r>
      <w:r w:rsidRPr="008A7551">
        <w:rPr>
          <w:rFonts w:eastAsia="Calibri" w:cs="Times New Roman"/>
          <w:color w:val="auto"/>
        </w:rPr>
        <w:t>, έχει επισημανθεί ότι η</w:t>
      </w:r>
      <w:r w:rsidRPr="007613A4">
        <w:rPr>
          <w:rFonts w:eastAsia="Calibri" w:cs="Times New Roman"/>
          <w:color w:val="auto"/>
        </w:rPr>
        <w:t xml:space="preserve"> εκτίμηση του Υπουργείου Οικονομικών για </w:t>
      </w:r>
      <w:r>
        <w:rPr>
          <w:rFonts w:eastAsia="Calibri" w:cs="Times New Roman"/>
          <w:color w:val="auto"/>
        </w:rPr>
        <w:t xml:space="preserve">μεγέθυνση του </w:t>
      </w:r>
      <w:r w:rsidRPr="007613A4">
        <w:rPr>
          <w:rFonts w:eastAsia="Calibri" w:cs="Times New Roman"/>
          <w:color w:val="auto"/>
        </w:rPr>
        <w:t xml:space="preserve">ΑΕΠ </w:t>
      </w:r>
      <w:r>
        <w:rPr>
          <w:rFonts w:eastAsia="Calibri" w:cs="Times New Roman"/>
          <w:color w:val="auto"/>
        </w:rPr>
        <w:t>το 202</w:t>
      </w:r>
      <w:r w:rsidRPr="00B725F6">
        <w:rPr>
          <w:rFonts w:eastAsia="Calibri" w:cs="Times New Roman"/>
          <w:color w:val="auto"/>
        </w:rPr>
        <w:t>1</w:t>
      </w:r>
      <w:r>
        <w:rPr>
          <w:rFonts w:eastAsia="Calibri" w:cs="Times New Roman"/>
          <w:color w:val="auto"/>
        </w:rPr>
        <w:t xml:space="preserve"> κατά 6,1% είναι επιτεύξιμη και μάλιστα σχετικά συντηρητική, </w:t>
      </w:r>
      <w:r w:rsidR="00E84FC5">
        <w:rPr>
          <w:rFonts w:eastAsia="Calibri" w:cs="Times New Roman"/>
          <w:color w:val="auto"/>
        </w:rPr>
        <w:t>λαμβανομένου</w:t>
      </w:r>
      <w:r>
        <w:rPr>
          <w:rFonts w:eastAsia="Calibri" w:cs="Times New Roman"/>
          <w:color w:val="auto"/>
        </w:rPr>
        <w:t xml:space="preserve"> υπόψη, μεταξύ άλλων, ότι οι οικονομετρικές εκτιμήσεις του ΕΔΣ προσδιορίζουν την αύξηση περί το 7,2%.</w:t>
      </w:r>
      <w:r w:rsidRPr="007F0661">
        <w:rPr>
          <w:rFonts w:eastAsia="Calibri" w:cs="Times New Roman"/>
          <w:color w:val="auto"/>
        </w:rPr>
        <w:t xml:space="preserve"> </w:t>
      </w:r>
      <w:r>
        <w:rPr>
          <w:rFonts w:eastAsia="Calibri" w:cs="Times New Roman"/>
          <w:color w:val="auto"/>
        </w:rPr>
        <w:t>Σημειώνεται ότι οι πρόσφατες εκτιμήσεις διεθνών οργανισμών (μετά τον Ιούλιο) συγκλίνουν στην εκτίμηση για υψηλότερη αύξηση του ΑΕΠ το 2021 σε σχέση με την εκτίμηση του Υπουργείου Οικονομικών</w:t>
      </w:r>
      <w:r w:rsidR="00E84FC5">
        <w:rPr>
          <w:rFonts w:eastAsia="Calibri" w:cs="Times New Roman"/>
          <w:color w:val="auto"/>
        </w:rPr>
        <w:t xml:space="preserve"> </w:t>
      </w:r>
      <w:r w:rsidRPr="00D0231E">
        <w:rPr>
          <w:rFonts w:eastAsia="Calibri" w:cs="Times New Roman"/>
          <w:color w:val="auto"/>
        </w:rPr>
        <w:t>(</w:t>
      </w:r>
      <w:r w:rsidRPr="00D0231E">
        <w:rPr>
          <w:rFonts w:eastAsia="Calibri" w:cs="Times New Roman"/>
          <w:color w:val="auto"/>
        </w:rPr>
        <w:fldChar w:fldCharType="begin"/>
      </w:r>
      <w:r w:rsidRPr="00D0231E">
        <w:rPr>
          <w:rFonts w:eastAsia="Calibri" w:cs="Times New Roman"/>
          <w:color w:val="auto"/>
        </w:rPr>
        <w:instrText xml:space="preserve"> REF _Ref24730461 \h  \* MERGEFORMAT </w:instrText>
      </w:r>
      <w:r w:rsidRPr="00D0231E">
        <w:rPr>
          <w:rFonts w:eastAsia="Calibri" w:cs="Times New Roman"/>
          <w:color w:val="auto"/>
        </w:rPr>
      </w:r>
      <w:r w:rsidRPr="00D0231E">
        <w:rPr>
          <w:rFonts w:eastAsia="Calibri" w:cs="Times New Roman"/>
          <w:color w:val="auto"/>
        </w:rPr>
        <w:fldChar w:fldCharType="separate"/>
      </w:r>
      <w:r w:rsidR="0038196B" w:rsidRPr="0038196B">
        <w:rPr>
          <w:iCs/>
          <w:color w:val="auto"/>
        </w:rPr>
        <w:t xml:space="preserve">Διάγραμμα </w:t>
      </w:r>
      <w:r w:rsidR="0038196B" w:rsidRPr="0038196B">
        <w:rPr>
          <w:iCs/>
          <w:noProof/>
          <w:color w:val="auto"/>
        </w:rPr>
        <w:t>2</w:t>
      </w:r>
      <w:r w:rsidRPr="00D0231E">
        <w:rPr>
          <w:rFonts w:eastAsia="Calibri" w:cs="Times New Roman"/>
          <w:color w:val="auto"/>
        </w:rPr>
        <w:fldChar w:fldCharType="end"/>
      </w:r>
      <w:r w:rsidRPr="00D0231E">
        <w:rPr>
          <w:rFonts w:eastAsia="Calibri" w:cs="Times New Roman"/>
          <w:color w:val="auto"/>
        </w:rPr>
        <w:t>)</w:t>
      </w:r>
      <w:r w:rsidR="00E84FC5">
        <w:rPr>
          <w:rFonts w:eastAsia="Calibri" w:cs="Times New Roman"/>
          <w:color w:val="auto"/>
        </w:rPr>
        <w:t>.</w:t>
      </w:r>
    </w:p>
    <w:p w14:paraId="4D8632D7" w14:textId="05F801EE" w:rsidR="00DF60E7" w:rsidRDefault="00DF60E7" w:rsidP="00DF60E7">
      <w:pPr>
        <w:spacing w:after="0" w:line="240" w:lineRule="auto"/>
        <w:ind w:right="-1068"/>
        <w:rPr>
          <w:color w:val="auto"/>
        </w:rPr>
      </w:pPr>
      <w:bookmarkStart w:id="20" w:name="_Ref24730461"/>
      <w:bookmarkStart w:id="21" w:name="_Toc25065309"/>
      <w:bookmarkStart w:id="22" w:name="_Toc89172864"/>
      <w:r w:rsidRPr="005804EA">
        <w:rPr>
          <w:b/>
          <w:iCs/>
          <w:sz w:val="20"/>
          <w:szCs w:val="20"/>
        </w:rPr>
        <w:t xml:space="preserve">Διάγραμμα </w:t>
      </w:r>
      <w:r w:rsidRPr="005804EA">
        <w:rPr>
          <w:b/>
          <w:iCs/>
          <w:sz w:val="20"/>
          <w:szCs w:val="20"/>
        </w:rPr>
        <w:fldChar w:fldCharType="begin"/>
      </w:r>
      <w:r w:rsidRPr="005804EA">
        <w:rPr>
          <w:b/>
          <w:iCs/>
          <w:sz w:val="20"/>
          <w:szCs w:val="20"/>
        </w:rPr>
        <w:instrText xml:space="preserve"> SEQ Διάγραμμα \* ARABIC </w:instrText>
      </w:r>
      <w:r w:rsidRPr="005804EA">
        <w:rPr>
          <w:b/>
          <w:iCs/>
          <w:sz w:val="20"/>
          <w:szCs w:val="20"/>
        </w:rPr>
        <w:fldChar w:fldCharType="separate"/>
      </w:r>
      <w:r w:rsidR="0038196B">
        <w:rPr>
          <w:b/>
          <w:iCs/>
          <w:noProof/>
          <w:sz w:val="20"/>
          <w:szCs w:val="20"/>
        </w:rPr>
        <w:t>2</w:t>
      </w:r>
      <w:r w:rsidRPr="005804EA">
        <w:rPr>
          <w:b/>
          <w:iCs/>
          <w:sz w:val="20"/>
          <w:szCs w:val="20"/>
        </w:rPr>
        <w:fldChar w:fldCharType="end"/>
      </w:r>
      <w:bookmarkEnd w:id="20"/>
      <w:r w:rsidRPr="005804EA">
        <w:rPr>
          <w:b/>
          <w:iCs/>
          <w:sz w:val="20"/>
          <w:szCs w:val="20"/>
        </w:rPr>
        <w:t xml:space="preserve">: </w:t>
      </w:r>
      <w:r>
        <w:rPr>
          <w:rFonts w:eastAsia="Times New Roman" w:cs="Calibri"/>
          <w:bCs/>
          <w:color w:val="00A3E0"/>
          <w:spacing w:val="-4"/>
          <w:sz w:val="20"/>
          <w:szCs w:val="20"/>
          <w:lang w:eastAsia="el-GR"/>
        </w:rPr>
        <w:t>Εκτιμήσεις για τον ρυθμό αύξησης του ελληνικού ΑΕΠ 2021</w:t>
      </w:r>
      <w:bookmarkEnd w:id="21"/>
      <w:bookmarkEnd w:id="22"/>
      <w:r>
        <w:rPr>
          <w:rFonts w:eastAsia="Times New Roman" w:cs="Calibri"/>
          <w:bCs/>
          <w:color w:val="00A3E0"/>
          <w:spacing w:val="-4"/>
          <w:sz w:val="20"/>
          <w:szCs w:val="20"/>
          <w:lang w:eastAsia="el-GR"/>
        </w:rPr>
        <w:t xml:space="preserve"> </w:t>
      </w:r>
    </w:p>
    <w:p w14:paraId="30593A13" w14:textId="77777777" w:rsidR="00DF60E7" w:rsidRPr="00F5244C" w:rsidRDefault="00DF60E7" w:rsidP="00DF60E7">
      <w:pPr>
        <w:spacing w:after="0"/>
        <w:rPr>
          <w:color w:val="auto"/>
          <w:lang w:val="en-US"/>
        </w:rPr>
      </w:pPr>
      <w:r>
        <w:rPr>
          <w:noProof/>
          <w:lang w:eastAsia="el-GR"/>
        </w:rPr>
        <w:drawing>
          <wp:inline distT="0" distB="0" distL="0" distR="0" wp14:anchorId="1DC6CDF7" wp14:editId="6ED84F60">
            <wp:extent cx="5278120" cy="2466975"/>
            <wp:effectExtent l="0" t="0" r="17780" b="9525"/>
            <wp:docPr id="26" name="Γράφημα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15A7D1" w14:textId="77777777" w:rsidR="00DF60E7" w:rsidRDefault="00DF60E7" w:rsidP="00DF60E7">
      <w:pPr>
        <w:spacing w:after="0" w:line="240" w:lineRule="auto"/>
        <w:rPr>
          <w:color w:val="auto"/>
          <w:sz w:val="16"/>
          <w:szCs w:val="16"/>
        </w:rPr>
      </w:pPr>
      <w:r>
        <w:rPr>
          <w:color w:val="auto"/>
          <w:sz w:val="16"/>
          <w:szCs w:val="16"/>
        </w:rPr>
        <w:t xml:space="preserve">* </w:t>
      </w:r>
      <w:r w:rsidRPr="0052086E">
        <w:rPr>
          <w:color w:val="auto"/>
          <w:sz w:val="16"/>
          <w:szCs w:val="16"/>
        </w:rPr>
        <w:t>(σταθερές τιμές 201</w:t>
      </w:r>
      <w:r>
        <w:rPr>
          <w:color w:val="auto"/>
          <w:sz w:val="16"/>
          <w:szCs w:val="16"/>
        </w:rPr>
        <w:t>5</w:t>
      </w:r>
      <w:r w:rsidRPr="0052086E">
        <w:rPr>
          <w:color w:val="auto"/>
          <w:sz w:val="16"/>
          <w:szCs w:val="16"/>
        </w:rPr>
        <w:t>)</w:t>
      </w:r>
      <w:r>
        <w:rPr>
          <w:color w:val="auto"/>
          <w:sz w:val="16"/>
          <w:szCs w:val="16"/>
        </w:rPr>
        <w:t xml:space="preserve"> </w:t>
      </w:r>
    </w:p>
    <w:p w14:paraId="5BD3F09D" w14:textId="77777777" w:rsidR="00DF60E7" w:rsidRPr="00232831" w:rsidRDefault="00DF60E7" w:rsidP="00DF60E7">
      <w:pPr>
        <w:spacing w:after="0" w:line="240" w:lineRule="auto"/>
        <w:rPr>
          <w:color w:val="auto"/>
          <w:sz w:val="16"/>
          <w:szCs w:val="16"/>
        </w:rPr>
      </w:pPr>
      <w:r>
        <w:rPr>
          <w:color w:val="auto"/>
          <w:sz w:val="16"/>
          <w:szCs w:val="16"/>
        </w:rPr>
        <w:t xml:space="preserve">Σημείωση: Στις περιπτώσεις πολλαπλών σεναρίων </w:t>
      </w:r>
      <w:r w:rsidRPr="00E808EF">
        <w:rPr>
          <w:color w:val="auto"/>
          <w:sz w:val="16"/>
          <w:szCs w:val="16"/>
        </w:rPr>
        <w:t>(</w:t>
      </w:r>
      <w:r>
        <w:rPr>
          <w:color w:val="auto"/>
          <w:sz w:val="16"/>
          <w:szCs w:val="16"/>
        </w:rPr>
        <w:t xml:space="preserve">ΙΟΒΕ) έχει επιλεγεί το δυσμενές σενάριο. </w:t>
      </w:r>
    </w:p>
    <w:p w14:paraId="6CC2A241" w14:textId="222EF19A" w:rsidR="00DF60E7" w:rsidRDefault="00DF60E7" w:rsidP="00DF60E7">
      <w:pPr>
        <w:spacing w:after="0" w:line="240" w:lineRule="auto"/>
        <w:rPr>
          <w:color w:val="00B0F0"/>
          <w:sz w:val="16"/>
          <w:szCs w:val="16"/>
          <w:lang w:val="en-US"/>
        </w:rPr>
      </w:pPr>
      <w:r w:rsidRPr="007F0661">
        <w:rPr>
          <w:b/>
          <w:color w:val="5F6265"/>
          <w:sz w:val="16"/>
          <w:szCs w:val="16"/>
        </w:rPr>
        <w:t>Πηγές:</w:t>
      </w:r>
      <w:r w:rsidRPr="00D93345">
        <w:rPr>
          <w:color w:val="auto"/>
          <w:sz w:val="16"/>
          <w:szCs w:val="16"/>
        </w:rPr>
        <w:t xml:space="preserve"> </w:t>
      </w:r>
      <w:r w:rsidRPr="00E27CCA">
        <w:rPr>
          <w:b/>
          <w:color w:val="00B0F0"/>
          <w:sz w:val="16"/>
          <w:szCs w:val="16"/>
        </w:rPr>
        <w:t>1</w:t>
      </w:r>
      <w:r w:rsidRPr="007F0661">
        <w:rPr>
          <w:color w:val="00B0F0"/>
          <w:sz w:val="16"/>
          <w:szCs w:val="16"/>
        </w:rPr>
        <w:t>. Προσχέδιο κρατικού προϋπολογισμού 202</w:t>
      </w:r>
      <w:r w:rsidRPr="00FB7AA1">
        <w:rPr>
          <w:color w:val="00B0F0"/>
          <w:sz w:val="16"/>
          <w:szCs w:val="16"/>
        </w:rPr>
        <w:t>2</w:t>
      </w:r>
      <w:r w:rsidRPr="007F0661">
        <w:rPr>
          <w:color w:val="00B0F0"/>
          <w:sz w:val="16"/>
          <w:szCs w:val="16"/>
        </w:rPr>
        <w:t>, ΥΠΟΙΚ, Οκτώβριος 20</w:t>
      </w:r>
      <w:r>
        <w:rPr>
          <w:color w:val="00B0F0"/>
          <w:sz w:val="16"/>
          <w:szCs w:val="16"/>
        </w:rPr>
        <w:t>2</w:t>
      </w:r>
      <w:r w:rsidRPr="00FB7AA1">
        <w:rPr>
          <w:color w:val="00B0F0"/>
          <w:sz w:val="16"/>
          <w:szCs w:val="16"/>
        </w:rPr>
        <w:t>1</w:t>
      </w:r>
      <w:r>
        <w:rPr>
          <w:color w:val="00B0F0"/>
          <w:sz w:val="16"/>
          <w:szCs w:val="16"/>
        </w:rPr>
        <w:t>.</w:t>
      </w:r>
      <w:r w:rsidRPr="00452612">
        <w:rPr>
          <w:color w:val="00B0F0"/>
          <w:sz w:val="16"/>
          <w:szCs w:val="16"/>
        </w:rPr>
        <w:t xml:space="preserve"> </w:t>
      </w:r>
      <w:r w:rsidRPr="00E27CCA">
        <w:rPr>
          <w:b/>
          <w:color w:val="00B0F0"/>
          <w:sz w:val="16"/>
          <w:szCs w:val="16"/>
        </w:rPr>
        <w:t>2</w:t>
      </w:r>
      <w:r w:rsidRPr="00A83CBD">
        <w:rPr>
          <w:color w:val="00B0F0"/>
          <w:sz w:val="16"/>
          <w:szCs w:val="16"/>
        </w:rPr>
        <w:t>.</w:t>
      </w:r>
      <w:r>
        <w:rPr>
          <w:color w:val="00B0F0"/>
          <w:sz w:val="16"/>
          <w:szCs w:val="16"/>
        </w:rPr>
        <w:t xml:space="preserve"> </w:t>
      </w:r>
      <w:r w:rsidRPr="009F275B">
        <w:rPr>
          <w:color w:val="00B0F0"/>
          <w:sz w:val="16"/>
          <w:szCs w:val="16"/>
        </w:rPr>
        <w:t xml:space="preserve">ΕΔΣ, </w:t>
      </w:r>
      <w:r>
        <w:rPr>
          <w:color w:val="00B0F0"/>
          <w:sz w:val="16"/>
          <w:szCs w:val="16"/>
        </w:rPr>
        <w:t>Εσωτερικές προβλέψεις, Σεπτ. 2021</w:t>
      </w:r>
      <w:r w:rsidRPr="009F275B">
        <w:rPr>
          <w:color w:val="00B0F0"/>
          <w:sz w:val="16"/>
          <w:szCs w:val="16"/>
        </w:rPr>
        <w:t xml:space="preserve">. </w:t>
      </w:r>
      <w:r w:rsidRPr="00E27CCA">
        <w:rPr>
          <w:b/>
          <w:color w:val="00B0F0"/>
          <w:sz w:val="16"/>
          <w:szCs w:val="16"/>
        </w:rPr>
        <w:t>3</w:t>
      </w:r>
      <w:r w:rsidRPr="009F275B">
        <w:rPr>
          <w:color w:val="00B0F0"/>
          <w:sz w:val="16"/>
          <w:szCs w:val="16"/>
        </w:rPr>
        <w:t xml:space="preserve">. ΚΕΠΕ, </w:t>
      </w:r>
      <w:r>
        <w:rPr>
          <w:color w:val="00B0F0"/>
          <w:sz w:val="16"/>
          <w:szCs w:val="16"/>
        </w:rPr>
        <w:t>Οικονομικές Εξελίξεις</w:t>
      </w:r>
      <w:r w:rsidRPr="009F275B">
        <w:rPr>
          <w:color w:val="00B0F0"/>
          <w:sz w:val="16"/>
          <w:szCs w:val="16"/>
        </w:rPr>
        <w:t xml:space="preserve">, </w:t>
      </w:r>
      <w:r>
        <w:rPr>
          <w:color w:val="00B0F0"/>
          <w:sz w:val="16"/>
          <w:szCs w:val="16"/>
        </w:rPr>
        <w:t>τεύχος 46, Οκτώβριος 2021, σσ. 20-22.</w:t>
      </w:r>
      <w:r w:rsidRPr="009F275B">
        <w:rPr>
          <w:color w:val="00B0F0"/>
          <w:sz w:val="16"/>
          <w:szCs w:val="16"/>
        </w:rPr>
        <w:t xml:space="preserve"> </w:t>
      </w:r>
      <w:r w:rsidRPr="00E27CCA">
        <w:rPr>
          <w:b/>
          <w:color w:val="00B0F0"/>
          <w:sz w:val="16"/>
          <w:szCs w:val="16"/>
        </w:rPr>
        <w:t>4</w:t>
      </w:r>
      <w:r w:rsidRPr="009F275B">
        <w:rPr>
          <w:color w:val="00B0F0"/>
          <w:sz w:val="16"/>
          <w:szCs w:val="16"/>
        </w:rPr>
        <w:t xml:space="preserve">. ΙΟΒΕ, «Η ελληνική οικονομία», </w:t>
      </w:r>
      <w:r>
        <w:rPr>
          <w:color w:val="00B0F0"/>
          <w:sz w:val="16"/>
          <w:szCs w:val="16"/>
        </w:rPr>
        <w:t>Τριμηνιαία Έκθεση, Τεύχος 3/2021</w:t>
      </w:r>
      <w:r w:rsidRPr="009F275B">
        <w:rPr>
          <w:color w:val="00B0F0"/>
          <w:sz w:val="16"/>
          <w:szCs w:val="16"/>
        </w:rPr>
        <w:t xml:space="preserve">. </w:t>
      </w:r>
      <w:r w:rsidRPr="00E27CCA">
        <w:rPr>
          <w:b/>
          <w:color w:val="00B0F0"/>
          <w:sz w:val="16"/>
          <w:szCs w:val="16"/>
        </w:rPr>
        <w:t>5</w:t>
      </w:r>
      <w:r w:rsidRPr="009F275B">
        <w:rPr>
          <w:color w:val="00B0F0"/>
          <w:sz w:val="16"/>
          <w:szCs w:val="16"/>
        </w:rPr>
        <w:t>. Τράπεζα της Ελλάδος, Νομισματική Πολιτική 20</w:t>
      </w:r>
      <w:r>
        <w:rPr>
          <w:color w:val="00B0F0"/>
          <w:sz w:val="16"/>
          <w:szCs w:val="16"/>
        </w:rPr>
        <w:t>21</w:t>
      </w:r>
      <w:r w:rsidRPr="009F275B">
        <w:rPr>
          <w:color w:val="00B0F0"/>
          <w:sz w:val="16"/>
          <w:szCs w:val="16"/>
        </w:rPr>
        <w:t>-202</w:t>
      </w:r>
      <w:r>
        <w:rPr>
          <w:color w:val="00B0F0"/>
          <w:sz w:val="16"/>
          <w:szCs w:val="16"/>
        </w:rPr>
        <w:t>2</w:t>
      </w:r>
      <w:r w:rsidRPr="009F275B">
        <w:rPr>
          <w:color w:val="00B0F0"/>
          <w:sz w:val="16"/>
          <w:szCs w:val="16"/>
        </w:rPr>
        <w:t>, Ιούνιος 202</w:t>
      </w:r>
      <w:r>
        <w:rPr>
          <w:color w:val="00B0F0"/>
          <w:sz w:val="16"/>
          <w:szCs w:val="16"/>
        </w:rPr>
        <w:t>1</w:t>
      </w:r>
      <w:r w:rsidRPr="009F275B">
        <w:rPr>
          <w:color w:val="00B0F0"/>
          <w:sz w:val="16"/>
          <w:szCs w:val="16"/>
        </w:rPr>
        <w:t xml:space="preserve">. </w:t>
      </w:r>
      <w:r w:rsidRPr="00DB2819">
        <w:rPr>
          <w:b/>
          <w:color w:val="00B0F0"/>
          <w:sz w:val="16"/>
          <w:szCs w:val="16"/>
          <w:lang w:val="en-US"/>
        </w:rPr>
        <w:t>6</w:t>
      </w:r>
      <w:r w:rsidRPr="00DB2819">
        <w:rPr>
          <w:color w:val="00B0F0"/>
          <w:sz w:val="16"/>
          <w:szCs w:val="16"/>
          <w:lang w:val="en-US"/>
        </w:rPr>
        <w:t xml:space="preserve">. European Commission, European Economic Forecast, autumn 2021, </w:t>
      </w:r>
      <w:r w:rsidRPr="008422D9">
        <w:rPr>
          <w:color w:val="00B0F0"/>
          <w:sz w:val="16"/>
          <w:szCs w:val="16"/>
        </w:rPr>
        <w:t>Νοέμβριος</w:t>
      </w:r>
      <w:r w:rsidRPr="00DB2819">
        <w:rPr>
          <w:color w:val="00B0F0"/>
          <w:sz w:val="16"/>
          <w:szCs w:val="16"/>
          <w:lang w:val="en-US"/>
        </w:rPr>
        <w:t xml:space="preserve"> 2021. </w:t>
      </w:r>
      <w:r w:rsidRPr="00E27CCA">
        <w:rPr>
          <w:b/>
          <w:color w:val="00B0F0"/>
          <w:sz w:val="16"/>
          <w:szCs w:val="16"/>
          <w:lang w:val="en-US"/>
        </w:rPr>
        <w:t>7</w:t>
      </w:r>
      <w:r w:rsidRPr="008422D9">
        <w:rPr>
          <w:color w:val="00B0F0"/>
          <w:sz w:val="16"/>
          <w:szCs w:val="16"/>
          <w:lang w:val="en-US"/>
        </w:rPr>
        <w:t xml:space="preserve">. IMF, World Economic Outlook: </w:t>
      </w:r>
      <w:r>
        <w:rPr>
          <w:color w:val="00B0F0"/>
          <w:sz w:val="16"/>
          <w:szCs w:val="16"/>
          <w:lang w:val="en-US"/>
        </w:rPr>
        <w:t>Recovery during a pandemic</w:t>
      </w:r>
      <w:r w:rsidRPr="008422D9">
        <w:rPr>
          <w:color w:val="00B0F0"/>
          <w:sz w:val="16"/>
          <w:szCs w:val="16"/>
          <w:lang w:val="en-US"/>
        </w:rPr>
        <w:t xml:space="preserve">, </w:t>
      </w:r>
      <w:r w:rsidRPr="008422D9">
        <w:rPr>
          <w:color w:val="00B0F0"/>
          <w:sz w:val="16"/>
          <w:szCs w:val="16"/>
        </w:rPr>
        <w:t>Οκτώβριος</w:t>
      </w:r>
      <w:r w:rsidRPr="008422D9">
        <w:rPr>
          <w:color w:val="00B0F0"/>
          <w:sz w:val="16"/>
          <w:szCs w:val="16"/>
          <w:lang w:val="en-US"/>
        </w:rPr>
        <w:t xml:space="preserve"> 202</w:t>
      </w:r>
      <w:r>
        <w:rPr>
          <w:color w:val="00B0F0"/>
          <w:sz w:val="16"/>
          <w:szCs w:val="16"/>
          <w:lang w:val="en-US"/>
        </w:rPr>
        <w:t>1</w:t>
      </w:r>
      <w:r w:rsidRPr="008422D9">
        <w:rPr>
          <w:color w:val="00B0F0"/>
          <w:sz w:val="16"/>
          <w:szCs w:val="16"/>
          <w:lang w:val="en-US"/>
        </w:rPr>
        <w:t xml:space="preserve">. </w:t>
      </w:r>
      <w:r w:rsidRPr="007F05E5">
        <w:rPr>
          <w:b/>
          <w:color w:val="00B0F0"/>
          <w:sz w:val="16"/>
          <w:szCs w:val="16"/>
          <w:lang w:val="en-US"/>
        </w:rPr>
        <w:t>8</w:t>
      </w:r>
      <w:r w:rsidRPr="007F05E5">
        <w:rPr>
          <w:color w:val="00B0F0"/>
          <w:sz w:val="16"/>
          <w:szCs w:val="16"/>
          <w:lang w:val="en-US"/>
        </w:rPr>
        <w:t xml:space="preserve">. </w:t>
      </w:r>
      <w:r w:rsidRPr="002926C2">
        <w:rPr>
          <w:color w:val="00B0F0"/>
          <w:sz w:val="16"/>
          <w:szCs w:val="16"/>
          <w:lang w:val="en-US"/>
        </w:rPr>
        <w:t>https</w:t>
      </w:r>
      <w:r w:rsidRPr="007F05E5">
        <w:rPr>
          <w:color w:val="00B0F0"/>
          <w:sz w:val="16"/>
          <w:szCs w:val="16"/>
          <w:lang w:val="en-US"/>
        </w:rPr>
        <w:t>://</w:t>
      </w:r>
      <w:r w:rsidRPr="002926C2">
        <w:rPr>
          <w:color w:val="00B0F0"/>
          <w:sz w:val="16"/>
          <w:szCs w:val="16"/>
          <w:lang w:val="en-US"/>
        </w:rPr>
        <w:t>www</w:t>
      </w:r>
      <w:r w:rsidRPr="007F05E5">
        <w:rPr>
          <w:color w:val="00B0F0"/>
          <w:sz w:val="16"/>
          <w:szCs w:val="16"/>
          <w:lang w:val="en-US"/>
        </w:rPr>
        <w:t>.</w:t>
      </w:r>
      <w:r w:rsidRPr="002926C2">
        <w:rPr>
          <w:color w:val="00B0F0"/>
          <w:sz w:val="16"/>
          <w:szCs w:val="16"/>
          <w:lang w:val="en-US"/>
        </w:rPr>
        <w:t>spratings</w:t>
      </w:r>
      <w:r w:rsidRPr="007F05E5">
        <w:rPr>
          <w:color w:val="00B0F0"/>
          <w:sz w:val="16"/>
          <w:szCs w:val="16"/>
          <w:lang w:val="en-US"/>
        </w:rPr>
        <w:t>.</w:t>
      </w:r>
      <w:r w:rsidRPr="002926C2">
        <w:rPr>
          <w:color w:val="00B0F0"/>
          <w:sz w:val="16"/>
          <w:szCs w:val="16"/>
          <w:lang w:val="en-US"/>
        </w:rPr>
        <w:t>com</w:t>
      </w:r>
      <w:r w:rsidRPr="007F05E5">
        <w:rPr>
          <w:color w:val="00B0F0"/>
          <w:sz w:val="16"/>
          <w:szCs w:val="16"/>
          <w:lang w:val="en-US"/>
        </w:rPr>
        <w:t>/</w:t>
      </w:r>
      <w:r w:rsidRPr="002926C2">
        <w:rPr>
          <w:color w:val="00B0F0"/>
          <w:sz w:val="16"/>
          <w:szCs w:val="16"/>
          <w:lang w:val="en-US"/>
        </w:rPr>
        <w:t>sri</w:t>
      </w:r>
      <w:r w:rsidRPr="007F05E5">
        <w:rPr>
          <w:color w:val="00B0F0"/>
          <w:sz w:val="16"/>
          <w:szCs w:val="16"/>
          <w:lang w:val="en-US"/>
        </w:rPr>
        <w:t>/  (</w:t>
      </w:r>
      <w:r>
        <w:rPr>
          <w:color w:val="00B0F0"/>
          <w:sz w:val="16"/>
          <w:szCs w:val="16"/>
        </w:rPr>
        <w:t>αναθεωρημένα</w:t>
      </w:r>
      <w:r w:rsidRPr="007F05E5">
        <w:rPr>
          <w:color w:val="00B0F0"/>
          <w:sz w:val="16"/>
          <w:szCs w:val="16"/>
          <w:lang w:val="en-US"/>
        </w:rPr>
        <w:t xml:space="preserve"> </w:t>
      </w:r>
      <w:r>
        <w:rPr>
          <w:color w:val="00B0F0"/>
          <w:sz w:val="16"/>
          <w:szCs w:val="16"/>
        </w:rPr>
        <w:t>έως</w:t>
      </w:r>
      <w:r w:rsidRPr="007F05E5">
        <w:rPr>
          <w:color w:val="00B0F0"/>
          <w:sz w:val="16"/>
          <w:szCs w:val="16"/>
          <w:lang w:val="en-US"/>
        </w:rPr>
        <w:t xml:space="preserve"> </w:t>
      </w:r>
      <w:r>
        <w:rPr>
          <w:color w:val="00B0F0"/>
          <w:sz w:val="16"/>
          <w:szCs w:val="16"/>
        </w:rPr>
        <w:t>τις</w:t>
      </w:r>
      <w:r w:rsidRPr="007F05E5">
        <w:rPr>
          <w:color w:val="00B0F0"/>
          <w:sz w:val="16"/>
          <w:szCs w:val="16"/>
          <w:lang w:val="en-US"/>
        </w:rPr>
        <w:t xml:space="preserve"> 8 </w:t>
      </w:r>
      <w:r>
        <w:rPr>
          <w:color w:val="00B0F0"/>
          <w:sz w:val="16"/>
          <w:szCs w:val="16"/>
        </w:rPr>
        <w:t>Οκτωβρίου</w:t>
      </w:r>
      <w:r w:rsidRPr="007F05E5">
        <w:rPr>
          <w:color w:val="00B0F0"/>
          <w:sz w:val="16"/>
          <w:szCs w:val="16"/>
          <w:lang w:val="en-US"/>
        </w:rPr>
        <w:t xml:space="preserve"> 2021). </w:t>
      </w:r>
      <w:r w:rsidRPr="007F05E5">
        <w:rPr>
          <w:b/>
          <w:color w:val="00B0F0"/>
          <w:sz w:val="16"/>
          <w:szCs w:val="16"/>
          <w:lang w:val="en-US"/>
        </w:rPr>
        <w:t>9</w:t>
      </w:r>
      <w:r w:rsidRPr="007F05E5">
        <w:rPr>
          <w:color w:val="00B0F0"/>
          <w:sz w:val="16"/>
          <w:szCs w:val="16"/>
          <w:lang w:val="en-US"/>
        </w:rPr>
        <w:t xml:space="preserve">. </w:t>
      </w:r>
      <w:r w:rsidRPr="00547163">
        <w:rPr>
          <w:color w:val="00B0F0"/>
          <w:sz w:val="16"/>
          <w:szCs w:val="16"/>
          <w:lang w:val="en-US"/>
        </w:rPr>
        <w:t>OECD</w:t>
      </w:r>
      <w:r w:rsidRPr="007F05E5">
        <w:rPr>
          <w:color w:val="00B0F0"/>
          <w:sz w:val="16"/>
          <w:szCs w:val="16"/>
          <w:lang w:val="en-US"/>
        </w:rPr>
        <w:t>, “</w:t>
      </w:r>
      <w:r w:rsidRPr="00547163">
        <w:rPr>
          <w:color w:val="00B0F0"/>
          <w:sz w:val="16"/>
          <w:szCs w:val="16"/>
          <w:lang w:val="en-US"/>
        </w:rPr>
        <w:t>Economic</w:t>
      </w:r>
      <w:r w:rsidRPr="007F05E5">
        <w:rPr>
          <w:color w:val="00B0F0"/>
          <w:sz w:val="16"/>
          <w:szCs w:val="16"/>
          <w:lang w:val="en-US"/>
        </w:rPr>
        <w:t xml:space="preserve"> </w:t>
      </w:r>
      <w:r w:rsidRPr="00547163">
        <w:rPr>
          <w:color w:val="00B0F0"/>
          <w:sz w:val="16"/>
          <w:szCs w:val="16"/>
          <w:lang w:val="en-US"/>
        </w:rPr>
        <w:t>Outlook</w:t>
      </w:r>
      <w:r w:rsidRPr="007F05E5">
        <w:rPr>
          <w:color w:val="00B0F0"/>
          <w:sz w:val="16"/>
          <w:szCs w:val="16"/>
          <w:lang w:val="en-US"/>
        </w:rPr>
        <w:t xml:space="preserve"> </w:t>
      </w:r>
      <w:r w:rsidRPr="00547163">
        <w:rPr>
          <w:color w:val="00B0F0"/>
          <w:sz w:val="16"/>
          <w:szCs w:val="16"/>
          <w:lang w:val="en-US"/>
        </w:rPr>
        <w:t>No</w:t>
      </w:r>
      <w:r w:rsidRPr="007F05E5">
        <w:rPr>
          <w:color w:val="00B0F0"/>
          <w:sz w:val="16"/>
          <w:szCs w:val="16"/>
          <w:lang w:val="en-US"/>
        </w:rPr>
        <w:t xml:space="preserve"> 109”, </w:t>
      </w:r>
      <w:r>
        <w:rPr>
          <w:color w:val="00B0F0"/>
          <w:sz w:val="16"/>
          <w:szCs w:val="16"/>
        </w:rPr>
        <w:t>Μάϊος</w:t>
      </w:r>
      <w:r w:rsidRPr="007F05E5">
        <w:rPr>
          <w:color w:val="00B0F0"/>
          <w:sz w:val="16"/>
          <w:szCs w:val="16"/>
          <w:lang w:val="en-US"/>
        </w:rPr>
        <w:t xml:space="preserve"> 2021. </w:t>
      </w:r>
      <w:r w:rsidRPr="007F05E5">
        <w:rPr>
          <w:b/>
          <w:color w:val="00B0F0"/>
          <w:sz w:val="16"/>
          <w:szCs w:val="16"/>
          <w:lang w:val="en-US"/>
        </w:rPr>
        <w:t>10</w:t>
      </w:r>
      <w:r w:rsidRPr="007F05E5">
        <w:rPr>
          <w:color w:val="00B0F0"/>
          <w:sz w:val="16"/>
          <w:szCs w:val="16"/>
          <w:lang w:val="en-US"/>
        </w:rPr>
        <w:t xml:space="preserve">. </w:t>
      </w:r>
      <w:r w:rsidRPr="009F275B">
        <w:rPr>
          <w:color w:val="00B0F0"/>
          <w:sz w:val="16"/>
          <w:szCs w:val="16"/>
        </w:rPr>
        <w:t>Ευρωπαϊκή</w:t>
      </w:r>
      <w:r w:rsidRPr="007F05E5">
        <w:rPr>
          <w:color w:val="00B0F0"/>
          <w:sz w:val="16"/>
          <w:szCs w:val="16"/>
          <w:lang w:val="en-US"/>
        </w:rPr>
        <w:t xml:space="preserve"> </w:t>
      </w:r>
      <w:r w:rsidRPr="009F275B">
        <w:rPr>
          <w:color w:val="00B0F0"/>
          <w:sz w:val="16"/>
          <w:szCs w:val="16"/>
        </w:rPr>
        <w:t>Τράπεζα</w:t>
      </w:r>
      <w:r w:rsidRPr="007F05E5">
        <w:rPr>
          <w:color w:val="00B0F0"/>
          <w:sz w:val="16"/>
          <w:szCs w:val="16"/>
          <w:lang w:val="en-US"/>
        </w:rPr>
        <w:t xml:space="preserve"> </w:t>
      </w:r>
      <w:r w:rsidRPr="009F275B">
        <w:rPr>
          <w:color w:val="00B0F0"/>
          <w:sz w:val="16"/>
          <w:szCs w:val="16"/>
        </w:rPr>
        <w:t>Ανασυγκρότησης</w:t>
      </w:r>
      <w:r w:rsidRPr="007F05E5">
        <w:rPr>
          <w:color w:val="00B0F0"/>
          <w:sz w:val="16"/>
          <w:szCs w:val="16"/>
          <w:lang w:val="en-US"/>
        </w:rPr>
        <w:t xml:space="preserve"> </w:t>
      </w:r>
      <w:r w:rsidRPr="009F275B">
        <w:rPr>
          <w:color w:val="00B0F0"/>
          <w:sz w:val="16"/>
          <w:szCs w:val="16"/>
        </w:rPr>
        <w:t>και</w:t>
      </w:r>
      <w:r w:rsidRPr="007F05E5">
        <w:rPr>
          <w:color w:val="00B0F0"/>
          <w:sz w:val="16"/>
          <w:szCs w:val="16"/>
          <w:lang w:val="en-US"/>
        </w:rPr>
        <w:t xml:space="preserve"> </w:t>
      </w:r>
      <w:r w:rsidRPr="009F275B">
        <w:rPr>
          <w:color w:val="00B0F0"/>
          <w:sz w:val="16"/>
          <w:szCs w:val="16"/>
        </w:rPr>
        <w:t>Ανάπτυξης</w:t>
      </w:r>
      <w:r w:rsidRPr="007F05E5">
        <w:rPr>
          <w:color w:val="00B0F0"/>
          <w:sz w:val="16"/>
          <w:szCs w:val="16"/>
          <w:lang w:val="en-US"/>
        </w:rPr>
        <w:t xml:space="preserve">, </w:t>
      </w:r>
      <w:r w:rsidRPr="00054549">
        <w:rPr>
          <w:color w:val="00B0F0"/>
          <w:sz w:val="16"/>
          <w:szCs w:val="16"/>
          <w:lang w:val="en-US"/>
        </w:rPr>
        <w:t>Regional</w:t>
      </w:r>
      <w:r w:rsidRPr="007F05E5">
        <w:rPr>
          <w:color w:val="00B0F0"/>
          <w:sz w:val="16"/>
          <w:szCs w:val="16"/>
          <w:lang w:val="en-US"/>
        </w:rPr>
        <w:t xml:space="preserve"> </w:t>
      </w:r>
      <w:r w:rsidRPr="00054549">
        <w:rPr>
          <w:color w:val="00B0F0"/>
          <w:sz w:val="16"/>
          <w:szCs w:val="16"/>
          <w:lang w:val="en-US"/>
        </w:rPr>
        <w:t>Economic</w:t>
      </w:r>
      <w:r w:rsidRPr="007F05E5">
        <w:rPr>
          <w:color w:val="00B0F0"/>
          <w:sz w:val="16"/>
          <w:szCs w:val="16"/>
          <w:lang w:val="en-US"/>
        </w:rPr>
        <w:t xml:space="preserve"> </w:t>
      </w:r>
      <w:r w:rsidRPr="00054549">
        <w:rPr>
          <w:color w:val="00B0F0"/>
          <w:sz w:val="16"/>
          <w:szCs w:val="16"/>
          <w:lang w:val="en-US"/>
        </w:rPr>
        <w:t>Prospects</w:t>
      </w:r>
      <w:r w:rsidRPr="007F05E5">
        <w:rPr>
          <w:color w:val="00B0F0"/>
          <w:sz w:val="16"/>
          <w:szCs w:val="16"/>
          <w:lang w:val="en-US"/>
        </w:rPr>
        <w:t xml:space="preserve"> “Bittersweet  Recovery”, </w:t>
      </w:r>
      <w:r>
        <w:rPr>
          <w:color w:val="00B0F0"/>
          <w:sz w:val="16"/>
          <w:szCs w:val="16"/>
        </w:rPr>
        <w:t>Νοέμβριος</w:t>
      </w:r>
      <w:r w:rsidRPr="007F05E5">
        <w:rPr>
          <w:color w:val="00B0F0"/>
          <w:sz w:val="16"/>
          <w:szCs w:val="16"/>
          <w:lang w:val="en-US"/>
        </w:rPr>
        <w:t xml:space="preserve"> 2021.</w:t>
      </w:r>
    </w:p>
    <w:p w14:paraId="7DF7559E" w14:textId="574C717D" w:rsidR="00375DBF" w:rsidRDefault="00375DBF" w:rsidP="00DF60E7">
      <w:pPr>
        <w:spacing w:after="0" w:line="240" w:lineRule="auto"/>
        <w:rPr>
          <w:color w:val="00B0F0"/>
          <w:sz w:val="16"/>
          <w:szCs w:val="16"/>
          <w:lang w:val="en-US"/>
        </w:rPr>
      </w:pPr>
    </w:p>
    <w:p w14:paraId="2AAABAAD" w14:textId="77777777" w:rsidR="00375DBF" w:rsidRPr="007F05E5" w:rsidRDefault="00375DBF" w:rsidP="00DF60E7">
      <w:pPr>
        <w:spacing w:after="0" w:line="240" w:lineRule="auto"/>
        <w:rPr>
          <w:color w:val="00B0F0"/>
          <w:sz w:val="16"/>
          <w:szCs w:val="16"/>
          <w:lang w:val="en-US"/>
        </w:rPr>
      </w:pPr>
    </w:p>
    <w:p w14:paraId="50487548" w14:textId="719C5733" w:rsidR="004B7FEF" w:rsidRPr="004B7FEF" w:rsidRDefault="003C3C83" w:rsidP="003C3C83">
      <w:pPr>
        <w:pStyle w:val="a1"/>
        <w:ind w:left="0"/>
        <w:rPr>
          <w:sz w:val="28"/>
          <w:szCs w:val="28"/>
        </w:rPr>
      </w:pPr>
      <w:bookmarkStart w:id="23" w:name="_Toc89172818"/>
      <w:r w:rsidRPr="003C3C83">
        <w:rPr>
          <w:sz w:val="28"/>
          <w:szCs w:val="28"/>
        </w:rPr>
        <w:lastRenderedPageBreak/>
        <w:t>Ακαθάριστη προστιθέμενη αξία κλάδων παραγωγής</w:t>
      </w:r>
      <w:bookmarkEnd w:id="23"/>
      <w:r w:rsidR="004B7FEF" w:rsidRPr="004B7FEF">
        <w:rPr>
          <w:sz w:val="28"/>
          <w:szCs w:val="28"/>
        </w:rPr>
        <w:tab/>
      </w:r>
    </w:p>
    <w:p w14:paraId="2A9F2DC9" w14:textId="789617BB" w:rsidR="00B6340D" w:rsidRPr="00B6340D" w:rsidRDefault="00B6340D" w:rsidP="00B6340D">
      <w:pPr>
        <w:rPr>
          <w:color w:val="auto"/>
        </w:rPr>
      </w:pPr>
      <w:r w:rsidRPr="00B6340D">
        <w:rPr>
          <w:color w:val="auto"/>
        </w:rPr>
        <w:t xml:space="preserve">Αναφορικά με την εξέλιξη της ακαθάριστης αξίας παραγωγής (ΑΠΑ) των επιμέρους κλάδων οικονομικής δραστηριότητας, τα τελευταία διαθέσιμα στοιχεία επιβεβαιώνουν την ισχυρή </w:t>
      </w:r>
      <w:r w:rsidR="00375DBF">
        <w:rPr>
          <w:color w:val="auto"/>
        </w:rPr>
        <w:t>άνοδο</w:t>
      </w:r>
      <w:r w:rsidRPr="00B6340D">
        <w:rPr>
          <w:color w:val="auto"/>
        </w:rPr>
        <w:t xml:space="preserve"> μετά τη βαθιά περυσινή ύφεση. Ειδικότερα, στο σύνολο της οικονομίας η προστιθέμενη αξία παραγωγής αυξήθηκε κατά 6% το α’ εξάμηνο του 2021</w:t>
      </w:r>
      <w:r>
        <w:rPr>
          <w:color w:val="auto"/>
        </w:rPr>
        <w:t xml:space="preserve"> (</w:t>
      </w:r>
      <w:r>
        <w:rPr>
          <w:color w:val="auto"/>
        </w:rPr>
        <w:fldChar w:fldCharType="begin"/>
      </w:r>
      <w:r>
        <w:rPr>
          <w:color w:val="auto"/>
        </w:rPr>
        <w:instrText xml:space="preserve"> REF _Ref87726209 \h </w:instrText>
      </w:r>
      <w:r>
        <w:rPr>
          <w:color w:val="auto"/>
        </w:rPr>
      </w:r>
      <w:r>
        <w:rPr>
          <w:color w:val="auto"/>
        </w:rPr>
        <w:fldChar w:fldCharType="separate"/>
      </w:r>
      <w:r w:rsidR="0038196B" w:rsidRPr="00375DBF">
        <w:rPr>
          <w:b/>
          <w:bCs/>
          <w:sz w:val="20"/>
          <w:szCs w:val="20"/>
        </w:rPr>
        <w:t xml:space="preserve">Διάγραμμα </w:t>
      </w:r>
      <w:r w:rsidR="0038196B">
        <w:rPr>
          <w:b/>
          <w:bCs/>
          <w:noProof/>
          <w:sz w:val="20"/>
          <w:szCs w:val="20"/>
        </w:rPr>
        <w:t>3</w:t>
      </w:r>
      <w:r>
        <w:rPr>
          <w:color w:val="auto"/>
        </w:rPr>
        <w:fldChar w:fldCharType="end"/>
      </w:r>
      <w:r>
        <w:rPr>
          <w:color w:val="auto"/>
        </w:rPr>
        <w:t>)</w:t>
      </w:r>
      <w:r w:rsidRPr="00B6340D">
        <w:rPr>
          <w:color w:val="auto"/>
        </w:rPr>
        <w:t xml:space="preserve">, </w:t>
      </w:r>
      <w:r w:rsidR="00375DBF" w:rsidRPr="00375DBF">
        <w:rPr>
          <w:color w:val="auto"/>
        </w:rPr>
        <w:t xml:space="preserve">στοιχείο που οφείλεται κατά κύριο λόγο σε σημαντική αύξηση του όγκου παραγωγής στον κλάδο «εμπόριο, μεταφορές, διαμονή &amp; εστίαση κλπ» που αποτελεί και τον σημαντικότερο κλάδο της ελληνικής οικονομίας. Στην αύξηση αυτή  αποτυπώνεται η επανεκκίνηση  του τουρισμού. Η επανεκκίνηση της ελληνικής οικονομίας συνεχίζει να υπολείπεται ελάχιστα σε ένταση από τον αντίστοιχο μέσο όρο της Ευρωζώνης, ωστόσο σε επίπεδο έτους, η απόκλιση αυτή ενδεχομένως να καλυφθεί (ίσως και να αντιστραφεί) μόλις συμπεριληφθούν και τα στοιχεία του τρίτου τριμήνου του 2021 στο οποίο εκτείνεται  το μεγαλύτερο μέρος της τουριστικής περιόδου. Από την άλλη πλευρά, σε ορισμένους κλάδους παρατηρείται μια υστέρηση ανάκαμψης που ενδεχομένως να διατηρηθεί και στο σύνολο του έτους. Ειδικότερα, ο κλάδος των τραπεζικών και ασφαλιστικών δραστηριοτήτων συνεχίζει να συρρικνώνεται (-4%) μολονότι σε επίπεδο ευρωζώνης έχει μπει σε διαδικασία ανάκαμψης (+3,1%). Μεγάλη επιδείνωση πάντως καταγράφεται και στον κλάδο του Πολιτισμού ο οποίος τόσο στη χώρα </w:t>
      </w:r>
      <w:r w:rsidR="00375DBF">
        <w:rPr>
          <w:color w:val="auto"/>
        </w:rPr>
        <w:t xml:space="preserve">μας </w:t>
      </w:r>
      <w:r w:rsidR="00375DBF" w:rsidRPr="00375DBF">
        <w:rPr>
          <w:color w:val="auto"/>
        </w:rPr>
        <w:t>όσο και στην Ευρωζώνη συνεχίζει να συρρικνώνεται</w:t>
      </w:r>
      <w:r w:rsidRPr="00B6340D">
        <w:rPr>
          <w:color w:val="auto"/>
        </w:rPr>
        <w:t>.</w:t>
      </w:r>
    </w:p>
    <w:p w14:paraId="37AC481E" w14:textId="1FF0CE22" w:rsidR="00B6340D" w:rsidRPr="00F87DDD" w:rsidRDefault="00B6340D" w:rsidP="00B6340D">
      <w:pPr>
        <w:pStyle w:val="ad"/>
        <w:spacing w:after="0"/>
        <w:rPr>
          <w:sz w:val="20"/>
          <w:szCs w:val="20"/>
        </w:rPr>
      </w:pPr>
      <w:bookmarkStart w:id="24" w:name="_Ref87726209"/>
      <w:bookmarkStart w:id="25" w:name="_Toc89172865"/>
      <w:r w:rsidRPr="00375DBF">
        <w:rPr>
          <w:b/>
          <w:bCs/>
          <w:sz w:val="20"/>
          <w:szCs w:val="20"/>
        </w:rPr>
        <w:t xml:space="preserve">Διάγραμμα </w:t>
      </w:r>
      <w:r w:rsidRPr="00375DBF">
        <w:rPr>
          <w:b/>
          <w:bCs/>
          <w:sz w:val="20"/>
          <w:szCs w:val="20"/>
        </w:rPr>
        <w:fldChar w:fldCharType="begin"/>
      </w:r>
      <w:r w:rsidRPr="00375DBF">
        <w:rPr>
          <w:b/>
          <w:bCs/>
          <w:sz w:val="20"/>
          <w:szCs w:val="20"/>
        </w:rPr>
        <w:instrText xml:space="preserve"> SEQ Διάγραμμα \* ARABIC </w:instrText>
      </w:r>
      <w:r w:rsidRPr="00375DBF">
        <w:rPr>
          <w:b/>
          <w:bCs/>
          <w:sz w:val="20"/>
          <w:szCs w:val="20"/>
        </w:rPr>
        <w:fldChar w:fldCharType="separate"/>
      </w:r>
      <w:r w:rsidR="0038196B">
        <w:rPr>
          <w:b/>
          <w:bCs/>
          <w:noProof/>
          <w:sz w:val="20"/>
          <w:szCs w:val="20"/>
        </w:rPr>
        <w:t>3</w:t>
      </w:r>
      <w:r w:rsidRPr="00375DBF">
        <w:rPr>
          <w:b/>
          <w:bCs/>
          <w:sz w:val="20"/>
          <w:szCs w:val="20"/>
        </w:rPr>
        <w:fldChar w:fldCharType="end"/>
      </w:r>
      <w:bookmarkEnd w:id="24"/>
      <w:r w:rsidRPr="00375DBF">
        <w:rPr>
          <w:b/>
          <w:bCs/>
          <w:sz w:val="20"/>
          <w:szCs w:val="20"/>
        </w:rPr>
        <w:t>:</w:t>
      </w:r>
      <w:r w:rsidRPr="00375DBF">
        <w:rPr>
          <w:b/>
          <w:sz w:val="20"/>
          <w:szCs w:val="20"/>
        </w:rPr>
        <w:t xml:space="preserve"> </w:t>
      </w:r>
      <w:r w:rsidRPr="00375DBF">
        <w:rPr>
          <w:color w:val="00A3E0"/>
          <w:sz w:val="20"/>
          <w:szCs w:val="20"/>
        </w:rPr>
        <w:t>Ποσοστιαία</w:t>
      </w:r>
      <w:r>
        <w:rPr>
          <w:color w:val="00A3E0"/>
          <w:sz w:val="20"/>
          <w:szCs w:val="20"/>
        </w:rPr>
        <w:t xml:space="preserve"> μεταβολή της ακαθάριστης προστιθέμενης αξίας των επιμέρους κλάδων, Ελλάδα &amp; Ευρωζώνη (2020 Α’ εξάμηνο – 2021 Α’ εξάμηνο) –</w:t>
      </w:r>
      <w:bookmarkEnd w:id="25"/>
      <w:r>
        <w:rPr>
          <w:color w:val="00A3E0"/>
          <w:sz w:val="20"/>
          <w:szCs w:val="20"/>
        </w:rPr>
        <w:t xml:space="preserve"> </w:t>
      </w:r>
    </w:p>
    <w:p w14:paraId="67578767" w14:textId="77777777" w:rsidR="00B6340D" w:rsidRDefault="00B6340D" w:rsidP="00B6340D">
      <w:pPr>
        <w:spacing w:after="0"/>
        <w:jc w:val="center"/>
      </w:pPr>
      <w:r>
        <w:rPr>
          <w:noProof/>
          <w:lang w:eastAsia="el-GR"/>
        </w:rPr>
        <w:drawing>
          <wp:inline distT="0" distB="0" distL="0" distR="0" wp14:anchorId="49DD841E" wp14:editId="5DFC3F0C">
            <wp:extent cx="5353050" cy="2771775"/>
            <wp:effectExtent l="0" t="0" r="0" b="9525"/>
            <wp:docPr id="7" name="Γράφημα 7">
              <a:extLst xmlns:a="http://schemas.openxmlformats.org/drawingml/2006/main">
                <a:ext uri="{FF2B5EF4-FFF2-40B4-BE49-F238E27FC236}">
                  <a16:creationId xmlns:a16="http://schemas.microsoft.com/office/drawing/2014/main" id="{72AB2344-0196-4C39-94B9-79244087E0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3F278D3" w14:textId="3FEB8A0C" w:rsidR="00B6340D" w:rsidRDefault="00B6340D" w:rsidP="00B6340D">
      <w:pPr>
        <w:spacing w:after="0" w:line="259" w:lineRule="auto"/>
        <w:jc w:val="left"/>
      </w:pPr>
      <w:r w:rsidRPr="00F87DDD">
        <w:rPr>
          <w:b/>
          <w:sz w:val="16"/>
          <w:szCs w:val="16"/>
        </w:rPr>
        <w:t>Πηγή:</w:t>
      </w:r>
      <w:r w:rsidRPr="00F87DDD">
        <w:rPr>
          <w:i/>
          <w:sz w:val="16"/>
          <w:szCs w:val="16"/>
        </w:rPr>
        <w:t xml:space="preserve"> </w:t>
      </w:r>
      <w:r>
        <w:rPr>
          <w:i/>
          <w:color w:val="00A3E0"/>
          <w:sz w:val="16"/>
          <w:szCs w:val="16"/>
        </w:rPr>
        <w:t xml:space="preserve">Επεξεργασία στοιχείων </w:t>
      </w:r>
      <w:r w:rsidRPr="00307A71">
        <w:rPr>
          <w:i/>
          <w:color w:val="00A3E0"/>
          <w:sz w:val="16"/>
          <w:szCs w:val="16"/>
        </w:rPr>
        <w:t>EUROSTAT</w:t>
      </w:r>
      <w:r>
        <w:rPr>
          <w:color w:val="00A3E0"/>
          <w:sz w:val="20"/>
          <w:szCs w:val="20"/>
        </w:rPr>
        <w:t xml:space="preserve"> </w:t>
      </w:r>
      <w:r w:rsidR="003641E0" w:rsidRPr="003641E0">
        <w:rPr>
          <w:i/>
          <w:color w:val="00A3E0"/>
          <w:sz w:val="16"/>
          <w:szCs w:val="16"/>
        </w:rPr>
        <w:t>(Αλυσωτοί</w:t>
      </w:r>
      <w:r w:rsidRPr="003641E0">
        <w:rPr>
          <w:i/>
          <w:color w:val="00A3E0"/>
          <w:sz w:val="16"/>
          <w:szCs w:val="16"/>
        </w:rPr>
        <w:t xml:space="preserve"> δείκτες όγκου 2015</w:t>
      </w:r>
      <w:r w:rsidR="003641E0" w:rsidRPr="003641E0">
        <w:rPr>
          <w:i/>
          <w:color w:val="00A3E0"/>
          <w:sz w:val="16"/>
          <w:szCs w:val="16"/>
        </w:rPr>
        <w:t>)</w:t>
      </w:r>
      <w:r>
        <w:rPr>
          <w:color w:val="00A3E0"/>
          <w:sz w:val="20"/>
          <w:szCs w:val="20"/>
        </w:rPr>
        <w:t xml:space="preserve">  </w:t>
      </w:r>
    </w:p>
    <w:p w14:paraId="5015445A" w14:textId="77777777" w:rsidR="00B6340D" w:rsidRDefault="00B6340D" w:rsidP="00B6340D"/>
    <w:p w14:paraId="09EF30CF" w14:textId="77777777" w:rsidR="0038196B" w:rsidRDefault="00B6340D" w:rsidP="00E40E40">
      <w:pPr>
        <w:pStyle w:val="ad"/>
        <w:spacing w:after="0"/>
        <w:rPr>
          <w:b/>
          <w:bCs/>
        </w:rPr>
      </w:pPr>
      <w:r w:rsidRPr="00B6340D">
        <w:rPr>
          <w:color w:val="auto"/>
        </w:rPr>
        <w:t>Στο</w:t>
      </w:r>
      <w:r w:rsidR="00E40E40">
        <w:rPr>
          <w:color w:val="auto"/>
        </w:rPr>
        <w:t xml:space="preserve"> </w:t>
      </w:r>
      <w:r w:rsidR="00E40E40">
        <w:rPr>
          <w:color w:val="auto"/>
        </w:rPr>
        <w:fldChar w:fldCharType="begin"/>
      </w:r>
      <w:r w:rsidR="00E40E40">
        <w:rPr>
          <w:color w:val="auto"/>
        </w:rPr>
        <w:instrText xml:space="preserve"> REF _Ref87726818 \h </w:instrText>
      </w:r>
      <w:r w:rsidR="00E40E40">
        <w:rPr>
          <w:color w:val="auto"/>
        </w:rPr>
      </w:r>
      <w:r w:rsidR="00E40E40">
        <w:rPr>
          <w:color w:val="auto"/>
        </w:rPr>
        <w:fldChar w:fldCharType="separate"/>
      </w:r>
    </w:p>
    <w:p w14:paraId="38301D49" w14:textId="77777777" w:rsidR="0038196B" w:rsidRDefault="0038196B" w:rsidP="00E40E40">
      <w:pPr>
        <w:pStyle w:val="ad"/>
        <w:spacing w:after="0"/>
        <w:rPr>
          <w:b/>
          <w:bCs/>
        </w:rPr>
      </w:pPr>
    </w:p>
    <w:p w14:paraId="683F75AB" w14:textId="41F05653" w:rsidR="00E40E40" w:rsidRPr="00E16B28" w:rsidRDefault="0038196B" w:rsidP="00B6340D">
      <w:pPr>
        <w:rPr>
          <w:color w:val="auto"/>
        </w:rPr>
      </w:pPr>
      <w:r w:rsidRPr="00F87DDD">
        <w:rPr>
          <w:b/>
          <w:bCs/>
        </w:rPr>
        <w:t xml:space="preserve">Διάγραμμα </w:t>
      </w:r>
      <w:r>
        <w:rPr>
          <w:b/>
          <w:bCs/>
          <w:noProof/>
        </w:rPr>
        <w:t>4</w:t>
      </w:r>
      <w:r w:rsidR="00E40E40">
        <w:rPr>
          <w:color w:val="auto"/>
        </w:rPr>
        <w:fldChar w:fldCharType="end"/>
      </w:r>
      <w:r w:rsidR="00B6340D" w:rsidRPr="00B6340D">
        <w:rPr>
          <w:color w:val="auto"/>
        </w:rPr>
        <w:t xml:space="preserve"> </w:t>
      </w:r>
      <w:r w:rsidR="00375DBF" w:rsidRPr="00375DBF">
        <w:rPr>
          <w:color w:val="auto"/>
        </w:rPr>
        <w:t xml:space="preserve">απεικονίζεται η μεταβολή της ακαθάριστης προστιθέμενης αξίας ανά κλάδο σε σχέση με το α’ εξάμηνο του 2019 και κατά συνέπεια ο βαθμός ανάκαμψης σε σχέση με τα προ της κρίσης επίπεδα. Η ελληνική οικονομία μολονότι δεν έχει καλύψει, όπως προαναφέρθηκε, το σύνολο του χαμένου εδάφους, πετυχαίνει καλύτερες επιδόσεις σε σχέση με τον μέσο όρο της ευρωζώνης. Η ενσωμάτωση των </w:t>
      </w:r>
      <w:r w:rsidR="00375DBF" w:rsidRPr="00375DBF">
        <w:rPr>
          <w:color w:val="auto"/>
        </w:rPr>
        <w:lastRenderedPageBreak/>
        <w:t>στοιχείων του τρίτου τριμήνου κατά πάσα πιθανότητα θα βελτιώσει περαιτέρω αυτή τη θετική εικόνα. Σημειώνεται πως οι κλάδοι «τεχνών και πολιτισμού», «λιανικού εμπορίου, εστίασης, καταλυμάτων κλπ» και «τραπεζικών και ασφαλιστικών δραστηριοτήτων κλπ», εξακολουθούν να υπολείπονται από τα προ κρίσης επίπεδα κατά 30,6%, 13,6% και 12% αντίστοιχα. Οι αποκλίσεις αυτές μπορούν να αποτελέσουν έναν δείκτη για την ανάγκη να διατηρηθούν μέτρα στήριξης των επιχειρήσεων και των εργαζόμενων ανά κλάδο</w:t>
      </w:r>
      <w:r w:rsidR="00E16B28" w:rsidRPr="00B6340D">
        <w:rPr>
          <w:color w:val="auto"/>
        </w:rPr>
        <w:t>.</w:t>
      </w:r>
    </w:p>
    <w:p w14:paraId="6BD44D97" w14:textId="77777777" w:rsidR="00E16B28" w:rsidRDefault="00E16B28" w:rsidP="00E40E40">
      <w:pPr>
        <w:pStyle w:val="ad"/>
        <w:spacing w:after="0"/>
        <w:rPr>
          <w:b/>
          <w:bCs/>
        </w:rPr>
      </w:pPr>
      <w:bookmarkStart w:id="26" w:name="_Ref87726818"/>
    </w:p>
    <w:p w14:paraId="4485BE72" w14:textId="77777777" w:rsidR="00E16B28" w:rsidRDefault="00E16B28" w:rsidP="00E40E40">
      <w:pPr>
        <w:pStyle w:val="ad"/>
        <w:spacing w:after="0"/>
        <w:rPr>
          <w:b/>
          <w:bCs/>
        </w:rPr>
      </w:pPr>
    </w:p>
    <w:p w14:paraId="14F8329E" w14:textId="7F9BA784" w:rsidR="00E40E40" w:rsidRPr="00E11250" w:rsidRDefault="00E40E40" w:rsidP="00E40E40">
      <w:pPr>
        <w:pStyle w:val="ad"/>
        <w:spacing w:after="0"/>
        <w:rPr>
          <w:sz w:val="20"/>
          <w:szCs w:val="20"/>
        </w:rPr>
      </w:pPr>
      <w:bookmarkStart w:id="27" w:name="_Toc89172866"/>
      <w:r w:rsidRPr="00F87DDD">
        <w:rPr>
          <w:b/>
          <w:bCs/>
        </w:rPr>
        <w:t xml:space="preserve">Διάγραμμα </w:t>
      </w:r>
      <w:r w:rsidRPr="00F87DDD">
        <w:rPr>
          <w:b/>
          <w:bCs/>
        </w:rPr>
        <w:fldChar w:fldCharType="begin"/>
      </w:r>
      <w:r w:rsidRPr="00F87DDD">
        <w:rPr>
          <w:b/>
          <w:bCs/>
        </w:rPr>
        <w:instrText xml:space="preserve"> SEQ Διάγραμμα \* ARABIC </w:instrText>
      </w:r>
      <w:r w:rsidRPr="00F87DDD">
        <w:rPr>
          <w:b/>
          <w:bCs/>
        </w:rPr>
        <w:fldChar w:fldCharType="separate"/>
      </w:r>
      <w:r w:rsidR="0038196B">
        <w:rPr>
          <w:b/>
          <w:bCs/>
          <w:noProof/>
        </w:rPr>
        <w:t>4</w:t>
      </w:r>
      <w:r w:rsidRPr="00F87DDD">
        <w:rPr>
          <w:b/>
          <w:bCs/>
        </w:rPr>
        <w:fldChar w:fldCharType="end"/>
      </w:r>
      <w:bookmarkEnd w:id="26"/>
      <w:r w:rsidRPr="00F87DDD">
        <w:rPr>
          <w:b/>
          <w:bCs/>
          <w:sz w:val="20"/>
          <w:szCs w:val="20"/>
        </w:rPr>
        <w:t>:</w:t>
      </w:r>
      <w:r w:rsidRPr="00F87DDD">
        <w:rPr>
          <w:b/>
          <w:sz w:val="20"/>
          <w:szCs w:val="20"/>
        </w:rPr>
        <w:t xml:space="preserve"> </w:t>
      </w:r>
      <w:r w:rsidRPr="00F87DDD">
        <w:rPr>
          <w:color w:val="00A3E0"/>
          <w:sz w:val="20"/>
          <w:szCs w:val="20"/>
        </w:rPr>
        <w:t>Π</w:t>
      </w:r>
      <w:r>
        <w:rPr>
          <w:color w:val="00A3E0"/>
          <w:sz w:val="20"/>
          <w:szCs w:val="20"/>
        </w:rPr>
        <w:t>οσοστιαία μεταβολή της ακαθάριστης προστιθέμενης αξίας των επιμέρους κλάδων, Ελλάδα &amp; Ευρωζώνη (2019 Α’ εξάμηνο – 2021 Α’ εξάμηνο)</w:t>
      </w:r>
      <w:bookmarkEnd w:id="27"/>
      <w:r>
        <w:rPr>
          <w:color w:val="00A3E0"/>
          <w:sz w:val="20"/>
          <w:szCs w:val="20"/>
        </w:rPr>
        <w:t xml:space="preserve"> </w:t>
      </w:r>
    </w:p>
    <w:p w14:paraId="10BA9C43" w14:textId="77777777" w:rsidR="00E40E40" w:rsidRPr="00F87DDD" w:rsidRDefault="00E40E40" w:rsidP="00E40E40">
      <w:pPr>
        <w:spacing w:after="0"/>
        <w:jc w:val="center"/>
      </w:pPr>
      <w:r>
        <w:rPr>
          <w:noProof/>
          <w:lang w:eastAsia="el-GR"/>
        </w:rPr>
        <w:drawing>
          <wp:inline distT="0" distB="0" distL="0" distR="0" wp14:anchorId="1DC2ED63" wp14:editId="4177C8E6">
            <wp:extent cx="5457825" cy="3257550"/>
            <wp:effectExtent l="0" t="0" r="9525" b="0"/>
            <wp:docPr id="8" name="Γράφημα 8">
              <a:extLst xmlns:a="http://schemas.openxmlformats.org/drawingml/2006/main">
                <a:ext uri="{FF2B5EF4-FFF2-40B4-BE49-F238E27FC236}">
                  <a16:creationId xmlns:a16="http://schemas.microsoft.com/office/drawing/2014/main" id="{16E8EEFD-478C-4A47-8EBE-E2E9722FDD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09670B" w14:textId="77777777" w:rsidR="00E40E40" w:rsidRPr="00F87DDD" w:rsidRDefault="00E40E40" w:rsidP="00E40E40">
      <w:pPr>
        <w:spacing w:after="0"/>
        <w:rPr>
          <w:sz w:val="16"/>
          <w:szCs w:val="16"/>
        </w:rPr>
      </w:pPr>
      <w:r w:rsidRPr="00F87DDD">
        <w:rPr>
          <w:b/>
          <w:sz w:val="16"/>
          <w:szCs w:val="16"/>
        </w:rPr>
        <w:t>Πηγή:</w:t>
      </w:r>
      <w:r w:rsidRPr="00F87DDD">
        <w:rPr>
          <w:i/>
          <w:sz w:val="16"/>
          <w:szCs w:val="16"/>
        </w:rPr>
        <w:t xml:space="preserve"> </w:t>
      </w:r>
      <w:r>
        <w:rPr>
          <w:i/>
          <w:color w:val="00A3E0"/>
          <w:sz w:val="16"/>
          <w:szCs w:val="16"/>
        </w:rPr>
        <w:t xml:space="preserve">Επεξεργασία στοιχείων </w:t>
      </w:r>
      <w:r w:rsidRPr="00307A71">
        <w:rPr>
          <w:i/>
          <w:color w:val="00A3E0"/>
          <w:sz w:val="16"/>
          <w:szCs w:val="16"/>
        </w:rPr>
        <w:t>EUROSTAT</w:t>
      </w:r>
      <w:r w:rsidRPr="00E16B28">
        <w:rPr>
          <w:i/>
          <w:color w:val="00A3E0"/>
          <w:sz w:val="16"/>
          <w:szCs w:val="16"/>
        </w:rPr>
        <w:t xml:space="preserve"> (αλυσωτοί δείκτες όγκου 2015)</w:t>
      </w:r>
    </w:p>
    <w:p w14:paraId="4875C0BC" w14:textId="77777777" w:rsidR="00E40E40" w:rsidRPr="00B6340D" w:rsidRDefault="00E40E40" w:rsidP="00B6340D">
      <w:pPr>
        <w:rPr>
          <w:color w:val="auto"/>
        </w:rPr>
      </w:pPr>
    </w:p>
    <w:p w14:paraId="54C54956" w14:textId="4D247169" w:rsidR="002A3413" w:rsidRDefault="00B6340D" w:rsidP="00B6340D">
      <w:pPr>
        <w:rPr>
          <w:color w:val="auto"/>
        </w:rPr>
      </w:pPr>
      <w:r w:rsidRPr="00B6340D">
        <w:rPr>
          <w:color w:val="auto"/>
        </w:rPr>
        <w:t>Κινητήριος δύναμη της ανάκαμψης είναι οι θετικές εξελίξεις στον πρωτογενή και στον δευτερογενή τομέα</w:t>
      </w:r>
      <w:r w:rsidR="00F27CC6">
        <w:rPr>
          <w:color w:val="auto"/>
        </w:rPr>
        <w:t>,</w:t>
      </w:r>
      <w:r w:rsidRPr="00B6340D">
        <w:rPr>
          <w:color w:val="auto"/>
        </w:rPr>
        <w:t xml:space="preserve"> όπου το σύνολο των απωλειών της κρίσης έχει ήδη αναπληρωθεί. Επισημαίνεται, πως η σημαντική επέκταση που καταγράφεται στον τομέα των </w:t>
      </w:r>
      <w:r w:rsidR="00EE6960">
        <w:rPr>
          <w:color w:val="auto"/>
        </w:rPr>
        <w:t>κ</w:t>
      </w:r>
      <w:r w:rsidRPr="00B6340D">
        <w:rPr>
          <w:color w:val="auto"/>
        </w:rPr>
        <w:t xml:space="preserve">ατασκευών (+33,2% σε σχέση με το 2019) οφείλεται περισσότερο στο γεγονός ότι ο κλάδος αυτός είχε συρρικνωθεί πολύ ήδη πριν από την εκδήλωση της </w:t>
      </w:r>
      <w:r w:rsidR="00375DBF">
        <w:rPr>
          <w:color w:val="auto"/>
        </w:rPr>
        <w:t xml:space="preserve">υγειονομικής </w:t>
      </w:r>
      <w:r w:rsidRPr="00B6340D">
        <w:rPr>
          <w:color w:val="auto"/>
        </w:rPr>
        <w:t xml:space="preserve">κρίσης. </w:t>
      </w:r>
      <w:r w:rsidR="00E16B28">
        <w:rPr>
          <w:color w:val="auto"/>
        </w:rPr>
        <w:t xml:space="preserve">Ενδεικτικό ως προς αυτό είναι ότι </w:t>
      </w:r>
      <w:r w:rsidR="00E16B28" w:rsidRPr="00B6340D">
        <w:rPr>
          <w:color w:val="auto"/>
        </w:rPr>
        <w:t xml:space="preserve">η συμμετοχή των κατασκευών περιορίζεται στο 1,9% του συνόλου της ακαθάριστης προστιθέμενης αξίας στην οικονομία </w:t>
      </w:r>
      <w:r w:rsidR="00E16B28" w:rsidRPr="00F27CC6">
        <w:rPr>
          <w:color w:val="auto"/>
        </w:rPr>
        <w:t>(</w:t>
      </w:r>
      <w:r w:rsidR="00E16B28" w:rsidRPr="00F27CC6">
        <w:rPr>
          <w:color w:val="auto"/>
        </w:rPr>
        <w:fldChar w:fldCharType="begin"/>
      </w:r>
      <w:r w:rsidR="00E16B28" w:rsidRPr="00F27CC6">
        <w:rPr>
          <w:color w:val="auto"/>
        </w:rPr>
        <w:instrText xml:space="preserve"> REF _Ref86920474 \h  \* MERGEFORMAT </w:instrText>
      </w:r>
      <w:r w:rsidR="00E16B28" w:rsidRPr="00F27CC6">
        <w:rPr>
          <w:color w:val="auto"/>
        </w:rPr>
      </w:r>
      <w:r w:rsidR="00E16B28" w:rsidRPr="00F27CC6">
        <w:rPr>
          <w:color w:val="auto"/>
        </w:rPr>
        <w:fldChar w:fldCharType="separate"/>
      </w:r>
      <w:r w:rsidR="0038196B" w:rsidRPr="0038196B">
        <w:rPr>
          <w:color w:val="auto"/>
        </w:rPr>
        <w:t>Διάγραμμα 6</w:t>
      </w:r>
      <w:r w:rsidR="00E16B28" w:rsidRPr="00F27CC6">
        <w:rPr>
          <w:color w:val="auto"/>
        </w:rPr>
        <w:fldChar w:fldCharType="end"/>
      </w:r>
      <w:r w:rsidR="00E16B28" w:rsidRPr="00F27CC6">
        <w:rPr>
          <w:color w:val="auto"/>
        </w:rPr>
        <w:t>), έναντι 4,8% στην ευρωζώνη (</w:t>
      </w:r>
      <w:r w:rsidR="00E16B28" w:rsidRPr="00F27CC6">
        <w:rPr>
          <w:color w:val="auto"/>
        </w:rPr>
        <w:fldChar w:fldCharType="begin"/>
      </w:r>
      <w:r w:rsidR="00E16B28" w:rsidRPr="00F27CC6">
        <w:rPr>
          <w:color w:val="auto"/>
        </w:rPr>
        <w:instrText xml:space="preserve"> REF _Ref86920671 \h  \* MERGEFORMAT </w:instrText>
      </w:r>
      <w:r w:rsidR="00E16B28" w:rsidRPr="00F27CC6">
        <w:rPr>
          <w:color w:val="auto"/>
        </w:rPr>
      </w:r>
      <w:r w:rsidR="00E16B28" w:rsidRPr="00F27CC6">
        <w:rPr>
          <w:color w:val="auto"/>
        </w:rPr>
        <w:fldChar w:fldCharType="separate"/>
      </w:r>
      <w:r w:rsidR="0038196B" w:rsidRPr="0038196B">
        <w:rPr>
          <w:color w:val="auto"/>
        </w:rPr>
        <w:t>Διάγραμμα 5</w:t>
      </w:r>
      <w:r w:rsidR="00E16B28" w:rsidRPr="00F27CC6">
        <w:rPr>
          <w:color w:val="auto"/>
        </w:rPr>
        <w:fldChar w:fldCharType="end"/>
      </w:r>
      <w:r w:rsidR="00E16B28" w:rsidRPr="00F27CC6">
        <w:rPr>
          <w:color w:val="auto"/>
        </w:rPr>
        <w:t xml:space="preserve">). </w:t>
      </w:r>
      <w:r w:rsidR="004215F5" w:rsidRPr="00F27CC6">
        <w:rPr>
          <w:color w:val="auto"/>
        </w:rPr>
        <w:t>Θ</w:t>
      </w:r>
      <w:r w:rsidRPr="00F27CC6">
        <w:rPr>
          <w:color w:val="auto"/>
        </w:rPr>
        <w:t>ετική</w:t>
      </w:r>
      <w:r w:rsidRPr="00B6340D">
        <w:rPr>
          <w:color w:val="auto"/>
        </w:rPr>
        <w:t xml:space="preserve"> </w:t>
      </w:r>
      <w:r w:rsidR="004215F5">
        <w:rPr>
          <w:color w:val="auto"/>
        </w:rPr>
        <w:t>εξέλιξη αποτελεί</w:t>
      </w:r>
      <w:r w:rsidRPr="00B6340D">
        <w:rPr>
          <w:color w:val="auto"/>
        </w:rPr>
        <w:t xml:space="preserve"> η ανάκτηση του χαμένου εδάφους </w:t>
      </w:r>
      <w:r w:rsidR="004215F5">
        <w:rPr>
          <w:color w:val="auto"/>
        </w:rPr>
        <w:t>στον κλάδο της</w:t>
      </w:r>
      <w:r w:rsidRPr="00B6340D">
        <w:rPr>
          <w:color w:val="auto"/>
        </w:rPr>
        <w:t xml:space="preserve"> βιομηχανία η οποία ενισχύει τη  σημασία της στο σύ</w:t>
      </w:r>
      <w:r w:rsidR="004215F5">
        <w:rPr>
          <w:color w:val="auto"/>
        </w:rPr>
        <w:t xml:space="preserve">νολο της οικονομίας, </w:t>
      </w:r>
      <w:r w:rsidRPr="00B6340D">
        <w:rPr>
          <w:color w:val="auto"/>
        </w:rPr>
        <w:t xml:space="preserve">από 14,8% της ΑΠΑ το α’ εξάμηνο του 2019 </w:t>
      </w:r>
      <w:r w:rsidR="004215F5">
        <w:rPr>
          <w:color w:val="auto"/>
        </w:rPr>
        <w:t>σε 15,9% το α’ εξάμηνο του 2021,</w:t>
      </w:r>
      <w:r w:rsidRPr="00B6340D">
        <w:rPr>
          <w:color w:val="auto"/>
        </w:rPr>
        <w:t xml:space="preserve"> αν και συνεχίζει να υπολείπεται σημαντικά από τον ευρωπαϊκό μέσο όρο</w:t>
      </w:r>
      <w:r w:rsidR="004215F5">
        <w:rPr>
          <w:color w:val="auto"/>
        </w:rPr>
        <w:t xml:space="preserve"> (20,9%)</w:t>
      </w:r>
      <w:r w:rsidRPr="00B6340D">
        <w:rPr>
          <w:color w:val="auto"/>
        </w:rPr>
        <w:t>.</w:t>
      </w:r>
    </w:p>
    <w:p w14:paraId="1E3B3EE2" w14:textId="77777777" w:rsidR="002A3413" w:rsidRDefault="002A3413">
      <w:pPr>
        <w:spacing w:after="160" w:line="0" w:lineRule="auto"/>
        <w:jc w:val="left"/>
        <w:rPr>
          <w:color w:val="auto"/>
        </w:rPr>
      </w:pPr>
      <w:r>
        <w:rPr>
          <w:color w:val="auto"/>
        </w:rPr>
        <w:br w:type="page"/>
      </w:r>
    </w:p>
    <w:p w14:paraId="0B893EAC" w14:textId="1A4FBF72" w:rsidR="00E16B28" w:rsidRPr="008C60A7" w:rsidRDefault="00E16B28" w:rsidP="00E16B28">
      <w:pPr>
        <w:pStyle w:val="ad"/>
        <w:spacing w:after="0"/>
        <w:rPr>
          <w:sz w:val="20"/>
          <w:szCs w:val="20"/>
        </w:rPr>
      </w:pPr>
      <w:bookmarkStart w:id="28" w:name="_Ref86920671"/>
      <w:bookmarkStart w:id="29" w:name="_Toc89172867"/>
      <w:r w:rsidRPr="00F87DDD">
        <w:rPr>
          <w:b/>
          <w:bCs/>
        </w:rPr>
        <w:lastRenderedPageBreak/>
        <w:t xml:space="preserve">Διάγραμμα </w:t>
      </w:r>
      <w:r w:rsidRPr="00F87DDD">
        <w:rPr>
          <w:b/>
          <w:bCs/>
        </w:rPr>
        <w:fldChar w:fldCharType="begin"/>
      </w:r>
      <w:r w:rsidRPr="00F87DDD">
        <w:rPr>
          <w:b/>
          <w:bCs/>
        </w:rPr>
        <w:instrText xml:space="preserve"> SEQ Διάγραμμα \* ARABIC </w:instrText>
      </w:r>
      <w:r w:rsidRPr="00F87DDD">
        <w:rPr>
          <w:b/>
          <w:bCs/>
        </w:rPr>
        <w:fldChar w:fldCharType="separate"/>
      </w:r>
      <w:r w:rsidR="0038196B">
        <w:rPr>
          <w:b/>
          <w:bCs/>
          <w:noProof/>
        </w:rPr>
        <w:t>5</w:t>
      </w:r>
      <w:r w:rsidRPr="00F87DDD">
        <w:rPr>
          <w:b/>
          <w:bCs/>
        </w:rPr>
        <w:fldChar w:fldCharType="end"/>
      </w:r>
      <w:bookmarkEnd w:id="28"/>
      <w:r w:rsidRPr="00F87DDD">
        <w:rPr>
          <w:b/>
          <w:bCs/>
          <w:sz w:val="20"/>
          <w:szCs w:val="20"/>
        </w:rPr>
        <w:t>:</w:t>
      </w:r>
      <w:r w:rsidRPr="00F87DDD">
        <w:rPr>
          <w:b/>
          <w:sz w:val="20"/>
          <w:szCs w:val="20"/>
        </w:rPr>
        <w:t xml:space="preserve"> </w:t>
      </w:r>
      <w:r w:rsidRPr="00F87DDD">
        <w:rPr>
          <w:color w:val="00A3E0"/>
          <w:sz w:val="20"/>
          <w:szCs w:val="20"/>
        </w:rPr>
        <w:t>Π</w:t>
      </w:r>
      <w:r>
        <w:rPr>
          <w:color w:val="00A3E0"/>
          <w:sz w:val="20"/>
          <w:szCs w:val="20"/>
        </w:rPr>
        <w:t>οσοστιαία σύνθεση ακαθάριστης προστιθέμενης αξίας των επιμέρους κλάδων, Ευρωζώνη,</w:t>
      </w:r>
      <w:bookmarkEnd w:id="29"/>
      <w:r>
        <w:rPr>
          <w:color w:val="00A3E0"/>
          <w:sz w:val="20"/>
          <w:szCs w:val="20"/>
        </w:rPr>
        <w:t xml:space="preserve">  </w:t>
      </w:r>
    </w:p>
    <w:p w14:paraId="2B361671" w14:textId="77777777" w:rsidR="00E16B28" w:rsidRDefault="00E16B28" w:rsidP="00E16B28">
      <w:pPr>
        <w:spacing w:after="0"/>
      </w:pPr>
      <w:r>
        <w:rPr>
          <w:noProof/>
          <w:lang w:eastAsia="el-GR"/>
        </w:rPr>
        <w:drawing>
          <wp:inline distT="0" distB="0" distL="0" distR="0" wp14:anchorId="66BF7B41" wp14:editId="15A30875">
            <wp:extent cx="5305425" cy="3181350"/>
            <wp:effectExtent l="0" t="0" r="9525" b="0"/>
            <wp:docPr id="3" name="Γράφημα 3">
              <a:extLst xmlns:a="http://schemas.openxmlformats.org/drawingml/2006/main">
                <a:ext uri="{FF2B5EF4-FFF2-40B4-BE49-F238E27FC236}">
                  <a16:creationId xmlns:a16="http://schemas.microsoft.com/office/drawing/2014/main" id="{5C05D4EB-1367-4822-B658-184210796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07AB3E" w14:textId="77777777" w:rsidR="00E16B28" w:rsidRPr="00F87DDD" w:rsidRDefault="00E16B28" w:rsidP="00E16B28">
      <w:pPr>
        <w:spacing w:after="0"/>
        <w:rPr>
          <w:sz w:val="16"/>
          <w:szCs w:val="16"/>
        </w:rPr>
      </w:pPr>
      <w:r w:rsidRPr="00F87DDD">
        <w:rPr>
          <w:b/>
          <w:sz w:val="16"/>
          <w:szCs w:val="16"/>
        </w:rPr>
        <w:t>Πηγή:</w:t>
      </w:r>
      <w:r w:rsidRPr="00F87DDD">
        <w:rPr>
          <w:i/>
          <w:sz w:val="16"/>
          <w:szCs w:val="16"/>
        </w:rPr>
        <w:t xml:space="preserve"> </w:t>
      </w:r>
      <w:r>
        <w:rPr>
          <w:i/>
          <w:color w:val="00A3E0"/>
          <w:sz w:val="16"/>
          <w:szCs w:val="16"/>
        </w:rPr>
        <w:t xml:space="preserve">Επεξεργασία στοιχείων </w:t>
      </w:r>
      <w:r w:rsidRPr="00307A71">
        <w:rPr>
          <w:i/>
          <w:color w:val="00A3E0"/>
          <w:sz w:val="16"/>
          <w:szCs w:val="16"/>
        </w:rPr>
        <w:t>EUROSTAT</w:t>
      </w:r>
      <w:r w:rsidRPr="00B9694D">
        <w:rPr>
          <w:color w:val="00A3E0"/>
          <w:sz w:val="20"/>
          <w:szCs w:val="20"/>
        </w:rPr>
        <w:t xml:space="preserve"> </w:t>
      </w:r>
      <w:r>
        <w:rPr>
          <w:color w:val="00A3E0"/>
          <w:sz w:val="20"/>
          <w:szCs w:val="20"/>
        </w:rPr>
        <w:t xml:space="preserve"> (αλυσωτοί δείκτες όγκου 2015)</w:t>
      </w:r>
    </w:p>
    <w:p w14:paraId="22413A39" w14:textId="77777777" w:rsidR="00E16B28" w:rsidRDefault="00E16B28" w:rsidP="00E16B28"/>
    <w:p w14:paraId="3B63683C" w14:textId="24E7ACD7" w:rsidR="00E16B28" w:rsidRPr="008C60A7" w:rsidRDefault="00E16B28" w:rsidP="00E16B28">
      <w:pPr>
        <w:pStyle w:val="ad"/>
        <w:spacing w:after="0"/>
        <w:rPr>
          <w:sz w:val="20"/>
          <w:szCs w:val="20"/>
        </w:rPr>
      </w:pPr>
      <w:bookmarkStart w:id="30" w:name="_Ref86920474"/>
      <w:bookmarkStart w:id="31" w:name="_Toc89172868"/>
      <w:r w:rsidRPr="00F87DDD">
        <w:rPr>
          <w:b/>
          <w:bCs/>
        </w:rPr>
        <w:t xml:space="preserve">Διάγραμμα </w:t>
      </w:r>
      <w:r w:rsidRPr="00F87DDD">
        <w:rPr>
          <w:b/>
          <w:bCs/>
        </w:rPr>
        <w:fldChar w:fldCharType="begin"/>
      </w:r>
      <w:r w:rsidRPr="00F87DDD">
        <w:rPr>
          <w:b/>
          <w:bCs/>
        </w:rPr>
        <w:instrText xml:space="preserve"> SEQ Διάγραμμα \* ARABIC </w:instrText>
      </w:r>
      <w:r w:rsidRPr="00F87DDD">
        <w:rPr>
          <w:b/>
          <w:bCs/>
        </w:rPr>
        <w:fldChar w:fldCharType="separate"/>
      </w:r>
      <w:r w:rsidR="0038196B">
        <w:rPr>
          <w:b/>
          <w:bCs/>
          <w:noProof/>
        </w:rPr>
        <w:t>6</w:t>
      </w:r>
      <w:r w:rsidRPr="00F87DDD">
        <w:rPr>
          <w:b/>
          <w:bCs/>
        </w:rPr>
        <w:fldChar w:fldCharType="end"/>
      </w:r>
      <w:bookmarkEnd w:id="30"/>
      <w:r w:rsidRPr="00F87DDD">
        <w:rPr>
          <w:b/>
          <w:bCs/>
          <w:sz w:val="20"/>
          <w:szCs w:val="20"/>
        </w:rPr>
        <w:t>:</w:t>
      </w:r>
      <w:r w:rsidRPr="00F87DDD">
        <w:rPr>
          <w:b/>
          <w:sz w:val="20"/>
          <w:szCs w:val="20"/>
        </w:rPr>
        <w:t xml:space="preserve"> </w:t>
      </w:r>
      <w:r w:rsidRPr="00F87DDD">
        <w:rPr>
          <w:color w:val="00A3E0"/>
          <w:sz w:val="20"/>
          <w:szCs w:val="20"/>
        </w:rPr>
        <w:t>Π</w:t>
      </w:r>
      <w:r>
        <w:rPr>
          <w:color w:val="00A3E0"/>
          <w:sz w:val="20"/>
          <w:szCs w:val="20"/>
        </w:rPr>
        <w:t>οσοστιαία σύνθεση ακαθάριστης προστιθέμενης αξίας των επιμέρους κλάδων, Ελλάδα</w:t>
      </w:r>
      <w:bookmarkEnd w:id="31"/>
      <w:r>
        <w:rPr>
          <w:color w:val="00A3E0"/>
          <w:sz w:val="20"/>
          <w:szCs w:val="20"/>
        </w:rPr>
        <w:t xml:space="preserve"> </w:t>
      </w:r>
    </w:p>
    <w:p w14:paraId="6FA2A33B" w14:textId="77777777" w:rsidR="00E16B28" w:rsidRDefault="00E16B28" w:rsidP="00E16B28">
      <w:pPr>
        <w:spacing w:after="0"/>
      </w:pPr>
      <w:r>
        <w:rPr>
          <w:noProof/>
          <w:lang w:eastAsia="el-GR"/>
        </w:rPr>
        <w:drawing>
          <wp:inline distT="0" distB="0" distL="0" distR="0" wp14:anchorId="21B4B5D4" wp14:editId="42E74F3C">
            <wp:extent cx="5343525" cy="3267075"/>
            <wp:effectExtent l="0" t="0" r="9525" b="9525"/>
            <wp:docPr id="4" name="Γράφημα 4">
              <a:extLst xmlns:a="http://schemas.openxmlformats.org/drawingml/2006/main">
                <a:ext uri="{FF2B5EF4-FFF2-40B4-BE49-F238E27FC236}">
                  <a16:creationId xmlns:a16="http://schemas.microsoft.com/office/drawing/2014/main" id="{ACE3F737-0AE8-48E2-BE86-CF31C2B867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D5CFBAE" w14:textId="77777777" w:rsidR="00E16B28" w:rsidRPr="00F87DDD" w:rsidRDefault="00E16B28" w:rsidP="00E16B28">
      <w:pPr>
        <w:spacing w:after="0"/>
        <w:rPr>
          <w:sz w:val="16"/>
          <w:szCs w:val="16"/>
        </w:rPr>
      </w:pPr>
      <w:r w:rsidRPr="00F87DDD">
        <w:rPr>
          <w:b/>
          <w:sz w:val="16"/>
          <w:szCs w:val="16"/>
        </w:rPr>
        <w:t>Πηγή:</w:t>
      </w:r>
      <w:r w:rsidRPr="00F87DDD">
        <w:rPr>
          <w:i/>
          <w:sz w:val="16"/>
          <w:szCs w:val="16"/>
        </w:rPr>
        <w:t xml:space="preserve"> </w:t>
      </w:r>
      <w:r>
        <w:rPr>
          <w:i/>
          <w:color w:val="00A3E0"/>
          <w:sz w:val="16"/>
          <w:szCs w:val="16"/>
        </w:rPr>
        <w:t xml:space="preserve">Επεξεργασία στοιχείων </w:t>
      </w:r>
      <w:r w:rsidRPr="00307A71">
        <w:rPr>
          <w:i/>
          <w:color w:val="00A3E0"/>
          <w:sz w:val="16"/>
          <w:szCs w:val="16"/>
        </w:rPr>
        <w:t>EUROSTAT</w:t>
      </w:r>
      <w:r>
        <w:rPr>
          <w:color w:val="00A3E0"/>
          <w:sz w:val="20"/>
          <w:szCs w:val="20"/>
        </w:rPr>
        <w:t>, αλυσωτοί δείκτες όγκου 2015</w:t>
      </w:r>
    </w:p>
    <w:p w14:paraId="033015C3" w14:textId="77777777" w:rsidR="00E16B28" w:rsidRPr="00542B07" w:rsidRDefault="00E16B28" w:rsidP="00E16B28">
      <w:pPr>
        <w:spacing w:after="60"/>
        <w:rPr>
          <w:color w:val="auto"/>
        </w:rPr>
      </w:pPr>
    </w:p>
    <w:p w14:paraId="245FF874" w14:textId="2A73AE84" w:rsidR="00B6340D" w:rsidRDefault="00B6340D" w:rsidP="00B6340D">
      <w:r w:rsidRPr="00B6340D">
        <w:rPr>
          <w:color w:val="auto"/>
        </w:rPr>
        <w:t xml:space="preserve">Τέλος, σε ό,τι αφορά </w:t>
      </w:r>
      <w:r w:rsidR="004215F5">
        <w:rPr>
          <w:color w:val="auto"/>
        </w:rPr>
        <w:t>σ</w:t>
      </w:r>
      <w:r w:rsidRPr="00B6340D">
        <w:rPr>
          <w:color w:val="auto"/>
        </w:rPr>
        <w:t xml:space="preserve">τα γενικά χαρακτηριστικά της δομής της οικονομίας, δηλαδή την συμμετοχή των επιμέρους κλάδων στο ΑΕΠ, είναι νωρίς ακόμα να διατυπωθεί ασφαλής εκτίμηση αναφορικά με το κατά πόσο η </w:t>
      </w:r>
      <w:r w:rsidR="004215F5">
        <w:rPr>
          <w:color w:val="auto"/>
        </w:rPr>
        <w:t>πανδημία</w:t>
      </w:r>
      <w:r w:rsidRPr="00B6340D">
        <w:rPr>
          <w:color w:val="auto"/>
        </w:rPr>
        <w:t xml:space="preserve"> θα έχει μόνιμες επιδράσεις. </w:t>
      </w:r>
      <w:r w:rsidR="00375DBF">
        <w:rPr>
          <w:color w:val="auto"/>
        </w:rPr>
        <w:t>Τέτοιου</w:t>
      </w:r>
      <w:r w:rsidRPr="00B6340D">
        <w:rPr>
          <w:color w:val="auto"/>
        </w:rPr>
        <w:t xml:space="preserve"> τύπου </w:t>
      </w:r>
      <w:r w:rsidR="00375DBF">
        <w:rPr>
          <w:color w:val="auto"/>
        </w:rPr>
        <w:t>ανακατατάξεις</w:t>
      </w:r>
      <w:r w:rsidRPr="00B6340D">
        <w:rPr>
          <w:color w:val="auto"/>
        </w:rPr>
        <w:t xml:space="preserve"> </w:t>
      </w:r>
      <w:r w:rsidR="00375DBF">
        <w:rPr>
          <w:color w:val="auto"/>
        </w:rPr>
        <w:t>παγιώνονται</w:t>
      </w:r>
      <w:r w:rsidRPr="00B6340D">
        <w:rPr>
          <w:color w:val="auto"/>
        </w:rPr>
        <w:t xml:space="preserve"> σταδιακά και σε διάστημα </w:t>
      </w:r>
      <w:r w:rsidRPr="00B6340D">
        <w:rPr>
          <w:color w:val="auto"/>
        </w:rPr>
        <w:lastRenderedPageBreak/>
        <w:t>πολλών ετών και δεν είναι δυνατόν να διαπιστωθούν σ</w:t>
      </w:r>
      <w:r w:rsidR="00F11877">
        <w:rPr>
          <w:color w:val="auto"/>
        </w:rPr>
        <w:t>τη</w:t>
      </w:r>
      <w:r w:rsidRPr="00B6340D">
        <w:rPr>
          <w:color w:val="auto"/>
        </w:rPr>
        <w:t xml:space="preserve"> διάρκεια ενός ή δύο ετών. </w:t>
      </w:r>
      <w:r w:rsidR="004215F5">
        <w:rPr>
          <w:color w:val="auto"/>
        </w:rPr>
        <w:t>Πάντως υπάρχουν ενδείξεις</w:t>
      </w:r>
      <w:r w:rsidRPr="00B6340D">
        <w:rPr>
          <w:color w:val="auto"/>
        </w:rPr>
        <w:t xml:space="preserve"> ότι τα βασικά χαρακτηριστικά της δομής της ελληνικής οικονομίας δεν έχουν μεταβληθεί. Πρόκειται για μια οικονομία στην οποία ο ρόλος </w:t>
      </w:r>
      <w:r w:rsidR="004215F5">
        <w:rPr>
          <w:color w:val="auto"/>
        </w:rPr>
        <w:t>των</w:t>
      </w:r>
      <w:r w:rsidRPr="00B6340D">
        <w:rPr>
          <w:color w:val="auto"/>
        </w:rPr>
        <w:t xml:space="preserve"> </w:t>
      </w:r>
      <w:r w:rsidR="004215F5">
        <w:rPr>
          <w:color w:val="auto"/>
        </w:rPr>
        <w:t>υπηρεσιών είναι ιδιαίτερα σημαντικός -</w:t>
      </w:r>
      <w:r w:rsidRPr="00B6340D">
        <w:rPr>
          <w:color w:val="auto"/>
        </w:rPr>
        <w:t>πολύ σημαντικότερος σε σχέση με τον μέσο όρο της Ευρωζώνης</w:t>
      </w:r>
      <w:r w:rsidR="00F11877">
        <w:rPr>
          <w:color w:val="auto"/>
        </w:rPr>
        <w:t xml:space="preserve">. Η </w:t>
      </w:r>
      <w:r w:rsidRPr="00B6340D">
        <w:rPr>
          <w:color w:val="auto"/>
        </w:rPr>
        <w:t>σημασία της βιομηχανίας είναι περιορισμένη σε σχέση με άλλες χώρες με αντίστοιχο επίπεδο ανάπτυξης, ενώ αντίστοιχα ο ρόλος του αγροτικού τομέα είναι σημαντικότερος. Ο</w:t>
      </w:r>
      <w:r w:rsidR="00F11877">
        <w:rPr>
          <w:color w:val="auto"/>
        </w:rPr>
        <w:t>ι</w:t>
      </w:r>
      <w:r w:rsidRPr="00B6340D">
        <w:rPr>
          <w:color w:val="auto"/>
        </w:rPr>
        <w:t xml:space="preserve"> κλάδοι του εμπορίου, των μεταφορών και του τουρισμού συνεχίζουν να αποτελούν τους σημαντικότερους κλάδους</w:t>
      </w:r>
      <w:r w:rsidR="004215F5">
        <w:rPr>
          <w:color w:val="auto"/>
        </w:rPr>
        <w:t xml:space="preserve"> της οικονομίας</w:t>
      </w:r>
      <w:r w:rsidRPr="00B6340D">
        <w:rPr>
          <w:color w:val="auto"/>
        </w:rPr>
        <w:t xml:space="preserve">. Η ενίσχυση της σχετικής βαρύτητας του κλάδου της μεταποίησης </w:t>
      </w:r>
      <w:r w:rsidR="002A635C">
        <w:rPr>
          <w:color w:val="auto"/>
        </w:rPr>
        <w:t>παρουσιάζει ενδιαφέρον</w:t>
      </w:r>
      <w:r w:rsidRPr="00B6340D">
        <w:rPr>
          <w:color w:val="auto"/>
        </w:rPr>
        <w:t xml:space="preserve"> αλλά </w:t>
      </w:r>
      <w:r w:rsidR="002A635C">
        <w:rPr>
          <w:color w:val="auto"/>
        </w:rPr>
        <w:t xml:space="preserve">είναι νωρίς ώστε να </w:t>
      </w:r>
      <w:r w:rsidR="00F11877">
        <w:rPr>
          <w:color w:val="auto"/>
        </w:rPr>
        <w:t>εκτιμηθεί</w:t>
      </w:r>
      <w:r w:rsidR="002A635C">
        <w:rPr>
          <w:color w:val="auto"/>
        </w:rPr>
        <w:t xml:space="preserve"> </w:t>
      </w:r>
      <w:r w:rsidRPr="00B6340D">
        <w:rPr>
          <w:color w:val="auto"/>
        </w:rPr>
        <w:t xml:space="preserve">εάν </w:t>
      </w:r>
      <w:r w:rsidR="002A635C">
        <w:rPr>
          <w:color w:val="auto"/>
        </w:rPr>
        <w:t>αυτή εξέλιξη</w:t>
      </w:r>
      <w:r w:rsidRPr="00B6340D">
        <w:rPr>
          <w:color w:val="auto"/>
        </w:rPr>
        <w:t xml:space="preserve"> θα αποτελέσει μόνιμο χαρακτηριστικό ή</w:t>
      </w:r>
      <w:r w:rsidR="002A635C">
        <w:rPr>
          <w:color w:val="auto"/>
        </w:rPr>
        <w:t xml:space="preserve"> αν</w:t>
      </w:r>
      <w:r w:rsidRPr="00B6340D">
        <w:rPr>
          <w:color w:val="auto"/>
        </w:rPr>
        <w:t xml:space="preserve"> πρόκειται να υποχωρήσει μόλις αποκατασταθεί πλήρως η λειτουργία του εμπορίου. </w:t>
      </w:r>
      <w:r>
        <w:br w:type="page"/>
      </w:r>
    </w:p>
    <w:p w14:paraId="5707AEAC" w14:textId="6CF57547" w:rsidR="003C3C83" w:rsidRPr="005A45C7" w:rsidRDefault="00F11877" w:rsidP="003C3C83">
      <w:pPr>
        <w:pStyle w:val="a0"/>
        <w:rPr>
          <w:sz w:val="32"/>
          <w:szCs w:val="32"/>
        </w:rPr>
      </w:pPr>
      <w:bookmarkStart w:id="32" w:name="_Toc89172819"/>
      <w:r>
        <w:rPr>
          <w:sz w:val="32"/>
          <w:szCs w:val="32"/>
        </w:rPr>
        <w:lastRenderedPageBreak/>
        <w:t>Άλλες</w:t>
      </w:r>
      <w:r w:rsidR="003C3C83" w:rsidRPr="003C3C83">
        <w:rPr>
          <w:sz w:val="32"/>
          <w:szCs w:val="32"/>
        </w:rPr>
        <w:t xml:space="preserve"> μακροοικονομικές εξελίξεις</w:t>
      </w:r>
      <w:bookmarkEnd w:id="32"/>
      <w:r w:rsidR="003C3C83" w:rsidRPr="003C3C83">
        <w:rPr>
          <w:sz w:val="32"/>
          <w:szCs w:val="32"/>
        </w:rPr>
        <w:t xml:space="preserve"> </w:t>
      </w:r>
    </w:p>
    <w:p w14:paraId="5CC4D041" w14:textId="70CF1E6D" w:rsidR="003C3C83" w:rsidRDefault="004C64D8" w:rsidP="000E450A">
      <w:pPr>
        <w:numPr>
          <w:ilvl w:val="0"/>
          <w:numId w:val="21"/>
        </w:numPr>
        <w:spacing w:after="240"/>
        <w:ind w:hanging="357"/>
        <w:rPr>
          <w:rFonts w:eastAsia="Calibri" w:cs="Times New Roman"/>
          <w:b/>
          <w:i/>
          <w:color w:val="595959" w:themeColor="text1" w:themeTint="A6"/>
          <w:sz w:val="24"/>
          <w:szCs w:val="24"/>
        </w:rPr>
      </w:pPr>
      <w:r w:rsidRPr="004C64D8">
        <w:rPr>
          <w:rFonts w:eastAsia="Calibri" w:cs="Times New Roman"/>
          <w:b/>
          <w:i/>
          <w:color w:val="595959" w:themeColor="text1" w:themeTint="A6"/>
          <w:sz w:val="24"/>
          <w:szCs w:val="24"/>
        </w:rPr>
        <w:t>Εμφάνιση πληθωριστικών πιέσεων στην Ελλάδα και στην ευρωζώνη με τον εναρμονισμένο δείκτη τιμών καταναλωτή να διαμορφώνεται τον Οκτώβριο στο 2,8% και 4,1% αντίστοιχα.</w:t>
      </w:r>
    </w:p>
    <w:p w14:paraId="54CF313C" w14:textId="704E0D56" w:rsidR="00D3777E" w:rsidRDefault="00D3777E" w:rsidP="000E450A">
      <w:pPr>
        <w:numPr>
          <w:ilvl w:val="0"/>
          <w:numId w:val="21"/>
        </w:numPr>
        <w:spacing w:after="240"/>
        <w:ind w:hanging="357"/>
        <w:rPr>
          <w:rFonts w:eastAsia="Calibri" w:cs="Times New Roman"/>
          <w:b/>
          <w:i/>
          <w:color w:val="595959" w:themeColor="text1" w:themeTint="A6"/>
          <w:sz w:val="24"/>
          <w:szCs w:val="24"/>
        </w:rPr>
      </w:pPr>
      <w:r>
        <w:rPr>
          <w:rFonts w:eastAsia="Calibri" w:cs="Times New Roman"/>
          <w:b/>
          <w:i/>
          <w:color w:val="595959" w:themeColor="text1" w:themeTint="A6"/>
          <w:sz w:val="24"/>
          <w:szCs w:val="24"/>
        </w:rPr>
        <w:t xml:space="preserve">Βασικές αιτίες των πληθωριστικών πιέσεων </w:t>
      </w:r>
      <w:r w:rsidR="00F11877">
        <w:rPr>
          <w:rFonts w:eastAsia="Calibri" w:cs="Times New Roman"/>
          <w:b/>
          <w:i/>
          <w:color w:val="595959" w:themeColor="text1" w:themeTint="A6"/>
          <w:sz w:val="24"/>
          <w:szCs w:val="24"/>
        </w:rPr>
        <w:t xml:space="preserve"> αποτελούν οι</w:t>
      </w:r>
      <w:r>
        <w:rPr>
          <w:rFonts w:eastAsia="Calibri" w:cs="Times New Roman"/>
          <w:b/>
          <w:i/>
          <w:color w:val="595959" w:themeColor="text1" w:themeTint="A6"/>
          <w:sz w:val="24"/>
          <w:szCs w:val="24"/>
        </w:rPr>
        <w:t xml:space="preserve"> μεγάλες αυξήσεις στις τιμές της ενέργειας και </w:t>
      </w:r>
      <w:r w:rsidR="00F11877">
        <w:rPr>
          <w:rFonts w:eastAsia="Calibri" w:cs="Times New Roman"/>
          <w:b/>
          <w:i/>
          <w:color w:val="595959" w:themeColor="text1" w:themeTint="A6"/>
          <w:sz w:val="24"/>
          <w:szCs w:val="24"/>
        </w:rPr>
        <w:t>τα</w:t>
      </w:r>
      <w:r>
        <w:rPr>
          <w:rFonts w:eastAsia="Calibri" w:cs="Times New Roman"/>
          <w:b/>
          <w:i/>
          <w:color w:val="595959" w:themeColor="text1" w:themeTint="A6"/>
          <w:sz w:val="24"/>
          <w:szCs w:val="24"/>
        </w:rPr>
        <w:t xml:space="preserve"> προβλήματα στην εφοδιαστική αλυσίδα παγκοσμίως. </w:t>
      </w:r>
    </w:p>
    <w:p w14:paraId="6E264E06" w14:textId="43E941BE" w:rsidR="00D3777E" w:rsidRDefault="000E450A" w:rsidP="000E450A">
      <w:pPr>
        <w:numPr>
          <w:ilvl w:val="0"/>
          <w:numId w:val="21"/>
        </w:numPr>
        <w:spacing w:after="240"/>
        <w:ind w:hanging="357"/>
        <w:rPr>
          <w:rFonts w:eastAsia="Calibri" w:cs="Times New Roman"/>
          <w:b/>
          <w:i/>
          <w:color w:val="595959" w:themeColor="text1" w:themeTint="A6"/>
          <w:sz w:val="24"/>
          <w:szCs w:val="24"/>
        </w:rPr>
      </w:pPr>
      <w:r>
        <w:rPr>
          <w:rFonts w:eastAsia="Calibri" w:cs="Times New Roman"/>
          <w:b/>
          <w:i/>
          <w:color w:val="595959" w:themeColor="text1" w:themeTint="A6"/>
          <w:sz w:val="24"/>
          <w:szCs w:val="24"/>
        </w:rPr>
        <w:t xml:space="preserve">Εκτιμάται ότι </w:t>
      </w:r>
      <w:r w:rsidR="00F11877">
        <w:rPr>
          <w:rFonts w:eastAsia="Calibri" w:cs="Times New Roman"/>
          <w:b/>
          <w:i/>
          <w:color w:val="595959" w:themeColor="text1" w:themeTint="A6"/>
          <w:sz w:val="24"/>
          <w:szCs w:val="24"/>
        </w:rPr>
        <w:t xml:space="preserve">αυτές </w:t>
      </w:r>
      <w:r>
        <w:rPr>
          <w:rFonts w:eastAsia="Calibri" w:cs="Times New Roman"/>
          <w:b/>
          <w:i/>
          <w:color w:val="595959" w:themeColor="text1" w:themeTint="A6"/>
          <w:sz w:val="24"/>
          <w:szCs w:val="24"/>
        </w:rPr>
        <w:t>οι</w:t>
      </w:r>
      <w:r w:rsidR="00F11877">
        <w:rPr>
          <w:rFonts w:eastAsia="Calibri" w:cs="Times New Roman"/>
          <w:b/>
          <w:i/>
          <w:color w:val="595959" w:themeColor="text1" w:themeTint="A6"/>
          <w:sz w:val="24"/>
          <w:szCs w:val="24"/>
        </w:rPr>
        <w:t xml:space="preserve"> </w:t>
      </w:r>
      <w:r>
        <w:rPr>
          <w:rFonts w:eastAsia="Calibri" w:cs="Times New Roman"/>
          <w:b/>
          <w:i/>
          <w:color w:val="595959" w:themeColor="text1" w:themeTint="A6"/>
          <w:sz w:val="24"/>
          <w:szCs w:val="24"/>
        </w:rPr>
        <w:t>πληθωριστικές πιέσεις θα είναι πρόσκαιρες και θα περιοριστούν όταν εξομαλυνθούν τα προβλήματα στην εφοδιαστική αλυσίδα και υποχωρήσουν ή έστω σταθεροποιηθούν οι τιμές στην ενέργεια.</w:t>
      </w:r>
    </w:p>
    <w:p w14:paraId="3BD172C7" w14:textId="3BE40CEE" w:rsidR="000E450A" w:rsidRDefault="000E450A" w:rsidP="000E450A">
      <w:pPr>
        <w:numPr>
          <w:ilvl w:val="0"/>
          <w:numId w:val="21"/>
        </w:numPr>
        <w:spacing w:after="240"/>
        <w:ind w:hanging="357"/>
        <w:rPr>
          <w:rFonts w:eastAsia="Calibri" w:cs="Times New Roman"/>
          <w:b/>
          <w:i/>
          <w:color w:val="595959" w:themeColor="text1" w:themeTint="A6"/>
          <w:sz w:val="24"/>
          <w:szCs w:val="24"/>
        </w:rPr>
      </w:pPr>
      <w:r>
        <w:rPr>
          <w:rFonts w:eastAsia="Calibri" w:cs="Times New Roman"/>
          <w:b/>
          <w:i/>
          <w:color w:val="595959" w:themeColor="text1" w:themeTint="A6"/>
          <w:sz w:val="24"/>
          <w:szCs w:val="24"/>
        </w:rPr>
        <w:t>Συνεχίζεται η πτωτική τάση στο ποσοστό ανεργίας με παράλληλη αύξηση του εργατικού δυναμικού.</w:t>
      </w:r>
    </w:p>
    <w:p w14:paraId="36D0E3E6" w14:textId="48A03561" w:rsidR="000E450A" w:rsidRDefault="000E450A" w:rsidP="000E450A">
      <w:pPr>
        <w:numPr>
          <w:ilvl w:val="0"/>
          <w:numId w:val="21"/>
        </w:numPr>
        <w:spacing w:after="240"/>
        <w:ind w:hanging="357"/>
        <w:rPr>
          <w:rFonts w:eastAsia="Calibri" w:cs="Times New Roman"/>
          <w:b/>
          <w:i/>
          <w:color w:val="595959" w:themeColor="text1" w:themeTint="A6"/>
          <w:sz w:val="24"/>
          <w:szCs w:val="24"/>
        </w:rPr>
      </w:pPr>
      <w:r>
        <w:rPr>
          <w:rFonts w:eastAsia="Calibri" w:cs="Times New Roman"/>
          <w:b/>
          <w:i/>
          <w:color w:val="595959" w:themeColor="text1" w:themeTint="A6"/>
          <w:sz w:val="24"/>
          <w:szCs w:val="24"/>
        </w:rPr>
        <w:t xml:space="preserve">Το ισοζύγιο τρεχουσών συναλλαγών </w:t>
      </w:r>
      <w:r w:rsidR="00F11877">
        <w:rPr>
          <w:rFonts w:eastAsia="Calibri" w:cs="Times New Roman"/>
          <w:b/>
          <w:i/>
          <w:color w:val="595959" w:themeColor="text1" w:themeTint="A6"/>
          <w:sz w:val="24"/>
          <w:szCs w:val="24"/>
        </w:rPr>
        <w:t>παρουσιάζει</w:t>
      </w:r>
      <w:r w:rsidR="00F27CC6">
        <w:rPr>
          <w:rFonts w:eastAsia="Calibri" w:cs="Times New Roman"/>
          <w:b/>
          <w:i/>
          <w:color w:val="595959" w:themeColor="text1" w:themeTint="A6"/>
          <w:sz w:val="24"/>
          <w:szCs w:val="24"/>
        </w:rPr>
        <w:t>,</w:t>
      </w:r>
      <w:r>
        <w:rPr>
          <w:rFonts w:eastAsia="Calibri" w:cs="Times New Roman"/>
          <w:b/>
          <w:i/>
          <w:color w:val="595959" w:themeColor="text1" w:themeTint="A6"/>
          <w:sz w:val="24"/>
          <w:szCs w:val="24"/>
        </w:rPr>
        <w:t xml:space="preserve"> για δεύτερη </w:t>
      </w:r>
      <w:r w:rsidR="00F27CC6">
        <w:rPr>
          <w:rFonts w:eastAsia="Calibri" w:cs="Times New Roman"/>
          <w:b/>
          <w:i/>
          <w:color w:val="595959" w:themeColor="text1" w:themeTint="A6"/>
          <w:sz w:val="24"/>
          <w:szCs w:val="24"/>
        </w:rPr>
        <w:t>συνεχή</w:t>
      </w:r>
      <w:r>
        <w:rPr>
          <w:rFonts w:eastAsia="Calibri" w:cs="Times New Roman"/>
          <w:b/>
          <w:i/>
          <w:color w:val="595959" w:themeColor="text1" w:themeTint="A6"/>
          <w:sz w:val="24"/>
          <w:szCs w:val="24"/>
        </w:rPr>
        <w:t xml:space="preserve"> χρονιά</w:t>
      </w:r>
      <w:r w:rsidR="00F27CC6">
        <w:rPr>
          <w:rFonts w:eastAsia="Calibri" w:cs="Times New Roman"/>
          <w:b/>
          <w:i/>
          <w:color w:val="595959" w:themeColor="text1" w:themeTint="A6"/>
          <w:sz w:val="24"/>
          <w:szCs w:val="24"/>
        </w:rPr>
        <w:t>,</w:t>
      </w:r>
      <w:r>
        <w:rPr>
          <w:rFonts w:eastAsia="Calibri" w:cs="Times New Roman"/>
          <w:b/>
          <w:i/>
          <w:color w:val="595959" w:themeColor="text1" w:themeTint="A6"/>
          <w:sz w:val="24"/>
          <w:szCs w:val="24"/>
        </w:rPr>
        <w:t xml:space="preserve"> υψηλό έλλειμμα (περίπου 5,5 δισ. ευρώ στο οκτάμηνο), μειωμένο ωστόσο κατά 2,5 δισ. ευρώ σε σχέση με πέρυσι.</w:t>
      </w:r>
    </w:p>
    <w:p w14:paraId="68B6B70E" w14:textId="32C84AE5" w:rsidR="000E450A" w:rsidRDefault="000E450A" w:rsidP="000E450A">
      <w:pPr>
        <w:numPr>
          <w:ilvl w:val="0"/>
          <w:numId w:val="21"/>
        </w:numPr>
        <w:spacing w:after="240"/>
        <w:ind w:hanging="357"/>
        <w:rPr>
          <w:rFonts w:eastAsia="Calibri" w:cs="Times New Roman"/>
          <w:b/>
          <w:i/>
          <w:color w:val="595959" w:themeColor="text1" w:themeTint="A6"/>
          <w:sz w:val="24"/>
          <w:szCs w:val="24"/>
        </w:rPr>
      </w:pPr>
      <w:r>
        <w:rPr>
          <w:rFonts w:eastAsia="Calibri" w:cs="Times New Roman"/>
          <w:b/>
          <w:i/>
          <w:color w:val="595959" w:themeColor="text1" w:themeTint="A6"/>
          <w:sz w:val="24"/>
          <w:szCs w:val="24"/>
        </w:rPr>
        <w:t xml:space="preserve">Οι περισσότεροι πρόδρομοι δείκτες οικονομικής συγκυρίας </w:t>
      </w:r>
      <w:r w:rsidR="00F11877">
        <w:rPr>
          <w:rFonts w:eastAsia="Calibri" w:cs="Times New Roman"/>
          <w:b/>
          <w:i/>
          <w:color w:val="595959" w:themeColor="text1" w:themeTint="A6"/>
          <w:sz w:val="24"/>
          <w:szCs w:val="24"/>
        </w:rPr>
        <w:t>είναι συμβατοί με την εκτίμηση για ενίσχυση</w:t>
      </w:r>
      <w:r>
        <w:rPr>
          <w:rFonts w:eastAsia="Calibri" w:cs="Times New Roman"/>
          <w:b/>
          <w:i/>
          <w:color w:val="595959" w:themeColor="text1" w:themeTint="A6"/>
          <w:sz w:val="24"/>
          <w:szCs w:val="24"/>
        </w:rPr>
        <w:t xml:space="preserve"> της οικονομικής δραστηριότητας εντός του 2021. </w:t>
      </w:r>
    </w:p>
    <w:p w14:paraId="290C83FC" w14:textId="77777777" w:rsidR="003C3C83" w:rsidRDefault="003C3C83" w:rsidP="003E45FF">
      <w:pPr>
        <w:spacing w:after="160"/>
        <w:rPr>
          <w:color w:val="auto"/>
        </w:rPr>
      </w:pPr>
    </w:p>
    <w:p w14:paraId="02E0CF28" w14:textId="2EFFC676" w:rsidR="003C3C83" w:rsidRDefault="003C3C83" w:rsidP="003E45FF">
      <w:pPr>
        <w:spacing w:after="160"/>
        <w:rPr>
          <w:color w:val="auto"/>
        </w:rPr>
      </w:pPr>
    </w:p>
    <w:p w14:paraId="256D6267" w14:textId="535FBEC4" w:rsidR="00844D6F" w:rsidRDefault="00844D6F">
      <w:pPr>
        <w:spacing w:after="160" w:line="0" w:lineRule="auto"/>
        <w:jc w:val="left"/>
        <w:rPr>
          <w:color w:val="auto"/>
        </w:rPr>
      </w:pPr>
      <w:r>
        <w:rPr>
          <w:color w:val="auto"/>
        </w:rPr>
        <w:br w:type="page"/>
      </w:r>
    </w:p>
    <w:p w14:paraId="3C6A5920" w14:textId="77777777" w:rsidR="003C3C83" w:rsidRPr="00354FDE" w:rsidRDefault="003C3C83" w:rsidP="003C3C83">
      <w:pPr>
        <w:pStyle w:val="a1"/>
      </w:pPr>
      <w:bookmarkStart w:id="33" w:name="_Toc89172820"/>
      <w:r w:rsidRPr="008866AA">
        <w:lastRenderedPageBreak/>
        <w:t>Πληθωρισμός</w:t>
      </w:r>
      <w:bookmarkEnd w:id="33"/>
      <w:r>
        <w:t xml:space="preserve"> </w:t>
      </w:r>
    </w:p>
    <w:p w14:paraId="3B12DA9E" w14:textId="499C6649" w:rsidR="008E130B" w:rsidRDefault="008E130B" w:rsidP="00844D6F">
      <w:pPr>
        <w:rPr>
          <w:color w:val="auto"/>
        </w:rPr>
      </w:pPr>
      <w:r>
        <w:rPr>
          <w:color w:val="auto"/>
        </w:rPr>
        <w:t>Κατά τη διάρκεια της πανδημίας το γενικό επίπεδο των τιμών υποχώρησε με αποτέλεσμα την ύπα</w:t>
      </w:r>
      <w:r w:rsidR="00844D6F">
        <w:rPr>
          <w:color w:val="auto"/>
        </w:rPr>
        <w:t>ρξη αρνητικού πληθωρισμού καθ</w:t>
      </w:r>
      <w:r w:rsidR="00F27CC6">
        <w:rPr>
          <w:color w:val="auto"/>
        </w:rPr>
        <w:t xml:space="preserve">’ </w:t>
      </w:r>
      <w:r w:rsidR="00844D6F">
        <w:rPr>
          <w:color w:val="auto"/>
        </w:rPr>
        <w:t>όλη</w:t>
      </w:r>
      <w:r>
        <w:rPr>
          <w:color w:val="auto"/>
        </w:rPr>
        <w:t xml:space="preserve"> </w:t>
      </w:r>
      <w:r w:rsidR="00844D6F">
        <w:rPr>
          <w:color w:val="auto"/>
        </w:rPr>
        <w:t>την περίοδο</w:t>
      </w:r>
      <w:r>
        <w:rPr>
          <w:color w:val="auto"/>
        </w:rPr>
        <w:t xml:space="preserve"> από τον Απρίλιο του 2020 μέχρι και τον Μάιο του 2021. Από τον Ιούνιο του 2021</w:t>
      </w:r>
      <w:r w:rsidR="002D1181">
        <w:rPr>
          <w:color w:val="auto"/>
        </w:rPr>
        <w:t>, όμως</w:t>
      </w:r>
      <w:r>
        <w:rPr>
          <w:color w:val="auto"/>
        </w:rPr>
        <w:t xml:space="preserve"> ο πληθωρισμός επανήλθε σε θετικό </w:t>
      </w:r>
      <w:r w:rsidR="00844D6F">
        <w:rPr>
          <w:color w:val="auto"/>
        </w:rPr>
        <w:t>επίπεδο</w:t>
      </w:r>
      <w:r>
        <w:rPr>
          <w:color w:val="auto"/>
        </w:rPr>
        <w:t xml:space="preserve"> και τον Οκτώβριο του 2021 ο </w:t>
      </w:r>
      <w:r w:rsidR="00844D6F">
        <w:rPr>
          <w:color w:val="auto"/>
        </w:rPr>
        <w:t>εναρμονισμένος δείκτης τ</w:t>
      </w:r>
      <w:r>
        <w:rPr>
          <w:color w:val="auto"/>
        </w:rPr>
        <w:t xml:space="preserve">ιμών </w:t>
      </w:r>
      <w:r w:rsidR="00844D6F">
        <w:rPr>
          <w:color w:val="auto"/>
        </w:rPr>
        <w:t>κ</w:t>
      </w:r>
      <w:r>
        <w:rPr>
          <w:color w:val="auto"/>
        </w:rPr>
        <w:t>αταναλωτή (Εν.ΔΤΚ) αυξήθηκε κατά 2,8% σε σχέση με τον αντίστοιχο περυσινό μήνα (</w:t>
      </w:r>
      <w:r>
        <w:rPr>
          <w:color w:val="auto"/>
        </w:rPr>
        <w:fldChar w:fldCharType="begin"/>
      </w:r>
      <w:r>
        <w:rPr>
          <w:color w:val="auto"/>
        </w:rPr>
        <w:instrText xml:space="preserve"> REF _Ref22555853 \h  \* MERGEFORMAT </w:instrText>
      </w:r>
      <w:r>
        <w:rPr>
          <w:color w:val="auto"/>
        </w:rPr>
      </w:r>
      <w:r>
        <w:rPr>
          <w:color w:val="auto"/>
        </w:rPr>
        <w:fldChar w:fldCharType="separate"/>
      </w:r>
      <w:r w:rsidR="0038196B" w:rsidRPr="0038196B">
        <w:rPr>
          <w:color w:val="auto"/>
        </w:rPr>
        <w:t>Διάγραμμα 7</w:t>
      </w:r>
      <w:r>
        <w:rPr>
          <w:color w:val="auto"/>
        </w:rPr>
        <w:fldChar w:fldCharType="end"/>
      </w:r>
      <w:r>
        <w:rPr>
          <w:color w:val="auto"/>
        </w:rPr>
        <w:t xml:space="preserve">). </w:t>
      </w:r>
    </w:p>
    <w:p w14:paraId="5D59B15E" w14:textId="65908AFA" w:rsidR="008E130B" w:rsidRDefault="008E130B" w:rsidP="008E130B">
      <w:pPr>
        <w:spacing w:after="60"/>
        <w:rPr>
          <w:color w:val="auto"/>
        </w:rPr>
      </w:pPr>
      <w:r>
        <w:rPr>
          <w:color w:val="auto"/>
        </w:rPr>
        <w:t>Σημειώνεται πως κατά το ξέσπασμα της πανδημίας</w:t>
      </w:r>
      <w:r w:rsidR="00F27CC6">
        <w:rPr>
          <w:color w:val="auto"/>
        </w:rPr>
        <w:t>,</w:t>
      </w:r>
      <w:r>
        <w:rPr>
          <w:color w:val="auto"/>
        </w:rPr>
        <w:t xml:space="preserve"> το Μάρτιο του 2020, ο Εν.ΔΤΚ ανερχόταν στις 102,51 μονάδες, κατά τη διάρκεια της πανδημίας υποχώρησε μέχρι και τις 99,2 μονάδες τον Ιανουάριο του 2021 και ανακάμπτοντας τους τελευταίους μήνες διαμορφώθηκε στις 104 μονάδες τον Οκτώβριο του 2021, ήτοι λίγο υψηλότερα από το αρχικό επίπεδο του Μαρτίου. </w:t>
      </w:r>
    </w:p>
    <w:p w14:paraId="54F65869" w14:textId="77777777" w:rsidR="008E130B" w:rsidRDefault="008E130B" w:rsidP="008E130B">
      <w:pPr>
        <w:spacing w:after="60"/>
        <w:rPr>
          <w:color w:val="auto"/>
        </w:rPr>
      </w:pPr>
    </w:p>
    <w:p w14:paraId="09AA9841" w14:textId="33901D19" w:rsidR="008E130B" w:rsidRDefault="008E130B" w:rsidP="008E130B">
      <w:pPr>
        <w:spacing w:after="60"/>
        <w:jc w:val="left"/>
        <w:rPr>
          <w:color w:val="00A3E0"/>
          <w:sz w:val="20"/>
          <w:szCs w:val="20"/>
        </w:rPr>
      </w:pPr>
      <w:bookmarkStart w:id="34" w:name="_Ref22555853"/>
      <w:bookmarkStart w:id="35" w:name="_Toc55697375"/>
      <w:bookmarkStart w:id="36" w:name="_Toc87662855"/>
      <w:bookmarkStart w:id="37" w:name="_Toc89172869"/>
      <w:r w:rsidRPr="00286216">
        <w:rPr>
          <w:rFonts w:cs="Times New Roman"/>
          <w:b/>
          <w:sz w:val="20"/>
          <w:szCs w:val="20"/>
        </w:rPr>
        <w:t xml:space="preserve">Διάγραμμα </w:t>
      </w:r>
      <w:r w:rsidRPr="00286216">
        <w:rPr>
          <w:rFonts w:cs="Times New Roman"/>
          <w:b/>
          <w:sz w:val="20"/>
          <w:szCs w:val="20"/>
        </w:rPr>
        <w:fldChar w:fldCharType="begin"/>
      </w:r>
      <w:r w:rsidRPr="00286216">
        <w:rPr>
          <w:rFonts w:cs="Times New Roman"/>
          <w:b/>
          <w:sz w:val="20"/>
          <w:szCs w:val="20"/>
        </w:rPr>
        <w:instrText xml:space="preserve"> SEQ Διάγραμμα \* ARABIC </w:instrText>
      </w:r>
      <w:r w:rsidRPr="00286216">
        <w:rPr>
          <w:rFonts w:cs="Times New Roman"/>
          <w:b/>
          <w:sz w:val="20"/>
          <w:szCs w:val="20"/>
        </w:rPr>
        <w:fldChar w:fldCharType="separate"/>
      </w:r>
      <w:r w:rsidR="0038196B">
        <w:rPr>
          <w:rFonts w:cs="Times New Roman"/>
          <w:b/>
          <w:noProof/>
          <w:sz w:val="20"/>
          <w:szCs w:val="20"/>
        </w:rPr>
        <w:t>7</w:t>
      </w:r>
      <w:r w:rsidRPr="00286216">
        <w:rPr>
          <w:rFonts w:cs="Times New Roman"/>
          <w:b/>
          <w:sz w:val="20"/>
          <w:szCs w:val="20"/>
        </w:rPr>
        <w:fldChar w:fldCharType="end"/>
      </w:r>
      <w:bookmarkEnd w:id="34"/>
      <w:r w:rsidRPr="00286216">
        <w:rPr>
          <w:rFonts w:cs="Times New Roman"/>
          <w:b/>
          <w:sz w:val="20"/>
          <w:szCs w:val="20"/>
        </w:rPr>
        <w:t>:</w:t>
      </w:r>
      <w:r w:rsidRPr="00B17FD0">
        <w:rPr>
          <w:rFonts w:eastAsiaTheme="minorEastAsia"/>
          <w:kern w:val="24"/>
          <w:lang w:eastAsia="el-GR"/>
        </w:rPr>
        <w:t xml:space="preserve"> </w:t>
      </w:r>
      <w:r>
        <w:rPr>
          <w:color w:val="00A3E0"/>
          <w:sz w:val="20"/>
          <w:szCs w:val="20"/>
        </w:rPr>
        <w:t>Εναρμονισμένος</w:t>
      </w:r>
      <w:r w:rsidRPr="00286216">
        <w:rPr>
          <w:color w:val="00A3E0"/>
          <w:sz w:val="20"/>
          <w:szCs w:val="20"/>
        </w:rPr>
        <w:t xml:space="preserve"> Δείκτη</w:t>
      </w:r>
      <w:r>
        <w:rPr>
          <w:color w:val="00A3E0"/>
          <w:sz w:val="20"/>
          <w:szCs w:val="20"/>
        </w:rPr>
        <w:t>ς</w:t>
      </w:r>
      <w:r w:rsidRPr="00286216">
        <w:rPr>
          <w:color w:val="00A3E0"/>
          <w:sz w:val="20"/>
          <w:szCs w:val="20"/>
        </w:rPr>
        <w:t xml:space="preserve"> </w:t>
      </w:r>
      <w:r>
        <w:rPr>
          <w:color w:val="00A3E0"/>
          <w:sz w:val="20"/>
          <w:szCs w:val="20"/>
        </w:rPr>
        <w:t>Τιμών Καταναλωτή</w:t>
      </w:r>
      <w:bookmarkEnd w:id="35"/>
      <w:bookmarkEnd w:id="36"/>
      <w:bookmarkEnd w:id="37"/>
    </w:p>
    <w:p w14:paraId="709F9C80" w14:textId="77777777" w:rsidR="008E130B" w:rsidRDefault="008E130B" w:rsidP="008E130B">
      <w:pPr>
        <w:spacing w:after="60"/>
        <w:jc w:val="left"/>
        <w:rPr>
          <w:color w:val="00A3E0"/>
          <w:sz w:val="20"/>
          <w:szCs w:val="20"/>
        </w:rPr>
      </w:pPr>
      <w:r>
        <w:rPr>
          <w:noProof/>
          <w:lang w:eastAsia="el-GR"/>
        </w:rPr>
        <w:drawing>
          <wp:inline distT="0" distB="0" distL="0" distR="0" wp14:anchorId="3B01CA40" wp14:editId="0396A279">
            <wp:extent cx="5276850" cy="3228975"/>
            <wp:effectExtent l="0" t="0" r="0" b="9525"/>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43BEC1" w14:textId="77777777" w:rsidR="008E130B" w:rsidRDefault="008E130B" w:rsidP="008E130B">
      <w:pPr>
        <w:rPr>
          <w:iCs/>
          <w:noProof/>
          <w:color w:val="00A3E0"/>
          <w:sz w:val="16"/>
          <w:szCs w:val="16"/>
        </w:rPr>
      </w:pPr>
      <w:r w:rsidRPr="004D1F57">
        <w:rPr>
          <w:b/>
          <w:color w:val="auto"/>
          <w:sz w:val="16"/>
          <w:szCs w:val="16"/>
        </w:rPr>
        <w:t>Πηγή:</w:t>
      </w:r>
      <w:r w:rsidRPr="004D1F57">
        <w:rPr>
          <w:color w:val="auto"/>
          <w:sz w:val="16"/>
          <w:szCs w:val="16"/>
        </w:rPr>
        <w:t xml:space="preserve"> </w:t>
      </w:r>
      <w:r>
        <w:rPr>
          <w:iCs/>
          <w:noProof/>
          <w:color w:val="00A3E0"/>
          <w:sz w:val="16"/>
          <w:szCs w:val="16"/>
        </w:rPr>
        <w:t>ΕΛΣΤΑΤ</w:t>
      </w:r>
      <w:r w:rsidRPr="004D1F57">
        <w:rPr>
          <w:iCs/>
          <w:noProof/>
          <w:color w:val="00A3E0"/>
          <w:sz w:val="16"/>
          <w:szCs w:val="16"/>
        </w:rPr>
        <w:t>.</w:t>
      </w:r>
    </w:p>
    <w:p w14:paraId="5FF9CD73" w14:textId="77777777" w:rsidR="008E130B" w:rsidRDefault="008E130B" w:rsidP="008E130B">
      <w:pPr>
        <w:spacing w:after="60"/>
        <w:rPr>
          <w:color w:val="auto"/>
        </w:rPr>
      </w:pPr>
    </w:p>
    <w:p w14:paraId="0D4B9EBB" w14:textId="37D343CD" w:rsidR="008E130B" w:rsidRDefault="008E130B" w:rsidP="008E130B">
      <w:pPr>
        <w:spacing w:after="60"/>
        <w:rPr>
          <w:color w:val="auto"/>
        </w:rPr>
      </w:pPr>
      <w:r>
        <w:rPr>
          <w:color w:val="auto"/>
        </w:rPr>
        <w:t>Ο αντιπληθωρισμός που παρουσιάστηκε κατά τη διάρκεια της πανδημίας οφειλόταν στα περιοριστικά μέτρα και στο συνακόλουθο περιορισμό της ζήτησης, στην πτώση των διεθνών τιμών του πετρελαίου και στ</w:t>
      </w:r>
      <w:r w:rsidRPr="006B0375">
        <w:rPr>
          <w:color w:val="auto"/>
        </w:rPr>
        <w:t>η μείωση του ΦΠΑ από το 24% στο 13% σε διάφορες κατηγορίες αγαθών και υπηρεσιών</w:t>
      </w:r>
      <w:r>
        <w:rPr>
          <w:color w:val="auto"/>
        </w:rPr>
        <w:t>.</w:t>
      </w:r>
      <w:r w:rsidR="00844D6F">
        <w:rPr>
          <w:color w:val="auto"/>
        </w:rPr>
        <w:t xml:space="preserve"> </w:t>
      </w:r>
      <w:r>
        <w:rPr>
          <w:color w:val="auto"/>
        </w:rPr>
        <w:t xml:space="preserve">Η σταδιακή εξάλειψη των προαναφερθέντων παραγόντων κατά </w:t>
      </w:r>
      <w:r w:rsidR="00844D6F">
        <w:rPr>
          <w:color w:val="auto"/>
        </w:rPr>
        <w:t>τους τελευταίους μήνες</w:t>
      </w:r>
      <w:r w:rsidR="002D1181">
        <w:rPr>
          <w:color w:val="auto"/>
        </w:rPr>
        <w:t xml:space="preserve">, αλλά και κυρίως </w:t>
      </w:r>
      <w:r w:rsidR="00844D6F">
        <w:rPr>
          <w:color w:val="auto"/>
        </w:rPr>
        <w:t xml:space="preserve"> οδήγησε, </w:t>
      </w:r>
      <w:r>
        <w:rPr>
          <w:color w:val="auto"/>
        </w:rPr>
        <w:t xml:space="preserve">όπως ήταν αναμενόμενο, στην επαναφορά του πληθωρισμού σε θετικό </w:t>
      </w:r>
      <w:r w:rsidR="00844D6F">
        <w:rPr>
          <w:color w:val="auto"/>
        </w:rPr>
        <w:t>επίπεδο</w:t>
      </w:r>
      <w:r>
        <w:rPr>
          <w:color w:val="auto"/>
        </w:rPr>
        <w:t xml:space="preserve"> (συμβαδίζοντας με την ισχυρή ανάκαμψη του ΑΕΠ κατά το 2021) και τελικά στην υπέρβαση του προ πανδημίας επιπέδου των τιμών.</w:t>
      </w:r>
    </w:p>
    <w:p w14:paraId="29151944" w14:textId="365B52F5" w:rsidR="008E130B" w:rsidRDefault="008E130B" w:rsidP="008E130B">
      <w:pPr>
        <w:spacing w:after="60"/>
        <w:rPr>
          <w:color w:val="auto"/>
        </w:rPr>
      </w:pPr>
      <w:r>
        <w:rPr>
          <w:color w:val="auto"/>
        </w:rPr>
        <w:lastRenderedPageBreak/>
        <w:t>Ειδικότερα, η αύξηση του Εν.ΔΤΚ κατά τον Οκτώβριο (</w:t>
      </w:r>
      <w:r>
        <w:rPr>
          <w:color w:val="auto"/>
        </w:rPr>
        <w:fldChar w:fldCharType="begin"/>
      </w:r>
      <w:r>
        <w:rPr>
          <w:color w:val="auto"/>
        </w:rPr>
        <w:instrText xml:space="preserve"> REF _Ref22557438 \h  \* MERGEFORMAT </w:instrText>
      </w:r>
      <w:r>
        <w:rPr>
          <w:color w:val="auto"/>
        </w:rPr>
      </w:r>
      <w:r>
        <w:rPr>
          <w:color w:val="auto"/>
        </w:rPr>
        <w:fldChar w:fldCharType="separate"/>
      </w:r>
      <w:r w:rsidR="0038196B" w:rsidRPr="0038196B">
        <w:rPr>
          <w:color w:val="auto"/>
        </w:rPr>
        <w:t>Διάγραμμα 8</w:t>
      </w:r>
      <w:r>
        <w:rPr>
          <w:color w:val="auto"/>
        </w:rPr>
        <w:fldChar w:fldCharType="end"/>
      </w:r>
      <w:r>
        <w:rPr>
          <w:color w:val="auto"/>
        </w:rPr>
        <w:t>) προήλθε κυρίως από τους κλάδους της στέγασης/ύδρευσης/ηλεκτρισμού/αερίου</w:t>
      </w:r>
      <w:r>
        <w:rPr>
          <w:rStyle w:val="af1"/>
          <w:color w:val="auto"/>
        </w:rPr>
        <w:footnoteReference w:id="3"/>
      </w:r>
      <w:r>
        <w:rPr>
          <w:color w:val="auto"/>
        </w:rPr>
        <w:t xml:space="preserve"> (+11,9%), των μεταφορών</w:t>
      </w:r>
      <w:r>
        <w:rPr>
          <w:rStyle w:val="af1"/>
          <w:color w:val="auto"/>
        </w:rPr>
        <w:footnoteReference w:id="4"/>
      </w:r>
      <w:r>
        <w:rPr>
          <w:color w:val="auto"/>
        </w:rPr>
        <w:t xml:space="preserve"> (+5,8%), και της διατροφής (+2,9%). Από την άλλη πλευρά, οι σημαντικότερες μειώσεις τιμών καταγράφηκαν στους κλάδους των επικοινωνιών (-2,4%) και των λοιπών αγαθών &amp; υπηρεσιών (-0,9%). </w:t>
      </w:r>
    </w:p>
    <w:p w14:paraId="29771B6C" w14:textId="77777777" w:rsidR="008E130B" w:rsidRDefault="008E130B" w:rsidP="008E130B">
      <w:pPr>
        <w:spacing w:after="60"/>
        <w:rPr>
          <w:color w:val="auto"/>
        </w:rPr>
      </w:pPr>
    </w:p>
    <w:p w14:paraId="5963D048" w14:textId="5985DBA2" w:rsidR="008E130B" w:rsidRDefault="008E130B" w:rsidP="008E130B">
      <w:pPr>
        <w:spacing w:after="60"/>
        <w:jc w:val="left"/>
        <w:rPr>
          <w:color w:val="00A3E0"/>
          <w:sz w:val="20"/>
          <w:szCs w:val="20"/>
        </w:rPr>
      </w:pPr>
      <w:bookmarkStart w:id="38" w:name="_Ref22557438"/>
      <w:bookmarkStart w:id="39" w:name="_Toc55697376"/>
      <w:bookmarkStart w:id="40" w:name="_Toc87662856"/>
      <w:bookmarkStart w:id="41" w:name="_Toc89172870"/>
      <w:r w:rsidRPr="00286216">
        <w:rPr>
          <w:rFonts w:cs="Times New Roman"/>
          <w:b/>
          <w:sz w:val="20"/>
          <w:szCs w:val="20"/>
        </w:rPr>
        <w:t xml:space="preserve">Διάγραμμα </w:t>
      </w:r>
      <w:r w:rsidRPr="00286216">
        <w:rPr>
          <w:rFonts w:cs="Times New Roman"/>
          <w:b/>
          <w:sz w:val="20"/>
          <w:szCs w:val="20"/>
        </w:rPr>
        <w:fldChar w:fldCharType="begin"/>
      </w:r>
      <w:r w:rsidRPr="00286216">
        <w:rPr>
          <w:rFonts w:cs="Times New Roman"/>
          <w:b/>
          <w:sz w:val="20"/>
          <w:szCs w:val="20"/>
        </w:rPr>
        <w:instrText xml:space="preserve"> SEQ Διάγραμμα \* ARABIC </w:instrText>
      </w:r>
      <w:r w:rsidRPr="00286216">
        <w:rPr>
          <w:rFonts w:cs="Times New Roman"/>
          <w:b/>
          <w:sz w:val="20"/>
          <w:szCs w:val="20"/>
        </w:rPr>
        <w:fldChar w:fldCharType="separate"/>
      </w:r>
      <w:r w:rsidR="0038196B">
        <w:rPr>
          <w:rFonts w:cs="Times New Roman"/>
          <w:b/>
          <w:noProof/>
          <w:sz w:val="20"/>
          <w:szCs w:val="20"/>
        </w:rPr>
        <w:t>8</w:t>
      </w:r>
      <w:r w:rsidRPr="00286216">
        <w:rPr>
          <w:rFonts w:cs="Times New Roman"/>
          <w:b/>
          <w:sz w:val="20"/>
          <w:szCs w:val="20"/>
        </w:rPr>
        <w:fldChar w:fldCharType="end"/>
      </w:r>
      <w:bookmarkEnd w:id="38"/>
      <w:r w:rsidRPr="00286216">
        <w:rPr>
          <w:rFonts w:cs="Times New Roman"/>
          <w:b/>
          <w:sz w:val="20"/>
          <w:szCs w:val="20"/>
        </w:rPr>
        <w:t>:</w:t>
      </w:r>
      <w:r w:rsidRPr="00B17FD0">
        <w:rPr>
          <w:rFonts w:eastAsiaTheme="minorEastAsia"/>
          <w:kern w:val="24"/>
          <w:lang w:eastAsia="el-GR"/>
        </w:rPr>
        <w:t xml:space="preserve"> </w:t>
      </w:r>
      <w:r>
        <w:rPr>
          <w:color w:val="00A3E0"/>
          <w:sz w:val="20"/>
          <w:szCs w:val="20"/>
        </w:rPr>
        <w:t xml:space="preserve">Εν.ΔΤΚ Οκτωβρίου 2021 </w:t>
      </w:r>
      <w:bookmarkEnd w:id="39"/>
      <w:r>
        <w:rPr>
          <w:color w:val="00A3E0"/>
          <w:sz w:val="20"/>
          <w:szCs w:val="20"/>
        </w:rPr>
        <w:t>ανά ομάδα αγαθών &amp; υπηρεσιών</w:t>
      </w:r>
      <w:bookmarkEnd w:id="40"/>
      <w:bookmarkEnd w:id="41"/>
    </w:p>
    <w:p w14:paraId="653A3006" w14:textId="77777777" w:rsidR="008E130B" w:rsidRDefault="008E130B" w:rsidP="008E130B">
      <w:pPr>
        <w:spacing w:after="60"/>
        <w:jc w:val="left"/>
        <w:rPr>
          <w:color w:val="00A3E0"/>
          <w:sz w:val="20"/>
          <w:szCs w:val="20"/>
        </w:rPr>
      </w:pPr>
      <w:r>
        <w:rPr>
          <w:noProof/>
          <w:lang w:eastAsia="el-GR"/>
        </w:rPr>
        <w:drawing>
          <wp:inline distT="0" distB="0" distL="0" distR="0" wp14:anchorId="225ED85A" wp14:editId="2B9EAA32">
            <wp:extent cx="5276850" cy="3295650"/>
            <wp:effectExtent l="0" t="0" r="19050" b="19050"/>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51362B" w14:textId="77777777" w:rsidR="008E130B" w:rsidRDefault="008E130B" w:rsidP="008E130B">
      <w:pPr>
        <w:rPr>
          <w:iCs/>
          <w:noProof/>
          <w:color w:val="00A3E0"/>
          <w:sz w:val="16"/>
          <w:szCs w:val="16"/>
        </w:rPr>
      </w:pPr>
      <w:r w:rsidRPr="004D1F57">
        <w:rPr>
          <w:b/>
          <w:color w:val="auto"/>
          <w:sz w:val="16"/>
          <w:szCs w:val="16"/>
        </w:rPr>
        <w:t>Πηγή:</w:t>
      </w:r>
      <w:r w:rsidRPr="004D1F57">
        <w:rPr>
          <w:color w:val="auto"/>
          <w:sz w:val="16"/>
          <w:szCs w:val="16"/>
        </w:rPr>
        <w:t xml:space="preserve"> </w:t>
      </w:r>
      <w:r>
        <w:rPr>
          <w:iCs/>
          <w:noProof/>
          <w:color w:val="00A3E0"/>
          <w:sz w:val="16"/>
          <w:szCs w:val="16"/>
        </w:rPr>
        <w:t>ΕΛΣΤΑΤ</w:t>
      </w:r>
      <w:r w:rsidRPr="004D1F57">
        <w:rPr>
          <w:iCs/>
          <w:noProof/>
          <w:color w:val="00A3E0"/>
          <w:sz w:val="16"/>
          <w:szCs w:val="16"/>
        </w:rPr>
        <w:t>.</w:t>
      </w:r>
    </w:p>
    <w:p w14:paraId="3A97B6E2" w14:textId="09080643" w:rsidR="008E130B" w:rsidRDefault="008E130B" w:rsidP="00844D6F">
      <w:pPr>
        <w:spacing w:after="60"/>
        <w:rPr>
          <w:color w:val="auto"/>
        </w:rPr>
      </w:pPr>
      <w:r>
        <w:rPr>
          <w:color w:val="auto"/>
        </w:rPr>
        <w:t xml:space="preserve">Παρόμοια είναι η κατάσταση σε επίπεδο ευρωζώνης, αν και οι αντιπληθωριστικές πιέσεις κατά την κορύφωση της πανδημίας ήταν πιο περιορισμένες η </w:t>
      </w:r>
      <w:r w:rsidR="00524AC5">
        <w:rPr>
          <w:color w:val="auto"/>
        </w:rPr>
        <w:t xml:space="preserve">δε </w:t>
      </w:r>
      <w:r>
        <w:rPr>
          <w:color w:val="auto"/>
        </w:rPr>
        <w:t>άνοδος των τιμών εντονότερη κατά τη φάση της ανάκαμψης. Συγκεκριμένα, η αύξηση του Εν.ΔΤΚ της ευρωζώνης ανήλθε σε 4,1% τον Οκτώβριο, παραμένοντας για τέταρτο συνεχή μήνα άνω του ορίου του 2% που έχει τεθεί από την ευρωπαϊκή κεντρική τράπεζα. Περαιτέρω, το επίπεδο των τιμών στην ευρωζώνη από 105,13 μονάδες το</w:t>
      </w:r>
      <w:r w:rsidR="00524AC5">
        <w:rPr>
          <w:color w:val="auto"/>
        </w:rPr>
        <w:t>ν</w:t>
      </w:r>
      <w:r>
        <w:rPr>
          <w:color w:val="auto"/>
        </w:rPr>
        <w:t xml:space="preserve"> Μάρτιο του 2020 έχει πλέον ανέλθει στις 109,41 μονάδες τον Οκτώβριο του 2021. Εάν αφαιρέσουμε τις </w:t>
      </w:r>
      <w:r w:rsidRPr="00621D21">
        <w:rPr>
          <w:color w:val="auto"/>
        </w:rPr>
        <w:t>κατηγορίες της ενέργειας, των ειδών διατροφής, των αλκοολούχων ποτών και</w:t>
      </w:r>
      <w:r>
        <w:rPr>
          <w:color w:val="auto"/>
        </w:rPr>
        <w:t xml:space="preserve"> </w:t>
      </w:r>
      <w:r w:rsidRPr="00621D21">
        <w:rPr>
          <w:color w:val="auto"/>
        </w:rPr>
        <w:t xml:space="preserve">του </w:t>
      </w:r>
      <w:r w:rsidRPr="00F27CC6">
        <w:rPr>
          <w:color w:val="auto"/>
        </w:rPr>
        <w:t>καπνού προκύπτει ο πυρήνας του πληθωρισμού (δομικός πληθωρισμός), ο οποίος αυξήθηκε κατά 2,1% στην ευρωζώνη έναντι 0,5% στην Ελλάδα (</w:t>
      </w:r>
      <w:r w:rsidR="00F27CC6" w:rsidRPr="00F27CC6">
        <w:rPr>
          <w:color w:val="auto"/>
        </w:rPr>
        <w:fldChar w:fldCharType="begin"/>
      </w:r>
      <w:r w:rsidR="00F27CC6" w:rsidRPr="00F27CC6">
        <w:rPr>
          <w:color w:val="auto"/>
        </w:rPr>
        <w:instrText xml:space="preserve"> REF _Ref88745887 \h  \* MERGEFORMAT </w:instrText>
      </w:r>
      <w:r w:rsidR="00F27CC6" w:rsidRPr="00F27CC6">
        <w:rPr>
          <w:color w:val="auto"/>
        </w:rPr>
      </w:r>
      <w:r w:rsidR="00F27CC6" w:rsidRPr="00F27CC6">
        <w:rPr>
          <w:color w:val="auto"/>
        </w:rPr>
        <w:fldChar w:fldCharType="separate"/>
      </w:r>
      <w:r w:rsidR="0038196B" w:rsidRPr="0038196B">
        <w:rPr>
          <w:rFonts w:cs="Times New Roman"/>
          <w:color w:val="auto"/>
        </w:rPr>
        <w:t xml:space="preserve">Διάγραμμα </w:t>
      </w:r>
      <w:r w:rsidR="0038196B" w:rsidRPr="0038196B">
        <w:rPr>
          <w:rFonts w:cs="Times New Roman"/>
          <w:noProof/>
          <w:color w:val="auto"/>
        </w:rPr>
        <w:t>9</w:t>
      </w:r>
      <w:r w:rsidR="00F27CC6" w:rsidRPr="00F27CC6">
        <w:rPr>
          <w:color w:val="auto"/>
        </w:rPr>
        <w:fldChar w:fldCharType="end"/>
      </w:r>
      <w:r w:rsidRPr="00F27CC6">
        <w:rPr>
          <w:color w:val="auto"/>
        </w:rPr>
        <w:t>). Αξ</w:t>
      </w:r>
      <w:r w:rsidR="00844D6F" w:rsidRPr="00F27CC6">
        <w:rPr>
          <w:color w:val="auto"/>
        </w:rPr>
        <w:t>ίζει να σημειωθεί ότι καθ</w:t>
      </w:r>
      <w:r w:rsidR="00F27CC6" w:rsidRPr="00F27CC6">
        <w:rPr>
          <w:color w:val="auto"/>
        </w:rPr>
        <w:t xml:space="preserve">’ </w:t>
      </w:r>
      <w:r w:rsidR="00844D6F" w:rsidRPr="00F27CC6">
        <w:rPr>
          <w:color w:val="auto"/>
        </w:rPr>
        <w:t>όλη τη</w:t>
      </w:r>
      <w:r w:rsidRPr="00F27CC6">
        <w:rPr>
          <w:color w:val="auto"/>
        </w:rPr>
        <w:t xml:space="preserve"> διάρκεια της πανδημικής κρίσης ο δομικός πληθωρισμός </w:t>
      </w:r>
      <w:r>
        <w:rPr>
          <w:color w:val="auto"/>
        </w:rPr>
        <w:t>στην ευρωζώνη ουδέποτε κατέστη αρνητικός, ενώ στην Ελλάδα ήταν κατά το μεγαλύτερο χρονικό διάστημα αρνητικός και μάλιστα σε επίπεδα μεταξύ -2,1% με -3,2%.</w:t>
      </w:r>
    </w:p>
    <w:p w14:paraId="694FDCD5" w14:textId="5B5E2146" w:rsidR="008E130B" w:rsidRDefault="008E130B" w:rsidP="008E130B">
      <w:pPr>
        <w:spacing w:after="60"/>
        <w:rPr>
          <w:color w:val="auto"/>
        </w:rPr>
      </w:pPr>
    </w:p>
    <w:p w14:paraId="452F6354" w14:textId="201F675B" w:rsidR="00844D6F" w:rsidRDefault="00844D6F" w:rsidP="008E130B">
      <w:pPr>
        <w:spacing w:after="60"/>
        <w:rPr>
          <w:color w:val="auto"/>
        </w:rPr>
      </w:pPr>
    </w:p>
    <w:p w14:paraId="1FF2589C" w14:textId="77777777" w:rsidR="00844D6F" w:rsidRDefault="00844D6F" w:rsidP="008E130B">
      <w:pPr>
        <w:spacing w:after="60"/>
        <w:jc w:val="left"/>
        <w:rPr>
          <w:rFonts w:cs="Times New Roman"/>
          <w:b/>
          <w:sz w:val="20"/>
          <w:szCs w:val="20"/>
        </w:rPr>
      </w:pPr>
      <w:bookmarkStart w:id="42" w:name="_Ref22638061"/>
      <w:bookmarkStart w:id="43" w:name="_Toc55697377"/>
      <w:bookmarkStart w:id="44" w:name="_Toc87662857"/>
    </w:p>
    <w:p w14:paraId="37D7C453" w14:textId="0BB76F32" w:rsidR="008E130B" w:rsidRDefault="008E130B" w:rsidP="008E130B">
      <w:pPr>
        <w:spacing w:after="60"/>
        <w:jc w:val="left"/>
        <w:rPr>
          <w:color w:val="00A3E0"/>
          <w:sz w:val="20"/>
          <w:szCs w:val="20"/>
        </w:rPr>
      </w:pPr>
      <w:bookmarkStart w:id="45" w:name="_Ref88745887"/>
      <w:bookmarkStart w:id="46" w:name="_Toc89172871"/>
      <w:r w:rsidRPr="00286216">
        <w:rPr>
          <w:rFonts w:cs="Times New Roman"/>
          <w:b/>
          <w:sz w:val="20"/>
          <w:szCs w:val="20"/>
        </w:rPr>
        <w:lastRenderedPageBreak/>
        <w:t xml:space="preserve">Διάγραμμα </w:t>
      </w:r>
      <w:r w:rsidRPr="00286216">
        <w:rPr>
          <w:rFonts w:cs="Times New Roman"/>
          <w:b/>
          <w:sz w:val="20"/>
          <w:szCs w:val="20"/>
        </w:rPr>
        <w:fldChar w:fldCharType="begin"/>
      </w:r>
      <w:r w:rsidRPr="00286216">
        <w:rPr>
          <w:rFonts w:cs="Times New Roman"/>
          <w:b/>
          <w:sz w:val="20"/>
          <w:szCs w:val="20"/>
        </w:rPr>
        <w:instrText xml:space="preserve"> SEQ Διάγραμμα \* ARABIC </w:instrText>
      </w:r>
      <w:r w:rsidRPr="00286216">
        <w:rPr>
          <w:rFonts w:cs="Times New Roman"/>
          <w:b/>
          <w:sz w:val="20"/>
          <w:szCs w:val="20"/>
        </w:rPr>
        <w:fldChar w:fldCharType="separate"/>
      </w:r>
      <w:r w:rsidR="0038196B">
        <w:rPr>
          <w:rFonts w:cs="Times New Roman"/>
          <w:b/>
          <w:noProof/>
          <w:sz w:val="20"/>
          <w:szCs w:val="20"/>
        </w:rPr>
        <w:t>9</w:t>
      </w:r>
      <w:r w:rsidRPr="00286216">
        <w:rPr>
          <w:rFonts w:cs="Times New Roman"/>
          <w:b/>
          <w:sz w:val="20"/>
          <w:szCs w:val="20"/>
        </w:rPr>
        <w:fldChar w:fldCharType="end"/>
      </w:r>
      <w:bookmarkEnd w:id="42"/>
      <w:bookmarkEnd w:id="45"/>
      <w:r w:rsidRPr="00286216">
        <w:rPr>
          <w:rFonts w:cs="Times New Roman"/>
          <w:b/>
          <w:sz w:val="20"/>
          <w:szCs w:val="20"/>
        </w:rPr>
        <w:t>:</w:t>
      </w:r>
      <w:r w:rsidRPr="00B17FD0">
        <w:rPr>
          <w:rFonts w:eastAsiaTheme="minorEastAsia"/>
          <w:kern w:val="24"/>
          <w:lang w:eastAsia="el-GR"/>
        </w:rPr>
        <w:t xml:space="preserve"> </w:t>
      </w:r>
      <w:r>
        <w:rPr>
          <w:color w:val="00A3E0"/>
          <w:sz w:val="20"/>
          <w:szCs w:val="20"/>
        </w:rPr>
        <w:t>Δομικός πληθωρισμός</w:t>
      </w:r>
      <w:bookmarkEnd w:id="43"/>
      <w:r>
        <w:rPr>
          <w:color w:val="00A3E0"/>
          <w:sz w:val="20"/>
          <w:szCs w:val="20"/>
        </w:rPr>
        <w:t xml:space="preserve"> Ελλάδας &amp; ευρωζώνης</w:t>
      </w:r>
      <w:bookmarkEnd w:id="44"/>
      <w:bookmarkEnd w:id="46"/>
    </w:p>
    <w:p w14:paraId="6B938209" w14:textId="77777777" w:rsidR="008E130B" w:rsidRDefault="008E130B" w:rsidP="008E130B">
      <w:pPr>
        <w:spacing w:after="60"/>
        <w:jc w:val="left"/>
        <w:rPr>
          <w:color w:val="00A3E0"/>
          <w:sz w:val="20"/>
          <w:szCs w:val="20"/>
        </w:rPr>
      </w:pPr>
      <w:r>
        <w:rPr>
          <w:noProof/>
          <w:lang w:eastAsia="el-GR"/>
        </w:rPr>
        <w:drawing>
          <wp:inline distT="0" distB="0" distL="0" distR="0" wp14:anchorId="00F40E2B" wp14:editId="78141038">
            <wp:extent cx="5276850" cy="3400425"/>
            <wp:effectExtent l="0" t="0" r="0" b="9525"/>
            <wp:docPr id="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F083F7" w14:textId="77777777" w:rsidR="008E130B" w:rsidRDefault="008E130B" w:rsidP="00873B5F">
      <w:pPr>
        <w:spacing w:after="240"/>
        <w:rPr>
          <w:iCs/>
          <w:noProof/>
          <w:color w:val="00A3E0"/>
          <w:sz w:val="16"/>
          <w:szCs w:val="16"/>
        </w:rPr>
      </w:pPr>
      <w:r w:rsidRPr="004D1F57">
        <w:rPr>
          <w:b/>
          <w:color w:val="auto"/>
          <w:sz w:val="16"/>
          <w:szCs w:val="16"/>
        </w:rPr>
        <w:t>Πηγή:</w:t>
      </w:r>
      <w:r w:rsidRPr="004D1F57">
        <w:rPr>
          <w:color w:val="auto"/>
          <w:sz w:val="16"/>
          <w:szCs w:val="16"/>
        </w:rPr>
        <w:t xml:space="preserve"> </w:t>
      </w:r>
      <w:r>
        <w:rPr>
          <w:iCs/>
          <w:noProof/>
          <w:color w:val="00A3E0"/>
          <w:sz w:val="16"/>
          <w:szCs w:val="16"/>
          <w:lang w:val="en-US"/>
        </w:rPr>
        <w:t>Eurostat</w:t>
      </w:r>
      <w:r>
        <w:rPr>
          <w:iCs/>
          <w:noProof/>
          <w:color w:val="00A3E0"/>
          <w:sz w:val="16"/>
          <w:szCs w:val="16"/>
        </w:rPr>
        <w:t xml:space="preserve"> </w:t>
      </w:r>
      <w:r w:rsidRPr="00A84825">
        <w:rPr>
          <w:iCs/>
          <w:noProof/>
          <w:color w:val="00A3E0"/>
          <w:sz w:val="16"/>
          <w:szCs w:val="16"/>
        </w:rPr>
        <w:t>(ετήσιες % μεταβολές)</w:t>
      </w:r>
      <w:r w:rsidRPr="004D1F57">
        <w:rPr>
          <w:iCs/>
          <w:noProof/>
          <w:color w:val="00A3E0"/>
          <w:sz w:val="16"/>
          <w:szCs w:val="16"/>
        </w:rPr>
        <w:t>.</w:t>
      </w:r>
    </w:p>
    <w:p w14:paraId="6A035566" w14:textId="19D8DCD4" w:rsidR="00873B5F" w:rsidRDefault="008E130B" w:rsidP="008E130B">
      <w:pPr>
        <w:spacing w:after="60"/>
        <w:rPr>
          <w:color w:val="auto"/>
        </w:rPr>
      </w:pPr>
      <w:r>
        <w:rPr>
          <w:color w:val="auto"/>
        </w:rPr>
        <w:t xml:space="preserve">Σε κάθε περίπτωση, οι πληθωριστικές πιέσεις σε Ελλάδα και ευρωζώνη φαίνεται </w:t>
      </w:r>
      <w:r w:rsidR="00524AC5">
        <w:rPr>
          <w:color w:val="auto"/>
        </w:rPr>
        <w:t>να</w:t>
      </w:r>
      <w:r>
        <w:rPr>
          <w:color w:val="auto"/>
        </w:rPr>
        <w:t xml:space="preserve"> έχουν προσωρινό χαρακτήρα και </w:t>
      </w:r>
      <w:r w:rsidR="00524AC5">
        <w:rPr>
          <w:color w:val="auto"/>
        </w:rPr>
        <w:t xml:space="preserve">να </w:t>
      </w:r>
      <w:r>
        <w:rPr>
          <w:color w:val="auto"/>
        </w:rPr>
        <w:t xml:space="preserve">οφείλονται κυρίως στην άνοδο των τιμών των ενεργειακών </w:t>
      </w:r>
      <w:r w:rsidR="00524AC5">
        <w:rPr>
          <w:color w:val="auto"/>
        </w:rPr>
        <w:t>εισροών</w:t>
      </w:r>
      <w:r>
        <w:rPr>
          <w:color w:val="auto"/>
        </w:rPr>
        <w:t xml:space="preserve"> κατά το τρέχον έτος, η οποία υπεραντιστάθμισε τη σημαντική μείωση που είχε προηγηθεί πέρυσι</w:t>
      </w:r>
      <w:r w:rsidR="00873B5F">
        <w:rPr>
          <w:color w:val="auto"/>
        </w:rPr>
        <w:t>.</w:t>
      </w:r>
      <w:r>
        <w:rPr>
          <w:color w:val="auto"/>
        </w:rPr>
        <w:t xml:space="preserve"> </w:t>
      </w:r>
      <w:r w:rsidR="00844D6F">
        <w:rPr>
          <w:color w:val="auto"/>
        </w:rPr>
        <w:t xml:space="preserve">Συγκεκριμένα, ο Εν.ΔΤΚ του κλάδου της </w:t>
      </w:r>
      <w:r w:rsidR="00844D6F" w:rsidRPr="00974501">
        <w:rPr>
          <w:color w:val="auto"/>
        </w:rPr>
        <w:t>ενέργειας</w:t>
      </w:r>
      <w:r w:rsidR="00844D6F" w:rsidRPr="00974501">
        <w:rPr>
          <w:rStyle w:val="af1"/>
          <w:color w:val="auto"/>
          <w:sz w:val="20"/>
          <w:szCs w:val="20"/>
        </w:rPr>
        <w:footnoteReference w:id="5"/>
      </w:r>
      <w:r w:rsidR="00844D6F" w:rsidRPr="00974501">
        <w:rPr>
          <w:color w:val="auto"/>
        </w:rPr>
        <w:t xml:space="preserve"> αυξήθηκε </w:t>
      </w:r>
      <w:r w:rsidR="00844D6F">
        <w:rPr>
          <w:color w:val="auto"/>
        </w:rPr>
        <w:t>τον Οκτώβριο κατά 25,3% σε σχέση με πέρυσι στην Ελλάδα και κατά 23,5% στην ευρωζώνη (</w:t>
      </w:r>
      <w:r w:rsidR="00844D6F">
        <w:rPr>
          <w:color w:val="auto"/>
        </w:rPr>
        <w:fldChar w:fldCharType="begin"/>
      </w:r>
      <w:r w:rsidR="00844D6F">
        <w:rPr>
          <w:color w:val="auto"/>
        </w:rPr>
        <w:instrText xml:space="preserve"> REF _Ref87228773 \h  \* MERGEFORMAT </w:instrText>
      </w:r>
      <w:r w:rsidR="00844D6F">
        <w:rPr>
          <w:color w:val="auto"/>
        </w:rPr>
      </w:r>
      <w:r w:rsidR="00844D6F">
        <w:rPr>
          <w:color w:val="auto"/>
        </w:rPr>
        <w:fldChar w:fldCharType="separate"/>
      </w:r>
      <w:r w:rsidR="0038196B" w:rsidRPr="0038196B">
        <w:rPr>
          <w:color w:val="auto"/>
        </w:rPr>
        <w:t>Διάγραμμα 10</w:t>
      </w:r>
      <w:r w:rsidR="00844D6F">
        <w:rPr>
          <w:color w:val="auto"/>
        </w:rPr>
        <w:fldChar w:fldCharType="end"/>
      </w:r>
      <w:r w:rsidR="00844D6F">
        <w:rPr>
          <w:color w:val="auto"/>
        </w:rPr>
        <w:t>).</w:t>
      </w:r>
      <w:r w:rsidR="00873B5F">
        <w:rPr>
          <w:color w:val="auto"/>
        </w:rPr>
        <w:t xml:space="preserve"> Επιπλέον, η εκτίμηση ότι οι πληθωριστικές πιέσεις θα είναι παροδικές ενισχύεται και από το γεγονός ότι αυτές οφείλονται</w:t>
      </w:r>
      <w:r>
        <w:rPr>
          <w:color w:val="auto"/>
        </w:rPr>
        <w:t xml:space="preserve"> </w:t>
      </w:r>
      <w:r w:rsidR="00524AC5">
        <w:rPr>
          <w:color w:val="auto"/>
        </w:rPr>
        <w:t>επίσης</w:t>
      </w:r>
      <w:r>
        <w:rPr>
          <w:color w:val="auto"/>
        </w:rPr>
        <w:t xml:space="preserve"> σε δυσλειτουργίες των εφοδιαστικών αλυσίδων</w:t>
      </w:r>
      <w:r w:rsidR="00873B5F">
        <w:rPr>
          <w:color w:val="auto"/>
        </w:rPr>
        <w:t>,</w:t>
      </w:r>
      <w:r>
        <w:rPr>
          <w:color w:val="auto"/>
        </w:rPr>
        <w:t xml:space="preserve"> λόγω της απότομης αύξησης της ζήτησης μετά τη χα</w:t>
      </w:r>
      <w:r w:rsidR="00873B5F">
        <w:rPr>
          <w:color w:val="auto"/>
        </w:rPr>
        <w:t>λάρωση των περιοριστικών μέτρων, οι οποίες αναμέν</w:t>
      </w:r>
      <w:r w:rsidR="00524AC5">
        <w:rPr>
          <w:color w:val="auto"/>
        </w:rPr>
        <w:t>ε</w:t>
      </w:r>
      <w:r w:rsidR="00873B5F">
        <w:rPr>
          <w:color w:val="auto"/>
        </w:rPr>
        <w:t>ται να εξομαλυνθούν.</w:t>
      </w:r>
    </w:p>
    <w:p w14:paraId="63D565DC" w14:textId="77777777" w:rsidR="00873B5F" w:rsidRDefault="00873B5F">
      <w:pPr>
        <w:spacing w:after="160" w:line="0" w:lineRule="auto"/>
        <w:jc w:val="left"/>
        <w:rPr>
          <w:color w:val="auto"/>
        </w:rPr>
      </w:pPr>
      <w:r>
        <w:rPr>
          <w:color w:val="auto"/>
        </w:rPr>
        <w:br w:type="page"/>
      </w:r>
    </w:p>
    <w:p w14:paraId="401CCAFE" w14:textId="246C05E2" w:rsidR="008E130B" w:rsidRDefault="008E130B" w:rsidP="008E130B">
      <w:pPr>
        <w:spacing w:after="60"/>
        <w:jc w:val="left"/>
        <w:rPr>
          <w:color w:val="00A3E0"/>
          <w:sz w:val="20"/>
          <w:szCs w:val="20"/>
        </w:rPr>
      </w:pPr>
      <w:bookmarkStart w:id="47" w:name="_Ref87228773"/>
      <w:bookmarkStart w:id="48" w:name="_Toc87662858"/>
      <w:bookmarkStart w:id="49" w:name="_Toc89172872"/>
      <w:r w:rsidRPr="00286216">
        <w:rPr>
          <w:rFonts w:cs="Times New Roman"/>
          <w:b/>
          <w:sz w:val="20"/>
          <w:szCs w:val="20"/>
        </w:rPr>
        <w:lastRenderedPageBreak/>
        <w:t xml:space="preserve">Διάγραμμα </w:t>
      </w:r>
      <w:r w:rsidRPr="00286216">
        <w:rPr>
          <w:rFonts w:cs="Times New Roman"/>
          <w:b/>
          <w:sz w:val="20"/>
          <w:szCs w:val="20"/>
        </w:rPr>
        <w:fldChar w:fldCharType="begin"/>
      </w:r>
      <w:r w:rsidRPr="00286216">
        <w:rPr>
          <w:rFonts w:cs="Times New Roman"/>
          <w:b/>
          <w:sz w:val="20"/>
          <w:szCs w:val="20"/>
        </w:rPr>
        <w:instrText xml:space="preserve"> SEQ Διάγραμμα \* ARABIC </w:instrText>
      </w:r>
      <w:r w:rsidRPr="00286216">
        <w:rPr>
          <w:rFonts w:cs="Times New Roman"/>
          <w:b/>
          <w:sz w:val="20"/>
          <w:szCs w:val="20"/>
        </w:rPr>
        <w:fldChar w:fldCharType="separate"/>
      </w:r>
      <w:r w:rsidR="0038196B">
        <w:rPr>
          <w:rFonts w:cs="Times New Roman"/>
          <w:b/>
          <w:noProof/>
          <w:sz w:val="20"/>
          <w:szCs w:val="20"/>
        </w:rPr>
        <w:t>10</w:t>
      </w:r>
      <w:r w:rsidRPr="00286216">
        <w:rPr>
          <w:rFonts w:cs="Times New Roman"/>
          <w:b/>
          <w:sz w:val="20"/>
          <w:szCs w:val="20"/>
        </w:rPr>
        <w:fldChar w:fldCharType="end"/>
      </w:r>
      <w:bookmarkEnd w:id="47"/>
      <w:r w:rsidRPr="00286216">
        <w:rPr>
          <w:rFonts w:cs="Times New Roman"/>
          <w:b/>
          <w:sz w:val="20"/>
          <w:szCs w:val="20"/>
        </w:rPr>
        <w:t>:</w:t>
      </w:r>
      <w:r w:rsidRPr="00B17FD0">
        <w:rPr>
          <w:rFonts w:eastAsiaTheme="minorEastAsia"/>
          <w:kern w:val="24"/>
          <w:lang w:eastAsia="el-GR"/>
        </w:rPr>
        <w:t xml:space="preserve"> </w:t>
      </w:r>
      <w:r>
        <w:rPr>
          <w:color w:val="00A3E0"/>
          <w:sz w:val="20"/>
          <w:szCs w:val="20"/>
        </w:rPr>
        <w:t>Εναρμονισμένος Δείκτης Τιμών Καταναλωτή τομέα Ενέργειας</w:t>
      </w:r>
      <w:bookmarkEnd w:id="48"/>
      <w:bookmarkEnd w:id="49"/>
    </w:p>
    <w:p w14:paraId="2BA43E1A" w14:textId="77777777" w:rsidR="008E130B" w:rsidRDefault="008E130B" w:rsidP="008E130B">
      <w:pPr>
        <w:spacing w:after="60"/>
        <w:rPr>
          <w:color w:val="auto"/>
        </w:rPr>
      </w:pPr>
      <w:r>
        <w:rPr>
          <w:noProof/>
          <w:lang w:eastAsia="el-GR"/>
        </w:rPr>
        <w:drawing>
          <wp:inline distT="0" distB="0" distL="0" distR="0" wp14:anchorId="28F959F0" wp14:editId="1736F48E">
            <wp:extent cx="5276850" cy="3248025"/>
            <wp:effectExtent l="0" t="0" r="0" b="9525"/>
            <wp:docPr id="1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6EF3E64" w14:textId="77777777" w:rsidR="008E130B" w:rsidRDefault="008E130B" w:rsidP="008E130B">
      <w:pPr>
        <w:rPr>
          <w:color w:val="auto"/>
        </w:rPr>
      </w:pPr>
      <w:r w:rsidRPr="004D1F57">
        <w:rPr>
          <w:b/>
          <w:color w:val="auto"/>
          <w:sz w:val="16"/>
          <w:szCs w:val="16"/>
        </w:rPr>
        <w:t>Πηγή:</w:t>
      </w:r>
      <w:r w:rsidRPr="004D1F57">
        <w:rPr>
          <w:color w:val="auto"/>
          <w:sz w:val="16"/>
          <w:szCs w:val="16"/>
        </w:rPr>
        <w:t xml:space="preserve"> </w:t>
      </w:r>
      <w:r>
        <w:rPr>
          <w:iCs/>
          <w:noProof/>
          <w:color w:val="00A3E0"/>
          <w:sz w:val="16"/>
          <w:szCs w:val="16"/>
          <w:lang w:val="en-US"/>
        </w:rPr>
        <w:t>Eurostat</w:t>
      </w:r>
      <w:r>
        <w:rPr>
          <w:iCs/>
          <w:noProof/>
          <w:color w:val="00A3E0"/>
          <w:sz w:val="16"/>
          <w:szCs w:val="16"/>
        </w:rPr>
        <w:t xml:space="preserve"> </w:t>
      </w:r>
      <w:r w:rsidRPr="00A84825">
        <w:rPr>
          <w:iCs/>
          <w:noProof/>
          <w:color w:val="00A3E0"/>
          <w:sz w:val="16"/>
          <w:szCs w:val="16"/>
        </w:rPr>
        <w:t>(ετήσιες % μεταβολές)</w:t>
      </w:r>
      <w:r w:rsidRPr="004D1F57">
        <w:rPr>
          <w:iCs/>
          <w:noProof/>
          <w:color w:val="00A3E0"/>
          <w:sz w:val="16"/>
          <w:szCs w:val="16"/>
        </w:rPr>
        <w:t>.</w:t>
      </w:r>
    </w:p>
    <w:p w14:paraId="50A27156" w14:textId="1B8DB83A" w:rsidR="008E130B" w:rsidRDefault="008E130B" w:rsidP="008E130B">
      <w:pPr>
        <w:spacing w:after="160"/>
        <w:rPr>
          <w:color w:val="auto"/>
        </w:rPr>
      </w:pPr>
      <w:r>
        <w:rPr>
          <w:color w:val="auto"/>
        </w:rPr>
        <w:t xml:space="preserve">Οι προαναφερθέντες πληθωριστικοί παράγοντες αναμένεται να εξομαλυνθούν εντός του 2022 </w:t>
      </w:r>
      <w:r w:rsidR="00524AC5">
        <w:rPr>
          <w:color w:val="auto"/>
        </w:rPr>
        <w:t xml:space="preserve">ούτως ώστε </w:t>
      </w:r>
      <w:r>
        <w:rPr>
          <w:color w:val="auto"/>
        </w:rPr>
        <w:t>ο πληθωρισμός στην ευρωζώνη να επανέλθει σε επίπεδα κάτω του ορίου του 2%. Συγκεκριμένα, η ΕΚΤ στις μακροοικονομικές προβλέψεις του Σεπτεμβρίου</w:t>
      </w:r>
      <w:r>
        <w:rPr>
          <w:rStyle w:val="af1"/>
          <w:color w:val="auto"/>
        </w:rPr>
        <w:footnoteReference w:id="6"/>
      </w:r>
      <w:r>
        <w:rPr>
          <w:color w:val="auto"/>
        </w:rPr>
        <w:t xml:space="preserve"> εκτιμά ότι η μεταβολή του Εν.ΔΤΚ θα ανέλθει στο 2,2% το τρέχον έτος και θα υποχωρήσει στο 1,7% και 1,5% κατά τα δύο επόμενα έτη. Κατά συνέπεια, μια αύξηση των επιτοκίων της ΕΚΤ δεν φαίνεται πιθανή στο προσεχές μέλλον, αλλά δεν μπορεί </w:t>
      </w:r>
      <w:r w:rsidR="00524AC5">
        <w:rPr>
          <w:color w:val="auto"/>
        </w:rPr>
        <w:t>ούτε</w:t>
      </w:r>
      <w:r>
        <w:rPr>
          <w:color w:val="auto"/>
        </w:rPr>
        <w:t xml:space="preserve"> να αποκλειστεί εάν οι πληθωριστικές πιέσεις επιμείνουν</w:t>
      </w:r>
      <w:r w:rsidR="000025BA">
        <w:rPr>
          <w:color w:val="auto"/>
        </w:rPr>
        <w:t xml:space="preserve"> και επικρατήσουν οι </w:t>
      </w:r>
      <w:r w:rsidR="00E128C4">
        <w:rPr>
          <w:color w:val="auto"/>
        </w:rPr>
        <w:t xml:space="preserve">πλευρές </w:t>
      </w:r>
      <w:r w:rsidR="000025BA">
        <w:rPr>
          <w:color w:val="auto"/>
        </w:rPr>
        <w:t>που πιέζουν για πιο σφιχτή νομισματική πολιτική.</w:t>
      </w:r>
    </w:p>
    <w:p w14:paraId="3F0E9A86" w14:textId="77777777" w:rsidR="003C3C83" w:rsidRDefault="003C3C83" w:rsidP="003C3C83">
      <w:pPr>
        <w:spacing w:after="160"/>
        <w:rPr>
          <w:color w:val="auto"/>
        </w:rPr>
      </w:pPr>
    </w:p>
    <w:p w14:paraId="641EA71F" w14:textId="25FD98CA" w:rsidR="003C3C83" w:rsidRPr="003C3C83" w:rsidRDefault="003C3C83" w:rsidP="003C3C83">
      <w:pPr>
        <w:pStyle w:val="a1"/>
      </w:pPr>
      <w:bookmarkStart w:id="50" w:name="_Toc89172821"/>
      <w:r w:rsidRPr="003C3C83">
        <w:t>Απασχόληση, ανεργία, εργατικό δυναμικό</w:t>
      </w:r>
      <w:bookmarkEnd w:id="50"/>
      <w:r w:rsidRPr="003C3C83">
        <w:t xml:space="preserve"> </w:t>
      </w:r>
    </w:p>
    <w:p w14:paraId="2C022C60" w14:textId="2F0736C4" w:rsidR="00D70434" w:rsidRDefault="00D70434" w:rsidP="00873B5F">
      <w:pPr>
        <w:spacing w:after="240"/>
        <w:rPr>
          <w:color w:val="auto"/>
        </w:rPr>
      </w:pPr>
      <w:r w:rsidRPr="00D70434">
        <w:rPr>
          <w:color w:val="auto"/>
        </w:rPr>
        <w:t>Σύμφωνα με τα τελευταία διαθέσιμα στοιχεία από την Έρευνα Εργατικού Δυναμικού της ΕΛΣΤΑΤ, το ποσοστό ανεργίας τον Αύγουστο του 2021 διαμορφώθηκε σε 13,9%, μειωμένο κατά 3 ποσοστιαίες μονάδες σε σχέση με τον Αύγουστο του 2020 (</w:t>
      </w:r>
      <w:r>
        <w:rPr>
          <w:color w:val="auto"/>
        </w:rPr>
        <w:fldChar w:fldCharType="begin"/>
      </w:r>
      <w:r>
        <w:rPr>
          <w:color w:val="auto"/>
        </w:rPr>
        <w:instrText xml:space="preserve"> REF _Ref87872299 \h </w:instrText>
      </w:r>
      <w:r>
        <w:rPr>
          <w:color w:val="auto"/>
        </w:rPr>
      </w:r>
      <w:r>
        <w:rPr>
          <w:color w:val="auto"/>
        </w:rPr>
        <w:fldChar w:fldCharType="separate"/>
      </w:r>
      <w:r w:rsidR="0038196B" w:rsidRPr="00286216">
        <w:rPr>
          <w:rFonts w:cs="Times New Roman"/>
          <w:b/>
          <w:sz w:val="20"/>
          <w:szCs w:val="20"/>
        </w:rPr>
        <w:t xml:space="preserve">Διάγραμμα </w:t>
      </w:r>
      <w:r w:rsidR="0038196B">
        <w:rPr>
          <w:rFonts w:cs="Times New Roman"/>
          <w:b/>
          <w:noProof/>
          <w:sz w:val="20"/>
          <w:szCs w:val="20"/>
        </w:rPr>
        <w:t>11</w:t>
      </w:r>
      <w:r>
        <w:rPr>
          <w:color w:val="auto"/>
        </w:rPr>
        <w:fldChar w:fldCharType="end"/>
      </w:r>
      <w:r w:rsidRPr="00D70434">
        <w:rPr>
          <w:color w:val="auto"/>
        </w:rPr>
        <w:t xml:space="preserve">). Συνεχίζεται  δηλαδή η πτωτική τάση του ποσοστού ανεργίας που ξεκίνησε το Μάιο του τρέχοντος έτους. Η μείωση του ποσοστού ανεργίας, σε ετήσια βάση, οφείλεται αποκλειστικά στην ταχύτερη αύξηση της απασχόλησης σε σχέση με την αύξηση του εργατικού δυναμικού. Πιο συγκεκριμένα, η απασχόληση αυξήθηκε τον Αύγουστο του 2021 κατά 5,8% σε σχέση με τον Αύγουστο του 2020, δηλαδή αυξήθηκε κατά 227 χιλ. άτομα, ενώ το εργατικό δυναμικό αυξήθηκε κατά 2,1%, δηλαδή κατά 98 χιλ. άτομα. Η κατάσταση στην αγορά εργασίας τον Αύγουστο του 2021 σε σχέση με τον Αύγουστο του 2019, πριν την έναρξη της πανδημίας, </w:t>
      </w:r>
      <w:r w:rsidR="00E128C4">
        <w:rPr>
          <w:color w:val="auto"/>
        </w:rPr>
        <w:t>φαίνεται να βελτιώνεται</w:t>
      </w:r>
      <w:r w:rsidRPr="00D70434">
        <w:rPr>
          <w:color w:val="auto"/>
        </w:rPr>
        <w:t xml:space="preserve">, με την απασχόληση να έχει αυξηθεί κατά 4%, (155 χιλ. άτομα), και το εργατικό </w:t>
      </w:r>
      <w:r w:rsidRPr="00D70434">
        <w:rPr>
          <w:color w:val="auto"/>
        </w:rPr>
        <w:lastRenderedPageBreak/>
        <w:t>δυναμικό κατά 0,6%, (25 χιλ. άτομα), με αποτέλεσμα τη μείωση του ποσοστού ανεργίας κατά 2,8 ποσοστιαίες μονάδες τα τελευταία δυο χρόνια.</w:t>
      </w:r>
    </w:p>
    <w:p w14:paraId="3C99B3E8" w14:textId="7A0B4755" w:rsidR="00D70434" w:rsidRPr="00D70434" w:rsidRDefault="00D70434" w:rsidP="00D70434">
      <w:pPr>
        <w:spacing w:line="240" w:lineRule="auto"/>
        <w:rPr>
          <w:rFonts w:asciiTheme="minorHAnsi" w:eastAsia="Calibri" w:hAnsiTheme="minorHAnsi" w:cs="Times New Roman"/>
          <w:iCs/>
          <w:color w:val="00A3E0"/>
          <w:sz w:val="20"/>
          <w:szCs w:val="20"/>
        </w:rPr>
      </w:pPr>
      <w:bookmarkStart w:id="51" w:name="_Ref87872299"/>
      <w:bookmarkStart w:id="52" w:name="_Toc89172873"/>
      <w:r w:rsidRPr="00286216">
        <w:rPr>
          <w:rFonts w:cs="Times New Roman"/>
          <w:b/>
          <w:sz w:val="20"/>
          <w:szCs w:val="20"/>
        </w:rPr>
        <w:t xml:space="preserve">Διάγραμμα </w:t>
      </w:r>
      <w:r w:rsidRPr="00286216">
        <w:rPr>
          <w:rFonts w:cs="Times New Roman"/>
          <w:b/>
          <w:sz w:val="20"/>
          <w:szCs w:val="20"/>
        </w:rPr>
        <w:fldChar w:fldCharType="begin"/>
      </w:r>
      <w:r w:rsidRPr="00286216">
        <w:rPr>
          <w:rFonts w:cs="Times New Roman"/>
          <w:b/>
          <w:sz w:val="20"/>
          <w:szCs w:val="20"/>
        </w:rPr>
        <w:instrText xml:space="preserve"> SEQ Διάγραμμα \* ARABIC </w:instrText>
      </w:r>
      <w:r w:rsidRPr="00286216">
        <w:rPr>
          <w:rFonts w:cs="Times New Roman"/>
          <w:b/>
          <w:sz w:val="20"/>
          <w:szCs w:val="20"/>
        </w:rPr>
        <w:fldChar w:fldCharType="separate"/>
      </w:r>
      <w:r w:rsidR="0038196B">
        <w:rPr>
          <w:rFonts w:cs="Times New Roman"/>
          <w:b/>
          <w:noProof/>
          <w:sz w:val="20"/>
          <w:szCs w:val="20"/>
        </w:rPr>
        <w:t>11</w:t>
      </w:r>
      <w:r w:rsidRPr="00286216">
        <w:rPr>
          <w:rFonts w:cs="Times New Roman"/>
          <w:b/>
          <w:sz w:val="20"/>
          <w:szCs w:val="20"/>
        </w:rPr>
        <w:fldChar w:fldCharType="end"/>
      </w:r>
      <w:bookmarkEnd w:id="51"/>
      <w:r w:rsidRPr="00286216">
        <w:rPr>
          <w:rFonts w:cs="Times New Roman"/>
          <w:b/>
          <w:sz w:val="20"/>
          <w:szCs w:val="20"/>
        </w:rPr>
        <w:t>:</w:t>
      </w:r>
      <w:r w:rsidRPr="00B17FD0">
        <w:rPr>
          <w:rFonts w:eastAsiaTheme="minorEastAsia"/>
          <w:kern w:val="24"/>
          <w:lang w:eastAsia="el-GR"/>
        </w:rPr>
        <w:t xml:space="preserve"> </w:t>
      </w:r>
      <w:r w:rsidRPr="00D70434">
        <w:rPr>
          <w:rFonts w:asciiTheme="minorHAnsi" w:eastAsia="Calibri" w:hAnsiTheme="minorHAnsi" w:cs="Times New Roman"/>
          <w:iCs/>
          <w:color w:val="00A3E0"/>
          <w:sz w:val="20"/>
          <w:szCs w:val="20"/>
        </w:rPr>
        <w:t>Εξέλιξη εργατικού δυναμικού, απασχόλησης και ποσοστού ανεργίας (Αυγ. 2019, Αύγ. 2020 – Αύγ. 2021)</w:t>
      </w:r>
      <w:bookmarkEnd w:id="52"/>
    </w:p>
    <w:p w14:paraId="6F97AC16" w14:textId="77777777" w:rsidR="00D70434" w:rsidRPr="00D70434" w:rsidRDefault="00D70434" w:rsidP="00D70434">
      <w:pPr>
        <w:spacing w:after="0" w:line="240" w:lineRule="auto"/>
        <w:jc w:val="left"/>
        <w:rPr>
          <w:rFonts w:asciiTheme="minorHAnsi" w:hAnsiTheme="minorHAnsi"/>
          <w:b/>
          <w:color w:val="auto"/>
          <w:sz w:val="18"/>
          <w:szCs w:val="16"/>
          <w:lang w:val="en-GB"/>
        </w:rPr>
      </w:pPr>
      <w:r w:rsidRPr="00D70434">
        <w:rPr>
          <w:rFonts w:asciiTheme="minorHAnsi" w:hAnsiTheme="minorHAnsi"/>
          <w:noProof/>
          <w:color w:val="auto"/>
          <w:lang w:eastAsia="el-GR"/>
        </w:rPr>
        <w:drawing>
          <wp:inline distT="0" distB="0" distL="0" distR="0" wp14:anchorId="4BF8D2D8" wp14:editId="23BD756C">
            <wp:extent cx="5577840" cy="2865120"/>
            <wp:effectExtent l="0" t="0" r="3810" b="11430"/>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8B1BBE8" w14:textId="77777777" w:rsidR="00D70434" w:rsidRPr="00D70434" w:rsidRDefault="00D70434" w:rsidP="00D70434">
      <w:pPr>
        <w:spacing w:after="0" w:line="240" w:lineRule="auto"/>
        <w:jc w:val="left"/>
        <w:rPr>
          <w:rFonts w:asciiTheme="minorHAnsi" w:hAnsiTheme="minorHAnsi"/>
          <w:b/>
          <w:color w:val="auto"/>
          <w:sz w:val="18"/>
          <w:szCs w:val="16"/>
        </w:rPr>
      </w:pPr>
    </w:p>
    <w:p w14:paraId="45828D1F" w14:textId="77777777" w:rsidR="00D70434" w:rsidRPr="00D70434" w:rsidRDefault="00D70434" w:rsidP="00D70434">
      <w:pPr>
        <w:spacing w:after="0" w:line="240" w:lineRule="auto"/>
        <w:jc w:val="left"/>
        <w:rPr>
          <w:rFonts w:asciiTheme="minorHAnsi" w:hAnsiTheme="minorHAnsi"/>
          <w:color w:val="auto"/>
          <w:sz w:val="18"/>
          <w:szCs w:val="16"/>
        </w:rPr>
      </w:pPr>
      <w:r w:rsidRPr="00D70434">
        <w:rPr>
          <w:rFonts w:asciiTheme="minorHAnsi" w:hAnsiTheme="minorHAnsi"/>
          <w:b/>
          <w:color w:val="auto"/>
          <w:sz w:val="18"/>
          <w:szCs w:val="16"/>
        </w:rPr>
        <w:t>Πηγή</w:t>
      </w:r>
      <w:r w:rsidRPr="00D70434">
        <w:rPr>
          <w:rFonts w:asciiTheme="minorHAnsi" w:hAnsiTheme="minorHAnsi"/>
          <w:b/>
          <w:color w:val="808080"/>
          <w:sz w:val="18"/>
          <w:szCs w:val="16"/>
        </w:rPr>
        <w:t>:</w:t>
      </w:r>
      <w:r w:rsidRPr="00D70434">
        <w:rPr>
          <w:rFonts w:asciiTheme="minorHAnsi" w:hAnsiTheme="minorHAnsi"/>
          <w:iCs/>
          <w:noProof/>
          <w:color w:val="808080"/>
          <w:sz w:val="18"/>
          <w:szCs w:val="16"/>
        </w:rPr>
        <w:t xml:space="preserve"> </w:t>
      </w:r>
      <w:r w:rsidRPr="00D70434">
        <w:rPr>
          <w:rFonts w:asciiTheme="minorHAnsi" w:hAnsiTheme="minorHAnsi"/>
          <w:iCs/>
          <w:noProof/>
          <w:color w:val="00A3E0"/>
          <w:sz w:val="18"/>
          <w:szCs w:val="16"/>
        </w:rPr>
        <w:t>ΕΛΣΤΑΤ, Έρευνα Εργατικού Δυναμικού (εποχικά διορθωμένα στοιχεία).</w:t>
      </w:r>
    </w:p>
    <w:p w14:paraId="3C6CAFEF" w14:textId="77777777" w:rsidR="00D70434" w:rsidRPr="00D70434" w:rsidRDefault="00D70434" w:rsidP="00D70434">
      <w:pPr>
        <w:spacing w:after="160" w:line="259" w:lineRule="auto"/>
        <w:rPr>
          <w:color w:val="auto"/>
          <w:szCs w:val="20"/>
        </w:rPr>
      </w:pPr>
    </w:p>
    <w:p w14:paraId="30A63D37" w14:textId="7AFC46D1" w:rsidR="00D70434" w:rsidRPr="00D70434" w:rsidRDefault="00D70434" w:rsidP="00D70434">
      <w:pPr>
        <w:spacing w:after="160" w:line="259" w:lineRule="auto"/>
        <w:rPr>
          <w:color w:val="auto"/>
          <w:szCs w:val="20"/>
        </w:rPr>
      </w:pPr>
      <w:r w:rsidRPr="00D70434">
        <w:rPr>
          <w:color w:val="auto"/>
          <w:szCs w:val="20"/>
        </w:rPr>
        <w:t xml:space="preserve">Αντίστοιχη ενθαρρυντική εικόνα παρουσιάζουν τα στοιχεία του πληροφοριακού συστήματος «ΕΡΓΑΝΗ» του Υπουργείου Εργασίας για τις ροές μισθωτής απασχόλησης στον ιδιωτικό τομέα, </w:t>
      </w:r>
      <w:r w:rsidR="00E128C4">
        <w:rPr>
          <w:color w:val="auto"/>
          <w:szCs w:val="20"/>
        </w:rPr>
        <w:t>όπου εμφανίζεται</w:t>
      </w:r>
      <w:r w:rsidRPr="00D70434">
        <w:rPr>
          <w:color w:val="auto"/>
          <w:szCs w:val="20"/>
        </w:rPr>
        <w:t xml:space="preserve"> ενίσχυση της απασχόλησης κατά το πρώτο εννεάμηνο του 2021 (</w:t>
      </w:r>
      <w:r>
        <w:rPr>
          <w:color w:val="auto"/>
          <w:szCs w:val="20"/>
        </w:rPr>
        <w:fldChar w:fldCharType="begin"/>
      </w:r>
      <w:r>
        <w:rPr>
          <w:color w:val="auto"/>
          <w:szCs w:val="20"/>
        </w:rPr>
        <w:instrText xml:space="preserve"> REF _Ref87872318 \h </w:instrText>
      </w:r>
      <w:r>
        <w:rPr>
          <w:color w:val="auto"/>
          <w:szCs w:val="20"/>
        </w:rPr>
      </w:r>
      <w:r>
        <w:rPr>
          <w:color w:val="auto"/>
          <w:szCs w:val="20"/>
        </w:rPr>
        <w:fldChar w:fldCharType="separate"/>
      </w:r>
      <w:r w:rsidR="0038196B" w:rsidRPr="00286216">
        <w:rPr>
          <w:rFonts w:cs="Times New Roman"/>
          <w:b/>
          <w:sz w:val="20"/>
          <w:szCs w:val="20"/>
        </w:rPr>
        <w:t xml:space="preserve">Διάγραμμα </w:t>
      </w:r>
      <w:r w:rsidR="0038196B">
        <w:rPr>
          <w:rFonts w:cs="Times New Roman"/>
          <w:b/>
          <w:noProof/>
          <w:sz w:val="20"/>
          <w:szCs w:val="20"/>
        </w:rPr>
        <w:t>12</w:t>
      </w:r>
      <w:r>
        <w:rPr>
          <w:color w:val="auto"/>
          <w:szCs w:val="20"/>
        </w:rPr>
        <w:fldChar w:fldCharType="end"/>
      </w:r>
      <w:r w:rsidRPr="00D70434">
        <w:rPr>
          <w:color w:val="auto"/>
          <w:szCs w:val="20"/>
        </w:rPr>
        <w:t>). Συγκεκριμένα, σωρευτικ</w:t>
      </w:r>
      <w:r w:rsidR="00E128C4">
        <w:rPr>
          <w:color w:val="auto"/>
          <w:szCs w:val="20"/>
        </w:rPr>
        <w:t>ά για την περίοδο Ιανουαρί</w:t>
      </w:r>
      <w:r w:rsidRPr="00D70434">
        <w:rPr>
          <w:color w:val="auto"/>
          <w:szCs w:val="20"/>
        </w:rPr>
        <w:t>ου–Σεπτεμβρίου 2021, οι αναγγελίες προσλήψεων ανήλθαν στις 1.769.457 και οι αποχωρήσεις έφτασαν τις 1.484.600, με αποτέλεσμα το ισοζύγιο των ροών μισθωτής απασχόλησης να είναι θετικό κατά 284.857 θέσεις εργασίας. Χαρακτηριστικό είναι ότι οι προσλήψεις αυξήθηκαν κατά 12,2% σε σχέση με την ίδια περίοδο το 2020 και οι αποχωρήσεις μειώθηκαν κατά 4,3%. Οι νέες αναγγελίες προσλήψεων αφορούσαν τόσο θέσεις πλήρους απασχόλησης (47,5% του συνόλου των προσλήψεων) όσο και θέσεις μερικής και εκ περιτροπής απασχόλησης (45% και 7,5% αντίστοιχα). Οι κλάδοι με υψηλότερα θετικά ισοζύγια το Σεπτέμβριο του 2021 είναι η εκπαίδευση, η δημόσια διοίκηση και άμυνα, οι δραστηριότητες κοινωνικής μέριμνας και οι δραστηριότητες ανθρώπινης υγείας.</w:t>
      </w:r>
    </w:p>
    <w:p w14:paraId="74873534" w14:textId="16B9124A" w:rsidR="00D70434" w:rsidRDefault="00D70434" w:rsidP="00D70434">
      <w:pPr>
        <w:spacing w:after="160" w:line="259" w:lineRule="auto"/>
        <w:rPr>
          <w:color w:val="auto"/>
          <w:szCs w:val="20"/>
        </w:rPr>
      </w:pPr>
    </w:p>
    <w:p w14:paraId="54FF5003" w14:textId="0C242C40" w:rsidR="00873B5F" w:rsidRDefault="00873B5F" w:rsidP="00D70434">
      <w:pPr>
        <w:spacing w:after="160" w:line="259" w:lineRule="auto"/>
        <w:rPr>
          <w:color w:val="auto"/>
          <w:szCs w:val="20"/>
        </w:rPr>
      </w:pPr>
    </w:p>
    <w:p w14:paraId="62C245AD" w14:textId="4A721EEA" w:rsidR="00873B5F" w:rsidRDefault="00873B5F" w:rsidP="00D70434">
      <w:pPr>
        <w:spacing w:after="160" w:line="259" w:lineRule="auto"/>
        <w:rPr>
          <w:color w:val="auto"/>
          <w:szCs w:val="20"/>
        </w:rPr>
      </w:pPr>
    </w:p>
    <w:p w14:paraId="1718DCEA" w14:textId="69FCBB9B" w:rsidR="00873B5F" w:rsidRDefault="00873B5F" w:rsidP="00D70434">
      <w:pPr>
        <w:spacing w:after="160" w:line="259" w:lineRule="auto"/>
        <w:rPr>
          <w:color w:val="auto"/>
          <w:szCs w:val="20"/>
        </w:rPr>
      </w:pPr>
    </w:p>
    <w:p w14:paraId="1FB61715" w14:textId="7A049BED" w:rsidR="00873B5F" w:rsidRDefault="00873B5F" w:rsidP="00D70434">
      <w:pPr>
        <w:spacing w:after="160" w:line="259" w:lineRule="auto"/>
        <w:rPr>
          <w:color w:val="auto"/>
          <w:szCs w:val="20"/>
        </w:rPr>
      </w:pPr>
    </w:p>
    <w:p w14:paraId="1DDED001" w14:textId="70F6D797" w:rsidR="00873B5F" w:rsidRDefault="00873B5F" w:rsidP="00D70434">
      <w:pPr>
        <w:spacing w:after="160" w:line="259" w:lineRule="auto"/>
        <w:rPr>
          <w:color w:val="auto"/>
          <w:szCs w:val="20"/>
        </w:rPr>
      </w:pPr>
    </w:p>
    <w:p w14:paraId="48B9BF81" w14:textId="77777777" w:rsidR="00873B5F" w:rsidRPr="00D70434" w:rsidRDefault="00873B5F" w:rsidP="00D70434">
      <w:pPr>
        <w:spacing w:after="160" w:line="259" w:lineRule="auto"/>
        <w:rPr>
          <w:color w:val="auto"/>
          <w:szCs w:val="20"/>
        </w:rPr>
      </w:pPr>
    </w:p>
    <w:p w14:paraId="0210FE03" w14:textId="68C0B312" w:rsidR="00D70434" w:rsidRPr="00D70434" w:rsidRDefault="00D70434" w:rsidP="00D70434">
      <w:pPr>
        <w:spacing w:line="240" w:lineRule="auto"/>
        <w:rPr>
          <w:rFonts w:eastAsia="Calibri" w:cs="Times New Roman"/>
          <w:iCs/>
          <w:color w:val="00A3E0"/>
          <w:sz w:val="20"/>
          <w:szCs w:val="20"/>
        </w:rPr>
      </w:pPr>
      <w:bookmarkStart w:id="53" w:name="_Ref87872318"/>
      <w:bookmarkStart w:id="54" w:name="_Toc89172874"/>
      <w:r w:rsidRPr="00286216">
        <w:rPr>
          <w:rFonts w:cs="Times New Roman"/>
          <w:b/>
          <w:sz w:val="20"/>
          <w:szCs w:val="20"/>
        </w:rPr>
        <w:lastRenderedPageBreak/>
        <w:t xml:space="preserve">Διάγραμμα </w:t>
      </w:r>
      <w:r w:rsidRPr="00286216">
        <w:rPr>
          <w:rFonts w:cs="Times New Roman"/>
          <w:b/>
          <w:sz w:val="20"/>
          <w:szCs w:val="20"/>
        </w:rPr>
        <w:fldChar w:fldCharType="begin"/>
      </w:r>
      <w:r w:rsidRPr="00286216">
        <w:rPr>
          <w:rFonts w:cs="Times New Roman"/>
          <w:b/>
          <w:sz w:val="20"/>
          <w:szCs w:val="20"/>
        </w:rPr>
        <w:instrText xml:space="preserve"> SEQ Διάγραμμα \* ARABIC </w:instrText>
      </w:r>
      <w:r w:rsidRPr="00286216">
        <w:rPr>
          <w:rFonts w:cs="Times New Roman"/>
          <w:b/>
          <w:sz w:val="20"/>
          <w:szCs w:val="20"/>
        </w:rPr>
        <w:fldChar w:fldCharType="separate"/>
      </w:r>
      <w:r w:rsidR="0038196B">
        <w:rPr>
          <w:rFonts w:cs="Times New Roman"/>
          <w:b/>
          <w:noProof/>
          <w:sz w:val="20"/>
          <w:szCs w:val="20"/>
        </w:rPr>
        <w:t>12</w:t>
      </w:r>
      <w:r w:rsidRPr="00286216">
        <w:rPr>
          <w:rFonts w:cs="Times New Roman"/>
          <w:b/>
          <w:sz w:val="20"/>
          <w:szCs w:val="20"/>
        </w:rPr>
        <w:fldChar w:fldCharType="end"/>
      </w:r>
      <w:bookmarkEnd w:id="53"/>
      <w:r w:rsidRPr="00286216">
        <w:rPr>
          <w:rFonts w:cs="Times New Roman"/>
          <w:b/>
          <w:sz w:val="20"/>
          <w:szCs w:val="20"/>
        </w:rPr>
        <w:t>:</w:t>
      </w:r>
      <w:r w:rsidRPr="00B17FD0">
        <w:rPr>
          <w:rFonts w:eastAsiaTheme="minorEastAsia"/>
          <w:kern w:val="24"/>
          <w:lang w:eastAsia="el-GR"/>
        </w:rPr>
        <w:t xml:space="preserve"> </w:t>
      </w:r>
      <w:r w:rsidRPr="00D70434">
        <w:rPr>
          <w:rFonts w:eastAsia="Calibri" w:cs="Times New Roman"/>
          <w:iCs/>
          <w:color w:val="00A3E0"/>
          <w:sz w:val="20"/>
          <w:szCs w:val="20"/>
        </w:rPr>
        <w:t>Ροές μισθωτής απασχόλησης στον ιδιωτικό τομέα (Ιανουάριος-Σεπτέμβριος)</w:t>
      </w:r>
      <w:bookmarkEnd w:id="54"/>
      <w:r w:rsidRPr="00D70434">
        <w:rPr>
          <w:color w:val="auto"/>
          <w:szCs w:val="20"/>
        </w:rPr>
        <w:t xml:space="preserve">  </w:t>
      </w:r>
    </w:p>
    <w:p w14:paraId="60ED5EC7" w14:textId="77777777" w:rsidR="00D70434" w:rsidRPr="00D70434" w:rsidRDefault="00D70434" w:rsidP="00D70434">
      <w:pPr>
        <w:spacing w:after="160" w:line="259" w:lineRule="auto"/>
        <w:rPr>
          <w:color w:val="auto"/>
          <w:szCs w:val="20"/>
        </w:rPr>
      </w:pPr>
      <w:r w:rsidRPr="00D70434">
        <w:rPr>
          <w:rFonts w:asciiTheme="minorHAnsi" w:hAnsiTheme="minorHAnsi"/>
          <w:noProof/>
          <w:color w:val="auto"/>
          <w:lang w:eastAsia="el-GR"/>
        </w:rPr>
        <w:drawing>
          <wp:inline distT="0" distB="0" distL="0" distR="0" wp14:anchorId="364E789E" wp14:editId="71F49E73">
            <wp:extent cx="5257800" cy="2861310"/>
            <wp:effectExtent l="0" t="0" r="0" b="15240"/>
            <wp:docPr id="2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59E026" w14:textId="77777777" w:rsidR="00D70434" w:rsidRPr="00D70434" w:rsidRDefault="00D70434" w:rsidP="00D70434">
      <w:pPr>
        <w:spacing w:before="120" w:after="360"/>
        <w:rPr>
          <w:rFonts w:eastAsia="Calibri" w:cs="Times New Roman"/>
          <w:color w:val="auto"/>
          <w:sz w:val="18"/>
          <w:szCs w:val="18"/>
        </w:rPr>
      </w:pPr>
      <w:r w:rsidRPr="00D70434">
        <w:rPr>
          <w:rFonts w:eastAsia="Calibri" w:cs="Times New Roman"/>
          <w:b/>
          <w:sz w:val="16"/>
          <w:szCs w:val="16"/>
        </w:rPr>
        <w:t>Πηγή</w:t>
      </w:r>
      <w:r w:rsidRPr="00D70434">
        <w:rPr>
          <w:rFonts w:eastAsia="Calibri" w:cs="Times New Roman"/>
          <w:b/>
          <w:color w:val="auto"/>
          <w:sz w:val="16"/>
          <w:szCs w:val="16"/>
        </w:rPr>
        <w:t>:</w:t>
      </w:r>
      <w:r w:rsidRPr="00D70434">
        <w:rPr>
          <w:rFonts w:eastAsia="Calibri" w:cs="Times New Roman"/>
          <w:iCs/>
          <w:noProof/>
          <w:color w:val="00A3E0"/>
          <w:sz w:val="16"/>
          <w:szCs w:val="16"/>
        </w:rPr>
        <w:t xml:space="preserve"> Υπουργείο Εργασίας, Πληροφοριακό Σύστημα ΕΡΓΑΝΗ.</w:t>
      </w:r>
    </w:p>
    <w:p w14:paraId="30A2D78A" w14:textId="77777777" w:rsidR="00D70434" w:rsidRDefault="00D70434" w:rsidP="003C3C83">
      <w:pPr>
        <w:spacing w:after="160"/>
        <w:rPr>
          <w:color w:val="auto"/>
        </w:rPr>
      </w:pPr>
    </w:p>
    <w:p w14:paraId="16760A89" w14:textId="357881C9" w:rsidR="003C3C83" w:rsidRDefault="003C3C83" w:rsidP="003C3C83">
      <w:pPr>
        <w:spacing w:after="160"/>
        <w:rPr>
          <w:color w:val="auto"/>
        </w:rPr>
      </w:pPr>
    </w:p>
    <w:p w14:paraId="28E7BF1D" w14:textId="5645A257" w:rsidR="003C3C83" w:rsidRDefault="003C3C83" w:rsidP="003C3C83">
      <w:pPr>
        <w:pStyle w:val="a1"/>
      </w:pPr>
      <w:bookmarkStart w:id="55" w:name="_Toc89172822"/>
      <w:r w:rsidRPr="003C3C83">
        <w:t>Ισοζύγιο πληρωμών</w:t>
      </w:r>
      <w:bookmarkEnd w:id="55"/>
      <w:r w:rsidRPr="003C3C83">
        <w:tab/>
      </w:r>
    </w:p>
    <w:p w14:paraId="3071E508" w14:textId="2A17DBBA" w:rsidR="00C27083" w:rsidRDefault="00C27083" w:rsidP="00C27083">
      <w:pPr>
        <w:spacing w:after="60"/>
        <w:rPr>
          <w:color w:val="auto"/>
        </w:rPr>
      </w:pPr>
      <w:r>
        <w:rPr>
          <w:color w:val="auto"/>
        </w:rPr>
        <w:t>Παρότι η εμφάνιση της πανδημίας οδήγησε σε σημαντική επιδείνωση του ισοζυγίου τρεχουσών συναλλαγών, η κατάσταση έχει αρχίσει να βελτιώνεται, κυρίως λόγω της ανάκαμψης της τουριστικής κίνησης. Συγκεκριμένα, κατά το οκτάμηνο Ιανουαρίου-Αυγούστου 2021, το έλλειμμα του ισοζυγίου τρεχουσών συναλλαγών διαμορφώθηκε σε 5.417 εκατ. ευρώ, μειωμένο σε σχέση με το 2020 κατά 2.487 εκατ. (-31,5%), αν και παραμένει σημαντικά υψηλότερο σε σχέση με το επίπεδο των προηγούμενων ετών (</w:t>
      </w:r>
      <w:r>
        <w:rPr>
          <w:color w:val="auto"/>
        </w:rPr>
        <w:fldChar w:fldCharType="begin"/>
      </w:r>
      <w:r>
        <w:rPr>
          <w:color w:val="auto"/>
        </w:rPr>
        <w:instrText xml:space="preserve"> REF _Ref22734210 \h  \* MERGEFORMAT </w:instrText>
      </w:r>
      <w:r>
        <w:rPr>
          <w:color w:val="auto"/>
        </w:rPr>
      </w:r>
      <w:r>
        <w:rPr>
          <w:color w:val="auto"/>
        </w:rPr>
        <w:fldChar w:fldCharType="separate"/>
      </w:r>
      <w:r w:rsidR="0038196B" w:rsidRPr="0038196B">
        <w:rPr>
          <w:color w:val="auto"/>
        </w:rPr>
        <w:t>Διάγραμμα 13</w:t>
      </w:r>
      <w:r>
        <w:rPr>
          <w:color w:val="auto"/>
        </w:rPr>
        <w:fldChar w:fldCharType="end"/>
      </w:r>
      <w:r>
        <w:rPr>
          <w:color w:val="auto"/>
        </w:rPr>
        <w:t xml:space="preserve">). </w:t>
      </w:r>
      <w:r w:rsidRPr="00A5638E">
        <w:rPr>
          <w:color w:val="auto"/>
        </w:rPr>
        <w:t xml:space="preserve">Η </w:t>
      </w:r>
      <w:r>
        <w:rPr>
          <w:color w:val="auto"/>
        </w:rPr>
        <w:t xml:space="preserve">βελτίωση </w:t>
      </w:r>
      <w:r w:rsidRPr="00A5638E">
        <w:rPr>
          <w:color w:val="auto"/>
        </w:rPr>
        <w:t xml:space="preserve">αυτή οφείλεται στην </w:t>
      </w:r>
      <w:r>
        <w:rPr>
          <w:color w:val="auto"/>
        </w:rPr>
        <w:t>αύξηση</w:t>
      </w:r>
      <w:r w:rsidRPr="00A5638E">
        <w:rPr>
          <w:color w:val="auto"/>
        </w:rPr>
        <w:t xml:space="preserve"> των ισοζυγίων </w:t>
      </w:r>
      <w:r>
        <w:rPr>
          <w:color w:val="auto"/>
        </w:rPr>
        <w:t>υπηρεσιών, πρωτογενών και δευτερογενών εισοδημάτων, κατά 3.290, 1.246 και 811 εκατ. ευρώ αντίστοιχα. Από την άλλη πλευρά, το ισοζύγιο αγαθών επιδεινώθηκε κατά 2.859 εκατ. ευρώ. Σημειώνεται πως η βελτίωση του ισοζυγίου</w:t>
      </w:r>
      <w:r w:rsidRPr="00431C4A">
        <w:rPr>
          <w:color w:val="auto"/>
        </w:rPr>
        <w:t xml:space="preserve"> δευτερογενών εισοδημάτων </w:t>
      </w:r>
      <w:r>
        <w:rPr>
          <w:color w:val="auto"/>
        </w:rPr>
        <w:t xml:space="preserve">οφείλεται στην αύξηση των καθαρών εισπράξεων </w:t>
      </w:r>
      <w:r w:rsidRPr="00431C4A">
        <w:rPr>
          <w:color w:val="auto"/>
        </w:rPr>
        <w:t>της γενικής κυβέρνησης</w:t>
      </w:r>
      <w:r w:rsidR="00705C87">
        <w:rPr>
          <w:color w:val="auto"/>
        </w:rPr>
        <w:t>,</w:t>
      </w:r>
      <w:r w:rsidRPr="00431C4A">
        <w:rPr>
          <w:color w:val="auto"/>
        </w:rPr>
        <w:t xml:space="preserve"> </w:t>
      </w:r>
      <w:r>
        <w:rPr>
          <w:color w:val="auto"/>
        </w:rPr>
        <w:t xml:space="preserve">κυρίως </w:t>
      </w:r>
      <w:r w:rsidRPr="00431C4A">
        <w:rPr>
          <w:color w:val="auto"/>
        </w:rPr>
        <w:t xml:space="preserve">λόγω της εκταμίευσης της προχρηματοδότησης στο πλαίσιο του </w:t>
      </w:r>
      <w:r w:rsidR="00705C87">
        <w:rPr>
          <w:color w:val="auto"/>
        </w:rPr>
        <w:t>ταμείου</w:t>
      </w:r>
      <w:r w:rsidRPr="00431C4A">
        <w:rPr>
          <w:color w:val="auto"/>
        </w:rPr>
        <w:t xml:space="preserve"> ανάκαμψης και ανθεκτικότητας (RRF)</w:t>
      </w:r>
      <w:r>
        <w:rPr>
          <w:color w:val="auto"/>
        </w:rPr>
        <w:t xml:space="preserve"> τον Αύγουστο του 2021</w:t>
      </w:r>
      <w:r w:rsidRPr="00431C4A">
        <w:rPr>
          <w:color w:val="auto"/>
        </w:rPr>
        <w:t>.</w:t>
      </w:r>
    </w:p>
    <w:p w14:paraId="1C6C3F19" w14:textId="0FCBC2A1" w:rsidR="00C27083" w:rsidRDefault="00C27083" w:rsidP="00C27083">
      <w:pPr>
        <w:spacing w:after="60"/>
        <w:jc w:val="left"/>
        <w:rPr>
          <w:color w:val="auto"/>
        </w:rPr>
      </w:pPr>
    </w:p>
    <w:p w14:paraId="16F648CC" w14:textId="203C33B8" w:rsidR="00873B5F" w:rsidRDefault="00873B5F" w:rsidP="00C27083">
      <w:pPr>
        <w:spacing w:after="60"/>
        <w:jc w:val="left"/>
        <w:rPr>
          <w:color w:val="auto"/>
        </w:rPr>
      </w:pPr>
    </w:p>
    <w:p w14:paraId="4098E872" w14:textId="397869D0" w:rsidR="00873B5F" w:rsidRDefault="00873B5F" w:rsidP="00C27083">
      <w:pPr>
        <w:spacing w:after="60"/>
        <w:jc w:val="left"/>
        <w:rPr>
          <w:color w:val="auto"/>
        </w:rPr>
      </w:pPr>
    </w:p>
    <w:p w14:paraId="5B8033B1" w14:textId="62043BFE" w:rsidR="00873B5F" w:rsidRDefault="00873B5F" w:rsidP="00C27083">
      <w:pPr>
        <w:spacing w:after="60"/>
        <w:jc w:val="left"/>
        <w:rPr>
          <w:color w:val="auto"/>
        </w:rPr>
      </w:pPr>
    </w:p>
    <w:p w14:paraId="577E70B7" w14:textId="2D78F9CB" w:rsidR="00873B5F" w:rsidRDefault="00873B5F" w:rsidP="00C27083">
      <w:pPr>
        <w:spacing w:after="60"/>
        <w:jc w:val="left"/>
        <w:rPr>
          <w:color w:val="auto"/>
        </w:rPr>
      </w:pPr>
    </w:p>
    <w:p w14:paraId="1513BB30" w14:textId="2959E3B9" w:rsidR="00873B5F" w:rsidRDefault="00873B5F" w:rsidP="00C27083">
      <w:pPr>
        <w:spacing w:after="60"/>
        <w:jc w:val="left"/>
        <w:rPr>
          <w:color w:val="auto"/>
        </w:rPr>
      </w:pPr>
    </w:p>
    <w:p w14:paraId="7881FC68" w14:textId="2FF840A7" w:rsidR="00873B5F" w:rsidRDefault="00873B5F" w:rsidP="00C27083">
      <w:pPr>
        <w:spacing w:after="60"/>
        <w:jc w:val="left"/>
        <w:rPr>
          <w:color w:val="auto"/>
        </w:rPr>
      </w:pPr>
    </w:p>
    <w:p w14:paraId="61D50562" w14:textId="77777777" w:rsidR="00873B5F" w:rsidRPr="0087536F" w:rsidRDefault="00873B5F" w:rsidP="00C27083">
      <w:pPr>
        <w:spacing w:after="60"/>
        <w:jc w:val="left"/>
        <w:rPr>
          <w:color w:val="auto"/>
        </w:rPr>
      </w:pPr>
    </w:p>
    <w:p w14:paraId="7FBD57BA" w14:textId="73CD53CC" w:rsidR="00C27083" w:rsidRDefault="00C27083" w:rsidP="00C27083">
      <w:pPr>
        <w:spacing w:line="240" w:lineRule="auto"/>
        <w:rPr>
          <w:color w:val="00A3E0"/>
          <w:sz w:val="20"/>
          <w:szCs w:val="20"/>
        </w:rPr>
      </w:pPr>
      <w:bookmarkStart w:id="56" w:name="_Ref22734210"/>
      <w:bookmarkStart w:id="57" w:name="_Toc55786551"/>
      <w:bookmarkStart w:id="58" w:name="_Toc87008902"/>
      <w:bookmarkStart w:id="59" w:name="_Toc89172875"/>
      <w:r w:rsidRPr="004D1F57">
        <w:rPr>
          <w:b/>
          <w:iCs/>
          <w:sz w:val="20"/>
          <w:szCs w:val="20"/>
        </w:rPr>
        <w:lastRenderedPageBreak/>
        <w:t xml:space="preserve">Διάγραμμα </w:t>
      </w:r>
      <w:r w:rsidRPr="004D1F57">
        <w:rPr>
          <w:b/>
          <w:iCs/>
          <w:sz w:val="20"/>
          <w:szCs w:val="20"/>
        </w:rPr>
        <w:fldChar w:fldCharType="begin"/>
      </w:r>
      <w:r w:rsidRPr="004D1F57">
        <w:rPr>
          <w:b/>
          <w:iCs/>
          <w:sz w:val="20"/>
          <w:szCs w:val="20"/>
        </w:rPr>
        <w:instrText xml:space="preserve"> SEQ Διάγραμμα \* ARABIC </w:instrText>
      </w:r>
      <w:r w:rsidRPr="004D1F57">
        <w:rPr>
          <w:b/>
          <w:iCs/>
          <w:sz w:val="20"/>
          <w:szCs w:val="20"/>
        </w:rPr>
        <w:fldChar w:fldCharType="separate"/>
      </w:r>
      <w:r w:rsidR="0038196B">
        <w:rPr>
          <w:b/>
          <w:iCs/>
          <w:noProof/>
          <w:sz w:val="20"/>
          <w:szCs w:val="20"/>
        </w:rPr>
        <w:t>13</w:t>
      </w:r>
      <w:r w:rsidRPr="004D1F57">
        <w:rPr>
          <w:b/>
          <w:iCs/>
          <w:sz w:val="20"/>
          <w:szCs w:val="20"/>
        </w:rPr>
        <w:fldChar w:fldCharType="end"/>
      </w:r>
      <w:bookmarkEnd w:id="56"/>
      <w:r w:rsidRPr="004D1F57">
        <w:rPr>
          <w:b/>
          <w:iCs/>
          <w:sz w:val="20"/>
          <w:szCs w:val="20"/>
        </w:rPr>
        <w:t xml:space="preserve">: </w:t>
      </w:r>
      <w:r>
        <w:rPr>
          <w:color w:val="00A3E0"/>
          <w:sz w:val="20"/>
          <w:szCs w:val="20"/>
        </w:rPr>
        <w:t>Ισοζύγιο</w:t>
      </w:r>
      <w:r w:rsidRPr="004D1F57">
        <w:rPr>
          <w:color w:val="00A3E0"/>
          <w:sz w:val="20"/>
          <w:szCs w:val="20"/>
        </w:rPr>
        <w:t xml:space="preserve"> τρεχουσών συναλλαγών </w:t>
      </w:r>
      <w:r>
        <w:rPr>
          <w:color w:val="00A3E0"/>
          <w:sz w:val="20"/>
          <w:szCs w:val="20"/>
        </w:rPr>
        <w:t xml:space="preserve">Ιανουαρίου-Αυγούστου </w:t>
      </w:r>
      <w:r w:rsidRPr="004D1F57">
        <w:rPr>
          <w:color w:val="00A3E0"/>
          <w:sz w:val="20"/>
          <w:szCs w:val="20"/>
        </w:rPr>
        <w:t>(εκατ. ευρώ)</w:t>
      </w:r>
      <w:bookmarkEnd w:id="57"/>
      <w:bookmarkEnd w:id="58"/>
      <w:bookmarkEnd w:id="59"/>
    </w:p>
    <w:p w14:paraId="1DDB7CDF" w14:textId="77777777" w:rsidR="00C27083" w:rsidRPr="00A5638E" w:rsidRDefault="00C27083" w:rsidP="00C27083">
      <w:pPr>
        <w:spacing w:line="240" w:lineRule="auto"/>
        <w:rPr>
          <w:b/>
          <w:color w:val="00A3E0"/>
          <w:sz w:val="20"/>
          <w:szCs w:val="20"/>
          <w:lang w:val="en-US"/>
        </w:rPr>
      </w:pPr>
      <w:r>
        <w:rPr>
          <w:noProof/>
          <w:lang w:eastAsia="el-GR"/>
        </w:rPr>
        <w:drawing>
          <wp:inline distT="0" distB="0" distL="0" distR="0" wp14:anchorId="4B69F935" wp14:editId="1D4CAE3B">
            <wp:extent cx="5276850" cy="3352800"/>
            <wp:effectExtent l="0" t="0" r="0" b="0"/>
            <wp:docPr id="1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8524C0F" w14:textId="77777777" w:rsidR="00C27083" w:rsidRPr="004D1F57" w:rsidRDefault="00C27083" w:rsidP="00C27083">
      <w:pPr>
        <w:rPr>
          <w:color w:val="auto"/>
          <w:sz w:val="18"/>
          <w:szCs w:val="18"/>
        </w:rPr>
      </w:pPr>
      <w:r w:rsidRPr="00770552">
        <w:rPr>
          <w:rFonts w:eastAsia="Calibri" w:cs="Times New Roman"/>
          <w:b/>
          <w:sz w:val="16"/>
          <w:szCs w:val="16"/>
        </w:rPr>
        <w:t>Πηγή:</w:t>
      </w:r>
      <w:r w:rsidRPr="004D1F57">
        <w:rPr>
          <w:color w:val="auto"/>
          <w:sz w:val="16"/>
          <w:szCs w:val="16"/>
        </w:rPr>
        <w:t xml:space="preserve"> </w:t>
      </w:r>
      <w:r w:rsidRPr="004D1F57">
        <w:rPr>
          <w:iCs/>
          <w:noProof/>
          <w:color w:val="00A3E0"/>
          <w:sz w:val="16"/>
          <w:szCs w:val="16"/>
        </w:rPr>
        <w:t>Τράπεζα της Ελλάδος.</w:t>
      </w:r>
    </w:p>
    <w:p w14:paraId="583C9525" w14:textId="79D9DA8B" w:rsidR="00C27083" w:rsidRDefault="00E128C4" w:rsidP="00C27083">
      <w:pPr>
        <w:spacing w:after="60"/>
        <w:rPr>
          <w:color w:val="auto"/>
        </w:rPr>
      </w:pPr>
      <w:r w:rsidRPr="00E128C4">
        <w:rPr>
          <w:color w:val="auto"/>
        </w:rPr>
        <w:t xml:space="preserve">Ειδικότερα, το έλλειμμα του ισοζυγίου αγαθών αυξήθηκε στα 15.493 εκατ. ευρώ  ή κατά 22,6% σε σχέση με το αντίστοιχο διάστημα πέρυσι και έφτασε στο ίδιο περίπου επίπεδο με το </w:t>
      </w:r>
      <w:r w:rsidR="00C27083">
        <w:rPr>
          <w:color w:val="auto"/>
        </w:rPr>
        <w:t>2019 (</w:t>
      </w:r>
      <w:r w:rsidR="00C27083">
        <w:rPr>
          <w:color w:val="auto"/>
        </w:rPr>
        <w:fldChar w:fldCharType="begin"/>
      </w:r>
      <w:r w:rsidR="00C27083">
        <w:rPr>
          <w:color w:val="auto"/>
        </w:rPr>
        <w:instrText xml:space="preserve"> REF _Ref22734230 \h  \* MERGEFORMAT </w:instrText>
      </w:r>
      <w:r w:rsidR="00C27083">
        <w:rPr>
          <w:color w:val="auto"/>
        </w:rPr>
      </w:r>
      <w:r w:rsidR="00C27083">
        <w:rPr>
          <w:color w:val="auto"/>
        </w:rPr>
        <w:fldChar w:fldCharType="separate"/>
      </w:r>
      <w:r w:rsidR="0038196B" w:rsidRPr="0038196B">
        <w:rPr>
          <w:color w:val="auto"/>
        </w:rPr>
        <w:t>Διάγραμμα 14</w:t>
      </w:r>
      <w:r w:rsidR="00C27083">
        <w:rPr>
          <w:color w:val="auto"/>
        </w:rPr>
        <w:fldChar w:fldCharType="end"/>
      </w:r>
      <w:r w:rsidR="00C27083">
        <w:rPr>
          <w:color w:val="auto"/>
        </w:rPr>
        <w:t xml:space="preserve">). Τα ισοζύγια λοιπών αγαθών και καυσίμων επιδεινώθηκαν κατά 2.500 και 398 εκατ. ευρώ σε σχέση με το 2020, ενώ μικρή βελτίωση εμφάνισε το ισοζύγιο πλοίων (+39 εκατ.). </w:t>
      </w:r>
    </w:p>
    <w:p w14:paraId="2732810A" w14:textId="77777777" w:rsidR="00C27083" w:rsidRDefault="00C27083" w:rsidP="00C27083">
      <w:pPr>
        <w:spacing w:after="60"/>
        <w:jc w:val="left"/>
        <w:rPr>
          <w:color w:val="auto"/>
        </w:rPr>
      </w:pPr>
    </w:p>
    <w:p w14:paraId="578D12E1" w14:textId="75F91B65" w:rsidR="00C27083" w:rsidRDefault="00C27083" w:rsidP="00C27083">
      <w:pPr>
        <w:spacing w:line="240" w:lineRule="auto"/>
        <w:rPr>
          <w:color w:val="00A3E0"/>
          <w:sz w:val="20"/>
          <w:szCs w:val="20"/>
        </w:rPr>
      </w:pPr>
      <w:bookmarkStart w:id="60" w:name="_Ref22734230"/>
      <w:bookmarkStart w:id="61" w:name="_Toc55786552"/>
      <w:bookmarkStart w:id="62" w:name="_Toc87008903"/>
      <w:bookmarkStart w:id="63" w:name="_Toc89172876"/>
      <w:r w:rsidRPr="004D1F57">
        <w:rPr>
          <w:b/>
          <w:iCs/>
          <w:sz w:val="20"/>
          <w:szCs w:val="20"/>
        </w:rPr>
        <w:t xml:space="preserve">Διάγραμμα </w:t>
      </w:r>
      <w:r w:rsidRPr="004D1F57">
        <w:rPr>
          <w:b/>
          <w:iCs/>
          <w:sz w:val="20"/>
          <w:szCs w:val="20"/>
        </w:rPr>
        <w:fldChar w:fldCharType="begin"/>
      </w:r>
      <w:r w:rsidRPr="004D1F57">
        <w:rPr>
          <w:b/>
          <w:iCs/>
          <w:sz w:val="20"/>
          <w:szCs w:val="20"/>
        </w:rPr>
        <w:instrText xml:space="preserve"> SEQ Διάγραμμα \* ARABIC </w:instrText>
      </w:r>
      <w:r w:rsidRPr="004D1F57">
        <w:rPr>
          <w:b/>
          <w:iCs/>
          <w:sz w:val="20"/>
          <w:szCs w:val="20"/>
        </w:rPr>
        <w:fldChar w:fldCharType="separate"/>
      </w:r>
      <w:r w:rsidR="0038196B">
        <w:rPr>
          <w:b/>
          <w:iCs/>
          <w:noProof/>
          <w:sz w:val="20"/>
          <w:szCs w:val="20"/>
        </w:rPr>
        <w:t>14</w:t>
      </w:r>
      <w:r w:rsidRPr="004D1F57">
        <w:rPr>
          <w:b/>
          <w:iCs/>
          <w:sz w:val="20"/>
          <w:szCs w:val="20"/>
        </w:rPr>
        <w:fldChar w:fldCharType="end"/>
      </w:r>
      <w:bookmarkEnd w:id="60"/>
      <w:r w:rsidRPr="004D1F57">
        <w:rPr>
          <w:b/>
          <w:iCs/>
          <w:sz w:val="20"/>
          <w:szCs w:val="20"/>
        </w:rPr>
        <w:t xml:space="preserve">: </w:t>
      </w:r>
      <w:r>
        <w:rPr>
          <w:color w:val="00A3E0"/>
          <w:sz w:val="20"/>
          <w:szCs w:val="20"/>
        </w:rPr>
        <w:t>Ισοζύγιο</w:t>
      </w:r>
      <w:r w:rsidRPr="004D1F57">
        <w:rPr>
          <w:color w:val="00A3E0"/>
          <w:sz w:val="20"/>
          <w:szCs w:val="20"/>
        </w:rPr>
        <w:t xml:space="preserve"> </w:t>
      </w:r>
      <w:r>
        <w:rPr>
          <w:color w:val="00A3E0"/>
          <w:sz w:val="20"/>
          <w:szCs w:val="20"/>
        </w:rPr>
        <w:t>αγαθών</w:t>
      </w:r>
      <w:r w:rsidRPr="004D1F57">
        <w:rPr>
          <w:color w:val="00A3E0"/>
          <w:sz w:val="20"/>
          <w:szCs w:val="20"/>
        </w:rPr>
        <w:t xml:space="preserve"> </w:t>
      </w:r>
      <w:r>
        <w:rPr>
          <w:color w:val="00A3E0"/>
          <w:sz w:val="20"/>
          <w:szCs w:val="20"/>
        </w:rPr>
        <w:t xml:space="preserve">Ιανουαρίου-Αυγούστου </w:t>
      </w:r>
      <w:r w:rsidRPr="004D1F57">
        <w:rPr>
          <w:color w:val="00A3E0"/>
          <w:sz w:val="20"/>
          <w:szCs w:val="20"/>
        </w:rPr>
        <w:t>(εκατ. ευρώ)</w:t>
      </w:r>
      <w:bookmarkEnd w:id="61"/>
      <w:bookmarkEnd w:id="62"/>
      <w:bookmarkEnd w:id="63"/>
    </w:p>
    <w:p w14:paraId="5A1A2F0F" w14:textId="77777777" w:rsidR="00C27083" w:rsidRDefault="00C27083" w:rsidP="00C27083">
      <w:pPr>
        <w:spacing w:line="240" w:lineRule="auto"/>
        <w:rPr>
          <w:color w:val="00A3E0"/>
          <w:sz w:val="20"/>
          <w:szCs w:val="20"/>
        </w:rPr>
      </w:pPr>
      <w:r>
        <w:rPr>
          <w:noProof/>
          <w:lang w:eastAsia="el-GR"/>
        </w:rPr>
        <w:drawing>
          <wp:inline distT="0" distB="0" distL="0" distR="0" wp14:anchorId="413FB099" wp14:editId="21C4D5D1">
            <wp:extent cx="5191125" cy="3067050"/>
            <wp:effectExtent l="0" t="0" r="9525" b="0"/>
            <wp:docPr id="1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98C2CD0" w14:textId="77777777" w:rsidR="00C27083" w:rsidRDefault="00C27083" w:rsidP="00C27083">
      <w:pPr>
        <w:rPr>
          <w:iCs/>
          <w:noProof/>
          <w:color w:val="00A3E0"/>
          <w:sz w:val="16"/>
          <w:szCs w:val="16"/>
        </w:rPr>
      </w:pPr>
      <w:r w:rsidRPr="00770552">
        <w:rPr>
          <w:rFonts w:eastAsia="Calibri" w:cs="Times New Roman"/>
          <w:b/>
          <w:sz w:val="16"/>
          <w:szCs w:val="16"/>
        </w:rPr>
        <w:t xml:space="preserve">Πηγή: </w:t>
      </w:r>
      <w:r w:rsidRPr="004D1F57">
        <w:rPr>
          <w:iCs/>
          <w:noProof/>
          <w:color w:val="00A3E0"/>
          <w:sz w:val="16"/>
          <w:szCs w:val="16"/>
        </w:rPr>
        <w:t>Τράπεζα της Ελλάδος.</w:t>
      </w:r>
    </w:p>
    <w:p w14:paraId="51A003A6" w14:textId="794CBCD8" w:rsidR="00C27083" w:rsidRDefault="00C27083" w:rsidP="00C27083">
      <w:pPr>
        <w:spacing w:after="60"/>
        <w:rPr>
          <w:color w:val="auto"/>
        </w:rPr>
      </w:pPr>
      <w:r>
        <w:rPr>
          <w:color w:val="auto"/>
        </w:rPr>
        <w:lastRenderedPageBreak/>
        <w:t>Τόσο οι εξαγωγές όσο και οι εισαγωγές αγαθών εμφάνισαν μεγάλη αύξηση κατά 5.668 (+30,3%) και 8.527 (+27,2%) εκατ. ευρώ αντίστοιχα, ανερχόμενες στο υψηλότερο επίπεδο της τελευταίας δεκαετίας (</w:t>
      </w:r>
      <w:r>
        <w:rPr>
          <w:color w:val="auto"/>
        </w:rPr>
        <w:fldChar w:fldCharType="begin"/>
      </w:r>
      <w:r>
        <w:rPr>
          <w:color w:val="auto"/>
        </w:rPr>
        <w:instrText xml:space="preserve"> REF _Ref22734510 \h  \* MERGEFORMAT </w:instrText>
      </w:r>
      <w:r>
        <w:rPr>
          <w:color w:val="auto"/>
        </w:rPr>
      </w:r>
      <w:r>
        <w:rPr>
          <w:color w:val="auto"/>
        </w:rPr>
        <w:fldChar w:fldCharType="separate"/>
      </w:r>
      <w:r w:rsidR="0038196B" w:rsidRPr="0038196B">
        <w:rPr>
          <w:color w:val="auto"/>
        </w:rPr>
        <w:t>Διάγραμμα 15</w:t>
      </w:r>
      <w:r>
        <w:rPr>
          <w:color w:val="auto"/>
        </w:rPr>
        <w:fldChar w:fldCharType="end"/>
      </w:r>
      <w:r>
        <w:rPr>
          <w:color w:val="auto"/>
        </w:rPr>
        <w:t>).</w:t>
      </w:r>
    </w:p>
    <w:p w14:paraId="02B8DA37" w14:textId="77777777" w:rsidR="00C27083" w:rsidRDefault="00C27083" w:rsidP="00C27083">
      <w:pPr>
        <w:spacing w:after="60"/>
        <w:rPr>
          <w:color w:val="auto"/>
        </w:rPr>
      </w:pPr>
    </w:p>
    <w:p w14:paraId="08981A78" w14:textId="1C4D2623" w:rsidR="00C27083" w:rsidRDefault="00C27083" w:rsidP="005860B2">
      <w:pPr>
        <w:spacing w:after="0" w:line="240" w:lineRule="auto"/>
        <w:rPr>
          <w:color w:val="00A3E0"/>
          <w:sz w:val="20"/>
          <w:szCs w:val="20"/>
        </w:rPr>
      </w:pPr>
      <w:bookmarkStart w:id="64" w:name="_Ref22734510"/>
      <w:bookmarkStart w:id="65" w:name="_Toc55786553"/>
      <w:bookmarkStart w:id="66" w:name="_Toc87008904"/>
      <w:bookmarkStart w:id="67" w:name="_Toc89172877"/>
      <w:r w:rsidRPr="004D1F57">
        <w:rPr>
          <w:b/>
          <w:iCs/>
          <w:sz w:val="20"/>
          <w:szCs w:val="20"/>
        </w:rPr>
        <w:t xml:space="preserve">Διάγραμμα </w:t>
      </w:r>
      <w:r w:rsidRPr="004D1F57">
        <w:rPr>
          <w:b/>
          <w:iCs/>
          <w:sz w:val="20"/>
          <w:szCs w:val="20"/>
        </w:rPr>
        <w:fldChar w:fldCharType="begin"/>
      </w:r>
      <w:r w:rsidRPr="004D1F57">
        <w:rPr>
          <w:b/>
          <w:iCs/>
          <w:sz w:val="20"/>
          <w:szCs w:val="20"/>
        </w:rPr>
        <w:instrText xml:space="preserve"> SEQ Διάγραμμα \* ARABIC </w:instrText>
      </w:r>
      <w:r w:rsidRPr="004D1F57">
        <w:rPr>
          <w:b/>
          <w:iCs/>
          <w:sz w:val="20"/>
          <w:szCs w:val="20"/>
        </w:rPr>
        <w:fldChar w:fldCharType="separate"/>
      </w:r>
      <w:r w:rsidR="0038196B">
        <w:rPr>
          <w:b/>
          <w:iCs/>
          <w:noProof/>
          <w:sz w:val="20"/>
          <w:szCs w:val="20"/>
        </w:rPr>
        <w:t>15</w:t>
      </w:r>
      <w:r w:rsidRPr="004D1F57">
        <w:rPr>
          <w:b/>
          <w:iCs/>
          <w:sz w:val="20"/>
          <w:szCs w:val="20"/>
        </w:rPr>
        <w:fldChar w:fldCharType="end"/>
      </w:r>
      <w:bookmarkEnd w:id="64"/>
      <w:r w:rsidRPr="004D1F57">
        <w:rPr>
          <w:b/>
          <w:iCs/>
          <w:sz w:val="20"/>
          <w:szCs w:val="20"/>
        </w:rPr>
        <w:t xml:space="preserve">: </w:t>
      </w:r>
      <w:r>
        <w:rPr>
          <w:color w:val="00A3E0"/>
          <w:sz w:val="20"/>
          <w:szCs w:val="20"/>
        </w:rPr>
        <w:t>Εισαγωγές και εξαγωγές</w:t>
      </w:r>
      <w:r w:rsidRPr="004D1F57">
        <w:rPr>
          <w:color w:val="00A3E0"/>
          <w:sz w:val="20"/>
          <w:szCs w:val="20"/>
        </w:rPr>
        <w:t xml:space="preserve"> </w:t>
      </w:r>
      <w:r>
        <w:rPr>
          <w:color w:val="00A3E0"/>
          <w:sz w:val="20"/>
          <w:szCs w:val="20"/>
        </w:rPr>
        <w:t xml:space="preserve">αγαθών Ιανουαρίου-Αυγούστου </w:t>
      </w:r>
      <w:r w:rsidRPr="004D1F57">
        <w:rPr>
          <w:color w:val="00A3E0"/>
          <w:sz w:val="20"/>
          <w:szCs w:val="20"/>
        </w:rPr>
        <w:t>(εκατ. ευρώ)</w:t>
      </w:r>
      <w:bookmarkEnd w:id="65"/>
      <w:bookmarkEnd w:id="66"/>
      <w:bookmarkEnd w:id="67"/>
    </w:p>
    <w:p w14:paraId="4E3C20B2" w14:textId="77777777" w:rsidR="00C27083" w:rsidRDefault="00C27083" w:rsidP="00C27083">
      <w:pPr>
        <w:spacing w:line="240" w:lineRule="auto"/>
        <w:rPr>
          <w:color w:val="00A3E0"/>
          <w:sz w:val="20"/>
          <w:szCs w:val="20"/>
        </w:rPr>
      </w:pPr>
      <w:r>
        <w:rPr>
          <w:noProof/>
          <w:lang w:eastAsia="el-GR"/>
        </w:rPr>
        <w:drawing>
          <wp:inline distT="0" distB="0" distL="0" distR="0" wp14:anchorId="576C3256" wp14:editId="4550704F">
            <wp:extent cx="5278120" cy="2737414"/>
            <wp:effectExtent l="0" t="0" r="17780" b="6350"/>
            <wp:docPr id="1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3BF38D9" w14:textId="77777777" w:rsidR="00C27083" w:rsidRPr="004D1F57" w:rsidRDefault="00C27083" w:rsidP="00C27083">
      <w:pPr>
        <w:rPr>
          <w:color w:val="auto"/>
          <w:sz w:val="18"/>
          <w:szCs w:val="18"/>
        </w:rPr>
      </w:pPr>
      <w:r w:rsidRPr="00770552">
        <w:rPr>
          <w:rFonts w:eastAsia="Calibri" w:cs="Times New Roman"/>
          <w:b/>
          <w:sz w:val="16"/>
          <w:szCs w:val="16"/>
        </w:rPr>
        <w:t>Πηγή:</w:t>
      </w:r>
      <w:r w:rsidRPr="004D1F57">
        <w:rPr>
          <w:color w:val="auto"/>
          <w:sz w:val="16"/>
          <w:szCs w:val="16"/>
        </w:rPr>
        <w:t xml:space="preserve"> </w:t>
      </w:r>
      <w:r w:rsidRPr="004D1F57">
        <w:rPr>
          <w:iCs/>
          <w:noProof/>
          <w:color w:val="00A3E0"/>
          <w:sz w:val="16"/>
          <w:szCs w:val="16"/>
        </w:rPr>
        <w:t>Τράπεζα της Ελλάδος.</w:t>
      </w:r>
    </w:p>
    <w:p w14:paraId="09F4D8D8" w14:textId="37C0CDED" w:rsidR="00C27083" w:rsidRDefault="00C27083" w:rsidP="00C27083">
      <w:pPr>
        <w:spacing w:after="60"/>
        <w:rPr>
          <w:color w:val="auto"/>
        </w:rPr>
      </w:pPr>
      <w:r>
        <w:rPr>
          <w:color w:val="auto"/>
        </w:rPr>
        <w:t xml:space="preserve">Όσον αφορά </w:t>
      </w:r>
      <w:r w:rsidR="005860B2">
        <w:rPr>
          <w:color w:val="auto"/>
        </w:rPr>
        <w:t>σ</w:t>
      </w:r>
      <w:r>
        <w:rPr>
          <w:color w:val="auto"/>
        </w:rPr>
        <w:t xml:space="preserve">το ισοζύγιο υπηρεσιών, το σχετικό πλεόνασμα </w:t>
      </w:r>
      <w:r w:rsidR="00E128C4">
        <w:rPr>
          <w:color w:val="auto"/>
        </w:rPr>
        <w:t>αυξήθηκε</w:t>
      </w:r>
      <w:r>
        <w:rPr>
          <w:color w:val="auto"/>
        </w:rPr>
        <w:t xml:space="preserve"> σε 7.957 εκατ. ευρώ, κατά 70,5% σε σχέση με πέρυσι, </w:t>
      </w:r>
      <w:r w:rsidR="00E128C4">
        <w:rPr>
          <w:color w:val="auto"/>
        </w:rPr>
        <w:t>περιοριζόμενο</w:t>
      </w:r>
      <w:r>
        <w:rPr>
          <w:color w:val="auto"/>
        </w:rPr>
        <w:t xml:space="preserve"> περίπου στο ήμισυ σε σχέση με το πλεόνασμα του 2019 (</w:t>
      </w:r>
      <w:r>
        <w:rPr>
          <w:color w:val="auto"/>
        </w:rPr>
        <w:fldChar w:fldCharType="begin"/>
      </w:r>
      <w:r>
        <w:rPr>
          <w:color w:val="auto"/>
        </w:rPr>
        <w:instrText xml:space="preserve"> REF _Ref22735032 \h  \* MERGEFORMAT </w:instrText>
      </w:r>
      <w:r>
        <w:rPr>
          <w:color w:val="auto"/>
        </w:rPr>
      </w:r>
      <w:r>
        <w:rPr>
          <w:color w:val="auto"/>
        </w:rPr>
        <w:fldChar w:fldCharType="separate"/>
      </w:r>
      <w:r w:rsidR="0038196B" w:rsidRPr="0038196B">
        <w:rPr>
          <w:color w:val="auto"/>
        </w:rPr>
        <w:t>Διάγραμμα 16</w:t>
      </w:r>
      <w:r>
        <w:rPr>
          <w:color w:val="auto"/>
        </w:rPr>
        <w:fldChar w:fldCharType="end"/>
      </w:r>
      <w:r>
        <w:rPr>
          <w:color w:val="auto"/>
        </w:rPr>
        <w:t xml:space="preserve">). Η </w:t>
      </w:r>
      <w:r w:rsidR="00426D6F" w:rsidRPr="00426D6F">
        <w:rPr>
          <w:color w:val="auto"/>
        </w:rPr>
        <w:t>αύξηση αυτή κατά 3.290 εκατ. οφείλεται στη βελτίωση του ταξιδιωτικού ισοζυγίου κατά 3.786 εκατ., που είχε ως αποτέλεσμα να υπερκαλυφθεί  η κατά 518 εκατ. ευρώ επιδείνωση του ισοζυγίου μεταφορών</w:t>
      </w:r>
      <w:r>
        <w:rPr>
          <w:color w:val="auto"/>
        </w:rPr>
        <w:t xml:space="preserve">. </w:t>
      </w:r>
    </w:p>
    <w:p w14:paraId="22E4D60E" w14:textId="77777777" w:rsidR="000D78B8" w:rsidRDefault="000D78B8" w:rsidP="00C27083">
      <w:pPr>
        <w:spacing w:after="60"/>
        <w:rPr>
          <w:color w:val="auto"/>
        </w:rPr>
      </w:pPr>
    </w:p>
    <w:p w14:paraId="112F7B43" w14:textId="4C7118BB" w:rsidR="00C27083" w:rsidRDefault="00C27083" w:rsidP="005860B2">
      <w:pPr>
        <w:spacing w:after="0" w:line="240" w:lineRule="auto"/>
        <w:rPr>
          <w:color w:val="00A3E0"/>
          <w:sz w:val="20"/>
          <w:szCs w:val="20"/>
        </w:rPr>
      </w:pPr>
      <w:bookmarkStart w:id="68" w:name="_Ref22735032"/>
      <w:bookmarkStart w:id="69" w:name="_Toc55786554"/>
      <w:bookmarkStart w:id="70" w:name="_Toc87008905"/>
      <w:bookmarkStart w:id="71" w:name="_Toc89172878"/>
      <w:r w:rsidRPr="004D1F57">
        <w:rPr>
          <w:b/>
          <w:iCs/>
          <w:sz w:val="20"/>
          <w:szCs w:val="20"/>
        </w:rPr>
        <w:t xml:space="preserve">Διάγραμμα </w:t>
      </w:r>
      <w:r w:rsidRPr="004D1F57">
        <w:rPr>
          <w:b/>
          <w:iCs/>
          <w:sz w:val="20"/>
          <w:szCs w:val="20"/>
        </w:rPr>
        <w:fldChar w:fldCharType="begin"/>
      </w:r>
      <w:r w:rsidRPr="004D1F57">
        <w:rPr>
          <w:b/>
          <w:iCs/>
          <w:sz w:val="20"/>
          <w:szCs w:val="20"/>
        </w:rPr>
        <w:instrText xml:space="preserve"> SEQ Διάγραμμα \* ARABIC </w:instrText>
      </w:r>
      <w:r w:rsidRPr="004D1F57">
        <w:rPr>
          <w:b/>
          <w:iCs/>
          <w:sz w:val="20"/>
          <w:szCs w:val="20"/>
        </w:rPr>
        <w:fldChar w:fldCharType="separate"/>
      </w:r>
      <w:r w:rsidR="0038196B">
        <w:rPr>
          <w:b/>
          <w:iCs/>
          <w:noProof/>
          <w:sz w:val="20"/>
          <w:szCs w:val="20"/>
        </w:rPr>
        <w:t>16</w:t>
      </w:r>
      <w:r w:rsidRPr="004D1F57">
        <w:rPr>
          <w:b/>
          <w:iCs/>
          <w:sz w:val="20"/>
          <w:szCs w:val="20"/>
        </w:rPr>
        <w:fldChar w:fldCharType="end"/>
      </w:r>
      <w:bookmarkEnd w:id="68"/>
      <w:r w:rsidRPr="004D1F57">
        <w:rPr>
          <w:b/>
          <w:iCs/>
          <w:sz w:val="20"/>
          <w:szCs w:val="20"/>
        </w:rPr>
        <w:t xml:space="preserve">: </w:t>
      </w:r>
      <w:r>
        <w:rPr>
          <w:color w:val="00A3E0"/>
          <w:sz w:val="20"/>
          <w:szCs w:val="20"/>
        </w:rPr>
        <w:t>Ισοζύγιο</w:t>
      </w:r>
      <w:r w:rsidRPr="004D1F57">
        <w:rPr>
          <w:color w:val="00A3E0"/>
          <w:sz w:val="20"/>
          <w:szCs w:val="20"/>
        </w:rPr>
        <w:t xml:space="preserve"> </w:t>
      </w:r>
      <w:r>
        <w:rPr>
          <w:color w:val="00A3E0"/>
          <w:sz w:val="20"/>
          <w:szCs w:val="20"/>
        </w:rPr>
        <w:t xml:space="preserve">υπηρεσιών Ιανουαρίου-Αυγούστου </w:t>
      </w:r>
      <w:r w:rsidRPr="004D1F57">
        <w:rPr>
          <w:color w:val="00A3E0"/>
          <w:sz w:val="20"/>
          <w:szCs w:val="20"/>
        </w:rPr>
        <w:t>(εκατ. ευρώ)</w:t>
      </w:r>
      <w:bookmarkEnd w:id="69"/>
      <w:bookmarkEnd w:id="70"/>
      <w:bookmarkEnd w:id="71"/>
    </w:p>
    <w:p w14:paraId="659873EF" w14:textId="77777777" w:rsidR="00C27083" w:rsidRDefault="00C27083" w:rsidP="00C27083">
      <w:pPr>
        <w:spacing w:line="240" w:lineRule="auto"/>
        <w:rPr>
          <w:color w:val="00A3E0"/>
          <w:sz w:val="20"/>
          <w:szCs w:val="20"/>
        </w:rPr>
      </w:pPr>
      <w:r>
        <w:rPr>
          <w:noProof/>
          <w:lang w:eastAsia="el-GR"/>
        </w:rPr>
        <w:drawing>
          <wp:inline distT="0" distB="0" distL="0" distR="0" wp14:anchorId="188E5FB8" wp14:editId="7E7E43DE">
            <wp:extent cx="5276850" cy="3019425"/>
            <wp:effectExtent l="0" t="0" r="0" b="9525"/>
            <wp:docPr id="1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A47350" w14:textId="77777777" w:rsidR="00C27083" w:rsidRDefault="00C27083" w:rsidP="00C27083">
      <w:pPr>
        <w:rPr>
          <w:iCs/>
          <w:noProof/>
          <w:color w:val="00A3E0"/>
          <w:sz w:val="16"/>
          <w:szCs w:val="16"/>
        </w:rPr>
      </w:pPr>
      <w:r w:rsidRPr="00770552">
        <w:rPr>
          <w:rFonts w:eastAsia="Calibri" w:cs="Times New Roman"/>
          <w:b/>
          <w:sz w:val="16"/>
          <w:szCs w:val="16"/>
        </w:rPr>
        <w:t>Πηγή:</w:t>
      </w:r>
      <w:r w:rsidRPr="004D1F57">
        <w:rPr>
          <w:color w:val="auto"/>
          <w:sz w:val="16"/>
          <w:szCs w:val="16"/>
        </w:rPr>
        <w:t xml:space="preserve"> </w:t>
      </w:r>
      <w:r w:rsidRPr="004D1F57">
        <w:rPr>
          <w:iCs/>
          <w:noProof/>
          <w:color w:val="00A3E0"/>
          <w:sz w:val="16"/>
          <w:szCs w:val="16"/>
        </w:rPr>
        <w:t>Τράπεζα της Ελλάδος.</w:t>
      </w:r>
    </w:p>
    <w:p w14:paraId="53E89595" w14:textId="723282B7" w:rsidR="00C27083" w:rsidRDefault="00C27083" w:rsidP="00C27083">
      <w:pPr>
        <w:spacing w:after="120"/>
        <w:rPr>
          <w:color w:val="auto"/>
        </w:rPr>
      </w:pPr>
      <w:r>
        <w:rPr>
          <w:color w:val="auto"/>
        </w:rPr>
        <w:lastRenderedPageBreak/>
        <w:t xml:space="preserve">Ειδικότερα, οι ταξιδιωτικές εισπράξεις </w:t>
      </w:r>
      <w:r w:rsidR="000D78B8">
        <w:rPr>
          <w:color w:val="auto"/>
        </w:rPr>
        <w:t xml:space="preserve">την περίοδο Ιανουαρίου-Αυγούστου 2021 </w:t>
      </w:r>
      <w:r>
        <w:rPr>
          <w:color w:val="auto"/>
        </w:rPr>
        <w:t>υπερδιπλασιάστηκαν</w:t>
      </w:r>
      <w:r w:rsidR="000D78B8">
        <w:rPr>
          <w:color w:val="auto"/>
        </w:rPr>
        <w:t xml:space="preserve"> σε σχέση με πέρυσι</w:t>
      </w:r>
      <w:r>
        <w:rPr>
          <w:color w:val="auto"/>
        </w:rPr>
        <w:t xml:space="preserve"> και διαμορφώθηκαν σε 6.582 εκατ. ευρώ (+135,7%), ποσό το οποίο αντιστοιχεί στο ήμισυ των εισπράξεων του 2019. Η αύξηση αυτή οφείλεται τόσο στην αύξηση της εισερχόμενης ταξιδιωτικής κίνησης κατά 3,8 εκατ. ταξιδιώτες (+79,2%), όσο και στην αύξηση της μέσης δαπάνης ανά ταξίδι κατά 177 ευρώ (+30,5%).</w:t>
      </w:r>
    </w:p>
    <w:p w14:paraId="1CBF66F3" w14:textId="315DBFF2" w:rsidR="00C27083" w:rsidRDefault="005860B2" w:rsidP="00C27083">
      <w:pPr>
        <w:spacing w:after="120"/>
        <w:rPr>
          <w:color w:val="auto"/>
        </w:rPr>
      </w:pPr>
      <w:r>
        <w:rPr>
          <w:color w:val="auto"/>
        </w:rPr>
        <w:t>Ο</w:t>
      </w:r>
      <w:r w:rsidR="00C27083">
        <w:rPr>
          <w:color w:val="auto"/>
        </w:rPr>
        <w:t>ι ταξιδιωτικές εισπράξεις μέχρι και το Μάιο του 2021 παρέμεναν σε πολύ χαμηλά επίπεδα κυμαινόμενες μεταξύ 10% και 17% των εισπράξεων του 2019 (</w:t>
      </w:r>
      <w:r w:rsidR="00C27083">
        <w:rPr>
          <w:color w:val="auto"/>
        </w:rPr>
        <w:fldChar w:fldCharType="begin"/>
      </w:r>
      <w:r w:rsidR="00C27083">
        <w:rPr>
          <w:color w:val="auto"/>
        </w:rPr>
        <w:instrText xml:space="preserve"> REF _Ref71906054 \h  \* MERGEFORMAT </w:instrText>
      </w:r>
      <w:r w:rsidR="00C27083">
        <w:rPr>
          <w:color w:val="auto"/>
        </w:rPr>
      </w:r>
      <w:r w:rsidR="00C27083">
        <w:rPr>
          <w:color w:val="auto"/>
        </w:rPr>
        <w:fldChar w:fldCharType="separate"/>
      </w:r>
      <w:r w:rsidR="0038196B" w:rsidRPr="0038196B">
        <w:rPr>
          <w:color w:val="auto"/>
        </w:rPr>
        <w:t>Διάγραμμα 17</w:t>
      </w:r>
      <w:r w:rsidR="00C27083">
        <w:rPr>
          <w:color w:val="auto"/>
        </w:rPr>
        <w:fldChar w:fldCharType="end"/>
      </w:r>
      <w:r w:rsidR="00C27083">
        <w:rPr>
          <w:color w:val="auto"/>
        </w:rPr>
        <w:t xml:space="preserve">). Από τον Ιούνιο η κατάσταση άρχισε να βελτιώνεται και ιδίως τον Ιούλιο και τον Αύγουστο οι εισπράξεις αυξήθηκαν σημαντικά </w:t>
      </w:r>
      <w:r w:rsidR="00426D6F">
        <w:rPr>
          <w:color w:val="auto"/>
        </w:rPr>
        <w:t>φθάνοντας</w:t>
      </w:r>
      <w:r w:rsidR="00C27083">
        <w:rPr>
          <w:color w:val="auto"/>
        </w:rPr>
        <w:t xml:space="preserve"> στο 61,4% και 75,8%</w:t>
      </w:r>
      <w:r w:rsidR="00F27CC6">
        <w:rPr>
          <w:color w:val="auto"/>
        </w:rPr>
        <w:t>, αντίστοιχα,</w:t>
      </w:r>
      <w:r w:rsidR="00C27083">
        <w:rPr>
          <w:color w:val="auto"/>
        </w:rPr>
        <w:t xml:space="preserve"> των εισπράξεων του 2019. </w:t>
      </w:r>
    </w:p>
    <w:p w14:paraId="75DD2861" w14:textId="4BADBD28" w:rsidR="00C27083" w:rsidRDefault="00C27083" w:rsidP="00C27083">
      <w:pPr>
        <w:spacing w:after="120"/>
        <w:rPr>
          <w:color w:val="auto"/>
        </w:rPr>
      </w:pPr>
      <w:r>
        <w:rPr>
          <w:color w:val="auto"/>
        </w:rPr>
        <w:t>Η θετική αυτή τάση των ταξιδιωτικών εισπράξεων αναμένεται να διατηρηθεί και τους επόμενους μήνες κρίνοντας από τα στοιχεία του Διεθνούς Αερολιμένα Αθηνών</w:t>
      </w:r>
      <w:r>
        <w:rPr>
          <w:rStyle w:val="af1"/>
          <w:color w:val="auto"/>
        </w:rPr>
        <w:footnoteReference w:id="7"/>
      </w:r>
      <w:r>
        <w:rPr>
          <w:color w:val="auto"/>
        </w:rPr>
        <w:t xml:space="preserve"> που δείχνουν σημαντική αύξηση σε σχέση με πέρυσι της επιβατικής κίνησης εξωτερικού κατά το</w:t>
      </w:r>
      <w:r w:rsidR="00426D6F">
        <w:rPr>
          <w:color w:val="auto"/>
        </w:rPr>
        <w:t>ν</w:t>
      </w:r>
      <w:r>
        <w:rPr>
          <w:color w:val="auto"/>
        </w:rPr>
        <w:t xml:space="preserve"> Σεπτέμβριο (+121,9%) και τον Οκτώβριο (+139,7%).</w:t>
      </w:r>
    </w:p>
    <w:p w14:paraId="4063029B" w14:textId="77777777" w:rsidR="00C27083" w:rsidRDefault="00C27083" w:rsidP="00C27083">
      <w:pPr>
        <w:spacing w:after="120"/>
        <w:rPr>
          <w:color w:val="auto"/>
        </w:rPr>
      </w:pPr>
    </w:p>
    <w:p w14:paraId="3167C768" w14:textId="2CA98093" w:rsidR="00C27083" w:rsidRDefault="00C27083" w:rsidP="00C27083">
      <w:pPr>
        <w:spacing w:line="240" w:lineRule="auto"/>
        <w:rPr>
          <w:color w:val="00A3E0"/>
          <w:sz w:val="20"/>
          <w:szCs w:val="20"/>
        </w:rPr>
      </w:pPr>
      <w:bookmarkStart w:id="72" w:name="_Ref71906054"/>
      <w:bookmarkStart w:id="73" w:name="_Toc87008906"/>
      <w:bookmarkStart w:id="74" w:name="_Toc89172879"/>
      <w:r w:rsidRPr="004D1F57">
        <w:rPr>
          <w:b/>
          <w:iCs/>
          <w:sz w:val="20"/>
          <w:szCs w:val="20"/>
        </w:rPr>
        <w:t xml:space="preserve">Διάγραμμα </w:t>
      </w:r>
      <w:r w:rsidRPr="004D1F57">
        <w:rPr>
          <w:b/>
          <w:iCs/>
          <w:sz w:val="20"/>
          <w:szCs w:val="20"/>
        </w:rPr>
        <w:fldChar w:fldCharType="begin"/>
      </w:r>
      <w:r w:rsidRPr="004D1F57">
        <w:rPr>
          <w:b/>
          <w:iCs/>
          <w:sz w:val="20"/>
          <w:szCs w:val="20"/>
        </w:rPr>
        <w:instrText xml:space="preserve"> SEQ Διάγραμμα \* ARABIC </w:instrText>
      </w:r>
      <w:r w:rsidRPr="004D1F57">
        <w:rPr>
          <w:b/>
          <w:iCs/>
          <w:sz w:val="20"/>
          <w:szCs w:val="20"/>
        </w:rPr>
        <w:fldChar w:fldCharType="separate"/>
      </w:r>
      <w:r w:rsidR="0038196B">
        <w:rPr>
          <w:b/>
          <w:iCs/>
          <w:noProof/>
          <w:sz w:val="20"/>
          <w:szCs w:val="20"/>
        </w:rPr>
        <w:t>17</w:t>
      </w:r>
      <w:r w:rsidRPr="004D1F57">
        <w:rPr>
          <w:b/>
          <w:iCs/>
          <w:sz w:val="20"/>
          <w:szCs w:val="20"/>
        </w:rPr>
        <w:fldChar w:fldCharType="end"/>
      </w:r>
      <w:bookmarkEnd w:id="72"/>
      <w:r w:rsidRPr="004D1F57">
        <w:rPr>
          <w:b/>
          <w:iCs/>
          <w:sz w:val="20"/>
          <w:szCs w:val="20"/>
        </w:rPr>
        <w:t xml:space="preserve">: </w:t>
      </w:r>
      <w:r>
        <w:rPr>
          <w:color w:val="00A3E0"/>
          <w:sz w:val="20"/>
          <w:szCs w:val="20"/>
        </w:rPr>
        <w:t xml:space="preserve">Ταξιδιωτικές εισπράξεις 2021 </w:t>
      </w:r>
      <w:r w:rsidRPr="004D1F57">
        <w:rPr>
          <w:color w:val="00A3E0"/>
          <w:sz w:val="20"/>
          <w:szCs w:val="20"/>
        </w:rPr>
        <w:t>(εκατ. ευρώ)</w:t>
      </w:r>
      <w:bookmarkEnd w:id="73"/>
      <w:bookmarkEnd w:id="74"/>
    </w:p>
    <w:p w14:paraId="7559A51D" w14:textId="77777777" w:rsidR="00C27083" w:rsidRDefault="00C27083" w:rsidP="00C27083">
      <w:pPr>
        <w:spacing w:line="240" w:lineRule="auto"/>
        <w:rPr>
          <w:color w:val="00A3E0"/>
          <w:sz w:val="20"/>
          <w:szCs w:val="20"/>
        </w:rPr>
      </w:pPr>
      <w:r>
        <w:rPr>
          <w:noProof/>
          <w:lang w:eastAsia="el-GR"/>
        </w:rPr>
        <w:drawing>
          <wp:inline distT="0" distB="0" distL="0" distR="0" wp14:anchorId="37242ACF" wp14:editId="759C03D3">
            <wp:extent cx="5276850" cy="31813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B203C8E" w14:textId="77777777" w:rsidR="00C27083" w:rsidRPr="004D1F57" w:rsidRDefault="00C27083" w:rsidP="00C27083">
      <w:pPr>
        <w:rPr>
          <w:color w:val="auto"/>
          <w:sz w:val="18"/>
          <w:szCs w:val="18"/>
        </w:rPr>
      </w:pPr>
      <w:r w:rsidRPr="00770552">
        <w:rPr>
          <w:rFonts w:eastAsia="Calibri" w:cs="Times New Roman"/>
          <w:b/>
          <w:sz w:val="16"/>
          <w:szCs w:val="16"/>
        </w:rPr>
        <w:t>Πηγή:</w:t>
      </w:r>
      <w:r w:rsidRPr="004D1F57">
        <w:rPr>
          <w:color w:val="auto"/>
          <w:sz w:val="16"/>
          <w:szCs w:val="16"/>
        </w:rPr>
        <w:t xml:space="preserve"> </w:t>
      </w:r>
      <w:r w:rsidRPr="004D1F57">
        <w:rPr>
          <w:iCs/>
          <w:noProof/>
          <w:color w:val="00A3E0"/>
          <w:sz w:val="16"/>
          <w:szCs w:val="16"/>
        </w:rPr>
        <w:t>Τράπεζα της Ελλάδος.</w:t>
      </w:r>
    </w:p>
    <w:p w14:paraId="6EBFC02A" w14:textId="77777777" w:rsidR="00C27083" w:rsidRDefault="00C27083" w:rsidP="00C27083">
      <w:pPr>
        <w:spacing w:after="120"/>
        <w:rPr>
          <w:color w:val="auto"/>
        </w:rPr>
      </w:pPr>
    </w:p>
    <w:p w14:paraId="4D3C0E62" w14:textId="42D34613" w:rsidR="00C27083" w:rsidRDefault="00C27083" w:rsidP="00C27083">
      <w:pPr>
        <w:spacing w:after="120"/>
        <w:rPr>
          <w:color w:val="auto"/>
        </w:rPr>
      </w:pPr>
      <w:r>
        <w:rPr>
          <w:color w:val="auto"/>
        </w:rPr>
        <w:t>Τέλος, οι Άμεσες Ξένες Επενδύσεις</w:t>
      </w:r>
      <w:r w:rsidRPr="00090D12">
        <w:rPr>
          <w:color w:val="auto"/>
        </w:rPr>
        <w:t xml:space="preserve"> (</w:t>
      </w:r>
      <w:r>
        <w:rPr>
          <w:color w:val="auto"/>
        </w:rPr>
        <w:t xml:space="preserve">μεταβολή των υποχρεώσεων </w:t>
      </w:r>
      <w:r w:rsidRPr="00090D12">
        <w:rPr>
          <w:color w:val="auto"/>
        </w:rPr>
        <w:t xml:space="preserve">κατοίκων προς το εξωτερικό) </w:t>
      </w:r>
      <w:r>
        <w:rPr>
          <w:color w:val="auto"/>
        </w:rPr>
        <w:t>ανήλθαν σε 3.525 εκατ. ευρώ (</w:t>
      </w:r>
      <w:r>
        <w:rPr>
          <w:color w:val="auto"/>
        </w:rPr>
        <w:fldChar w:fldCharType="begin"/>
      </w:r>
      <w:r>
        <w:rPr>
          <w:color w:val="auto"/>
        </w:rPr>
        <w:instrText xml:space="preserve"> REF _Ref22735315 \h  \* MERGEFORMAT </w:instrText>
      </w:r>
      <w:r>
        <w:rPr>
          <w:color w:val="auto"/>
        </w:rPr>
      </w:r>
      <w:r>
        <w:rPr>
          <w:color w:val="auto"/>
        </w:rPr>
        <w:fldChar w:fldCharType="separate"/>
      </w:r>
      <w:r w:rsidR="0038196B" w:rsidRPr="0038196B">
        <w:rPr>
          <w:color w:val="auto"/>
        </w:rPr>
        <w:t>Διάγραμμα 18</w:t>
      </w:r>
      <w:r>
        <w:rPr>
          <w:color w:val="auto"/>
        </w:rPr>
        <w:fldChar w:fldCharType="end"/>
      </w:r>
      <w:r>
        <w:rPr>
          <w:color w:val="auto"/>
        </w:rPr>
        <w:t xml:space="preserve">), </w:t>
      </w:r>
      <w:r w:rsidR="00426D6F">
        <w:rPr>
          <w:color w:val="auto"/>
        </w:rPr>
        <w:t>ή</w:t>
      </w:r>
      <w:r>
        <w:rPr>
          <w:color w:val="auto"/>
        </w:rPr>
        <w:t xml:space="preserve"> κατά 1.485 εκατ. ευρώ </w:t>
      </w:r>
      <w:r w:rsidR="00426D6F">
        <w:rPr>
          <w:color w:val="auto"/>
        </w:rPr>
        <w:t>υψηλότερες σε σχέση με πέρυσι- μια επίδοση καλύτερη από εκείνην</w:t>
      </w:r>
      <w:r>
        <w:rPr>
          <w:color w:val="auto"/>
        </w:rPr>
        <w:t xml:space="preserve"> του 2019</w:t>
      </w:r>
      <w:r w:rsidRPr="00090D12">
        <w:rPr>
          <w:color w:val="auto"/>
        </w:rPr>
        <w:t>.</w:t>
      </w:r>
      <w:r w:rsidR="00EE17DC">
        <w:rPr>
          <w:color w:val="auto"/>
        </w:rPr>
        <w:t xml:space="preserve"> Σημειώνεται ότι οι </w:t>
      </w:r>
      <w:r w:rsidR="00EE17DC" w:rsidRPr="00EE17DC">
        <w:rPr>
          <w:color w:val="auto"/>
        </w:rPr>
        <w:t xml:space="preserve">ΑΞΕ </w:t>
      </w:r>
      <w:r w:rsidR="00EE17DC">
        <w:rPr>
          <w:color w:val="auto"/>
        </w:rPr>
        <w:t xml:space="preserve">το 2021 </w:t>
      </w:r>
      <w:r w:rsidR="00EE17DC" w:rsidRPr="00EE17DC">
        <w:rPr>
          <w:color w:val="auto"/>
        </w:rPr>
        <w:t xml:space="preserve">αφορούν κυρίως χορηγήσεις ενδοομιλικών δανείων και αυξήσεις μετοχικού κεφαλαίου θυγατρικών εταιριών που βρίσκονται στην </w:t>
      </w:r>
      <w:r w:rsidR="00EE17DC" w:rsidRPr="00EE17DC">
        <w:rPr>
          <w:color w:val="auto"/>
        </w:rPr>
        <w:lastRenderedPageBreak/>
        <w:t xml:space="preserve">Ελλάδα, καθώς και επενδύσεις σε ακίνητα. Σημαντικές σχετικές συναλλαγές αποτέλεσαν η συμμετοχή της Paulson &amp; Co. Inc. (ΗΠΑ) στην αύξηση μετοχικού κεφαλαίου της Πειραιώς Financial Holdings A.E. και η αύξηση της συμμετοχής της Reggeborgh Invest B.V. (Ολλανδία) στο μετοχικό κεφάλαιο της ΕΛΛΑΚΤΩΡ Α.Ε. Σε γενικές γραμμές, μετά τη σημαντική πτώση που παρατηρήθηκε πέρυσι λόγω της πανδημίας, οι ΑΞΕ φαίνεται ότι ανακτούν τη </w:t>
      </w:r>
      <w:r w:rsidR="00EE17DC">
        <w:rPr>
          <w:color w:val="auto"/>
        </w:rPr>
        <w:t xml:space="preserve">συγκρατημένη </w:t>
      </w:r>
      <w:r w:rsidR="00EE17DC" w:rsidRPr="00EE17DC">
        <w:rPr>
          <w:color w:val="auto"/>
        </w:rPr>
        <w:t>θετική δυναμική που είχαν αναπτύξει μετά το 2015.</w:t>
      </w:r>
    </w:p>
    <w:p w14:paraId="14009AA6" w14:textId="77777777" w:rsidR="00C27083" w:rsidRPr="004D1F57" w:rsidRDefault="00C27083" w:rsidP="00C27083">
      <w:pPr>
        <w:rPr>
          <w:color w:val="auto"/>
          <w:sz w:val="18"/>
          <w:szCs w:val="18"/>
        </w:rPr>
      </w:pPr>
    </w:p>
    <w:p w14:paraId="76398BFF" w14:textId="35EAA8AD" w:rsidR="00C27083" w:rsidRDefault="00C27083" w:rsidP="00C27083">
      <w:pPr>
        <w:spacing w:line="240" w:lineRule="auto"/>
        <w:rPr>
          <w:color w:val="00A3E0"/>
          <w:sz w:val="20"/>
          <w:szCs w:val="20"/>
        </w:rPr>
      </w:pPr>
      <w:bookmarkStart w:id="75" w:name="_Ref22735315"/>
      <w:bookmarkStart w:id="76" w:name="_Toc55786555"/>
      <w:bookmarkStart w:id="77" w:name="_Toc87008907"/>
      <w:bookmarkStart w:id="78" w:name="_Toc89172880"/>
      <w:r w:rsidRPr="004D1F57">
        <w:rPr>
          <w:b/>
          <w:iCs/>
          <w:sz w:val="20"/>
          <w:szCs w:val="20"/>
        </w:rPr>
        <w:t xml:space="preserve">Διάγραμμα </w:t>
      </w:r>
      <w:r w:rsidRPr="004D1F57">
        <w:rPr>
          <w:b/>
          <w:iCs/>
          <w:sz w:val="20"/>
          <w:szCs w:val="20"/>
        </w:rPr>
        <w:fldChar w:fldCharType="begin"/>
      </w:r>
      <w:r w:rsidRPr="004D1F57">
        <w:rPr>
          <w:b/>
          <w:iCs/>
          <w:sz w:val="20"/>
          <w:szCs w:val="20"/>
        </w:rPr>
        <w:instrText xml:space="preserve"> SEQ Διάγραμμα \* ARABIC </w:instrText>
      </w:r>
      <w:r w:rsidRPr="004D1F57">
        <w:rPr>
          <w:b/>
          <w:iCs/>
          <w:sz w:val="20"/>
          <w:szCs w:val="20"/>
        </w:rPr>
        <w:fldChar w:fldCharType="separate"/>
      </w:r>
      <w:r w:rsidR="0038196B">
        <w:rPr>
          <w:b/>
          <w:iCs/>
          <w:noProof/>
          <w:sz w:val="20"/>
          <w:szCs w:val="20"/>
        </w:rPr>
        <w:t>18</w:t>
      </w:r>
      <w:r w:rsidRPr="004D1F57">
        <w:rPr>
          <w:b/>
          <w:iCs/>
          <w:sz w:val="20"/>
          <w:szCs w:val="20"/>
        </w:rPr>
        <w:fldChar w:fldCharType="end"/>
      </w:r>
      <w:bookmarkEnd w:id="75"/>
      <w:r w:rsidRPr="004D1F57">
        <w:rPr>
          <w:b/>
          <w:iCs/>
          <w:sz w:val="20"/>
          <w:szCs w:val="20"/>
        </w:rPr>
        <w:t xml:space="preserve">: </w:t>
      </w:r>
      <w:r>
        <w:rPr>
          <w:color w:val="00A3E0"/>
          <w:sz w:val="20"/>
          <w:szCs w:val="20"/>
        </w:rPr>
        <w:t xml:space="preserve">Άμεσες ξένες επενδύσεις Ιανουαρίου-Αυγούστου </w:t>
      </w:r>
      <w:r w:rsidRPr="004D1F57">
        <w:rPr>
          <w:color w:val="00A3E0"/>
          <w:sz w:val="20"/>
          <w:szCs w:val="20"/>
        </w:rPr>
        <w:t>(εκατ. ευρώ)</w:t>
      </w:r>
      <w:bookmarkEnd w:id="76"/>
      <w:bookmarkEnd w:id="77"/>
      <w:bookmarkEnd w:id="78"/>
    </w:p>
    <w:p w14:paraId="18BCB099" w14:textId="77777777" w:rsidR="00C27083" w:rsidRDefault="00C27083" w:rsidP="00C27083">
      <w:pPr>
        <w:spacing w:line="240" w:lineRule="auto"/>
        <w:rPr>
          <w:color w:val="00A3E0"/>
          <w:sz w:val="20"/>
          <w:szCs w:val="20"/>
        </w:rPr>
      </w:pPr>
      <w:r>
        <w:rPr>
          <w:noProof/>
          <w:lang w:eastAsia="el-GR"/>
        </w:rPr>
        <w:drawing>
          <wp:inline distT="0" distB="0" distL="0" distR="0" wp14:anchorId="4F1829FB" wp14:editId="71128A71">
            <wp:extent cx="5278120" cy="2910908"/>
            <wp:effectExtent l="0" t="0" r="17780" b="381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CF93E8" w14:textId="77777777" w:rsidR="00C27083" w:rsidRPr="004D1F57" w:rsidRDefault="00C27083" w:rsidP="00C27083">
      <w:pPr>
        <w:rPr>
          <w:color w:val="auto"/>
          <w:sz w:val="18"/>
          <w:szCs w:val="18"/>
        </w:rPr>
      </w:pPr>
      <w:r w:rsidRPr="00770552">
        <w:rPr>
          <w:rFonts w:eastAsia="Calibri" w:cs="Times New Roman"/>
          <w:b/>
          <w:sz w:val="16"/>
          <w:szCs w:val="16"/>
        </w:rPr>
        <w:t xml:space="preserve">Πηγή: </w:t>
      </w:r>
      <w:r w:rsidRPr="004D1F57">
        <w:rPr>
          <w:iCs/>
          <w:noProof/>
          <w:color w:val="00A3E0"/>
          <w:sz w:val="16"/>
          <w:szCs w:val="16"/>
        </w:rPr>
        <w:t>Τράπεζα της Ελλάδος.</w:t>
      </w:r>
    </w:p>
    <w:p w14:paraId="5B6596D0" w14:textId="77777777" w:rsidR="00C27083" w:rsidRDefault="00C27083" w:rsidP="003C3C83">
      <w:pPr>
        <w:spacing w:after="160"/>
        <w:rPr>
          <w:color w:val="auto"/>
        </w:rPr>
      </w:pPr>
    </w:p>
    <w:p w14:paraId="6232B915" w14:textId="77777777" w:rsidR="003C3C83" w:rsidRPr="003C3C83" w:rsidRDefault="003C3C83" w:rsidP="003C3C83"/>
    <w:p w14:paraId="5D9B8650" w14:textId="6101449A" w:rsidR="003C3C83" w:rsidRDefault="003C3C83" w:rsidP="003C3C83">
      <w:pPr>
        <w:pStyle w:val="a1"/>
      </w:pPr>
      <w:bookmarkStart w:id="79" w:name="_Toc89172823"/>
      <w:r w:rsidRPr="003C3C83">
        <w:t>Δείκτες μεταποίησης</w:t>
      </w:r>
      <w:bookmarkEnd w:id="79"/>
      <w:r w:rsidRPr="003C3C83">
        <w:tab/>
      </w:r>
    </w:p>
    <w:p w14:paraId="1B2767E6" w14:textId="24AB8AD2" w:rsidR="00C06564" w:rsidRDefault="00C06564" w:rsidP="00C06564">
      <w:pPr>
        <w:rPr>
          <w:rFonts w:eastAsia="Calibri" w:cs="Times New Roman"/>
          <w:bCs/>
          <w:color w:val="000000" w:themeColor="text1"/>
        </w:rPr>
      </w:pPr>
      <w:r>
        <w:rPr>
          <w:rFonts w:eastAsia="Calibri" w:cs="Times New Roman"/>
          <w:bCs/>
          <w:color w:val="000000" w:themeColor="text1"/>
        </w:rPr>
        <w:t>Τα τελευταία διαθέσιμα στοιχεία τόσο του</w:t>
      </w:r>
      <w:r w:rsidRPr="00D33E0D">
        <w:rPr>
          <w:rFonts w:eastAsia="Calibri" w:cs="Times New Roman"/>
          <w:bCs/>
          <w:color w:val="000000" w:themeColor="text1"/>
        </w:rPr>
        <w:t xml:space="preserve"> δείκτη βιομηχανικής παραγωγής </w:t>
      </w:r>
      <w:r>
        <w:rPr>
          <w:rFonts w:eastAsia="Calibri" w:cs="Times New Roman"/>
          <w:bCs/>
          <w:color w:val="000000" w:themeColor="text1"/>
        </w:rPr>
        <w:t xml:space="preserve">όσο και του κύκλου εργασιών στη βιομηχανία δείχνουν σημαντική ανάκαμψη σε ετήσια βάση. Ειδικότερα, ο δείκτης βιομηχανικής παραγωγής </w:t>
      </w:r>
      <w:r w:rsidRPr="0074773D">
        <w:rPr>
          <w:rFonts w:eastAsia="Calibri" w:cs="Times New Roman"/>
          <w:bCs/>
          <w:color w:val="000000" w:themeColor="text1"/>
        </w:rPr>
        <w:t>του μηνός Σεπτεμβρίου 2021, σε σύγκριση με τον αντίστοιχο δείκτη του Σεπτεμβρ</w:t>
      </w:r>
      <w:r>
        <w:rPr>
          <w:rFonts w:eastAsia="Calibri" w:cs="Times New Roman"/>
          <w:bCs/>
          <w:color w:val="000000" w:themeColor="text1"/>
        </w:rPr>
        <w:t>ίου 2020, παρουσίασε αύξηση 11,7 μονάδες και ο κύκλος εργασιών στη βιομηχανία του μηνός Αυγούστου 2021 παρουσίασε αύξηση 21,7 ποσοστιαίες μονάδες σε σχέση με τον Αύγουστο του 2020. Αναφορικά με την βραχυπρόθεσμη τάση</w:t>
      </w:r>
      <w:r w:rsidR="005860B2">
        <w:rPr>
          <w:rFonts w:eastAsia="Calibri" w:cs="Times New Roman"/>
          <w:bCs/>
          <w:color w:val="000000" w:themeColor="text1"/>
        </w:rPr>
        <w:t>,</w:t>
      </w:r>
      <w:r>
        <w:rPr>
          <w:rFonts w:eastAsia="Calibri" w:cs="Times New Roman"/>
          <w:bCs/>
          <w:color w:val="000000" w:themeColor="text1"/>
        </w:rPr>
        <w:t xml:space="preserve"> αυτή κινείται ελαφρώς πτωτικά για τον δείκτη κύκλου εργασιών στη βιομηχανία, ενώ αντίθετα η βραχυχρόνια τάση στη βιομηχανική παραγωγή είναι ελαφρώς θετική.</w:t>
      </w:r>
    </w:p>
    <w:p w14:paraId="51C99B20" w14:textId="4ED60371" w:rsidR="00C06564" w:rsidRDefault="00C06564" w:rsidP="00C06564">
      <w:pPr>
        <w:rPr>
          <w:rFonts w:eastAsia="Calibri" w:cs="Times New Roman"/>
          <w:bCs/>
          <w:color w:val="000000" w:themeColor="text1"/>
        </w:rPr>
      </w:pPr>
    </w:p>
    <w:p w14:paraId="034EE73D" w14:textId="1A88C3C8" w:rsidR="005860B2" w:rsidRDefault="005860B2" w:rsidP="00C06564">
      <w:pPr>
        <w:rPr>
          <w:rFonts w:eastAsia="Calibri" w:cs="Times New Roman"/>
          <w:bCs/>
          <w:color w:val="000000" w:themeColor="text1"/>
        </w:rPr>
      </w:pPr>
    </w:p>
    <w:p w14:paraId="0BCB94F8" w14:textId="77777777" w:rsidR="005860B2" w:rsidRDefault="005860B2" w:rsidP="00C06564">
      <w:pPr>
        <w:rPr>
          <w:rFonts w:eastAsia="Calibri" w:cs="Times New Roman"/>
          <w:bCs/>
          <w:color w:val="000000" w:themeColor="text1"/>
        </w:rPr>
      </w:pPr>
    </w:p>
    <w:p w14:paraId="3E50F9C9" w14:textId="27B380A4" w:rsidR="00C06564" w:rsidRPr="009E221B" w:rsidRDefault="00C12695" w:rsidP="00C06564">
      <w:pPr>
        <w:spacing w:after="120"/>
        <w:rPr>
          <w:rFonts w:eastAsia="Calibri" w:cs="Times New Roman"/>
          <w:iCs/>
          <w:color w:val="00A3E0"/>
          <w:sz w:val="20"/>
          <w:szCs w:val="20"/>
        </w:rPr>
      </w:pPr>
      <w:bookmarkStart w:id="80" w:name="_Toc22898764"/>
      <w:bookmarkStart w:id="81" w:name="_Toc22920794"/>
      <w:bookmarkStart w:id="82" w:name="_Toc25065320"/>
      <w:bookmarkStart w:id="83" w:name="_Toc89172881"/>
      <w:r w:rsidRPr="004D1F57">
        <w:rPr>
          <w:b/>
          <w:iCs/>
          <w:sz w:val="20"/>
          <w:szCs w:val="20"/>
        </w:rPr>
        <w:t xml:space="preserve">Διάγραμμα </w:t>
      </w:r>
      <w:r w:rsidRPr="004D1F57">
        <w:rPr>
          <w:b/>
          <w:iCs/>
          <w:sz w:val="20"/>
          <w:szCs w:val="20"/>
        </w:rPr>
        <w:fldChar w:fldCharType="begin"/>
      </w:r>
      <w:r w:rsidRPr="004D1F57">
        <w:rPr>
          <w:b/>
          <w:iCs/>
          <w:sz w:val="20"/>
          <w:szCs w:val="20"/>
        </w:rPr>
        <w:instrText xml:space="preserve"> SEQ Διάγραμμα \* ARABIC </w:instrText>
      </w:r>
      <w:r w:rsidRPr="004D1F57">
        <w:rPr>
          <w:b/>
          <w:iCs/>
          <w:sz w:val="20"/>
          <w:szCs w:val="20"/>
        </w:rPr>
        <w:fldChar w:fldCharType="separate"/>
      </w:r>
      <w:r w:rsidR="0038196B">
        <w:rPr>
          <w:b/>
          <w:iCs/>
          <w:noProof/>
          <w:sz w:val="20"/>
          <w:szCs w:val="20"/>
        </w:rPr>
        <w:t>19</w:t>
      </w:r>
      <w:r w:rsidRPr="004D1F57">
        <w:rPr>
          <w:b/>
          <w:iCs/>
          <w:sz w:val="20"/>
          <w:szCs w:val="20"/>
        </w:rPr>
        <w:fldChar w:fldCharType="end"/>
      </w:r>
      <w:r w:rsidRPr="004D1F57">
        <w:rPr>
          <w:b/>
          <w:iCs/>
          <w:sz w:val="20"/>
          <w:szCs w:val="20"/>
        </w:rPr>
        <w:t>:</w:t>
      </w:r>
      <w:bookmarkEnd w:id="80"/>
      <w:bookmarkEnd w:id="81"/>
      <w:bookmarkEnd w:id="82"/>
      <w:r>
        <w:rPr>
          <w:b/>
          <w:iCs/>
          <w:sz w:val="20"/>
          <w:szCs w:val="20"/>
        </w:rPr>
        <w:t xml:space="preserve"> </w:t>
      </w:r>
      <w:r w:rsidR="00C06564">
        <w:rPr>
          <w:rFonts w:eastAsia="Calibri" w:cs="Times New Roman"/>
          <w:iCs/>
          <w:color w:val="00A3E0"/>
          <w:sz w:val="20"/>
          <w:szCs w:val="20"/>
        </w:rPr>
        <w:t>Παραγωγή και Κύκλος Εργασιών στη Βιομηχανία</w:t>
      </w:r>
      <w:bookmarkEnd w:id="83"/>
    </w:p>
    <w:p w14:paraId="438B61B8" w14:textId="77777777" w:rsidR="00C06564" w:rsidRPr="00CC2E06" w:rsidRDefault="00C06564" w:rsidP="00C06564">
      <w:pPr>
        <w:spacing w:after="60"/>
        <w:jc w:val="center"/>
        <w:rPr>
          <w:rFonts w:eastAsia="Calibri" w:cs="Times New Roman"/>
          <w:b/>
          <w:color w:val="808080" w:themeColor="background1" w:themeShade="80"/>
        </w:rPr>
      </w:pPr>
      <w:r>
        <w:rPr>
          <w:noProof/>
          <w:lang w:eastAsia="el-GR"/>
        </w:rPr>
        <w:drawing>
          <wp:inline distT="0" distB="0" distL="0" distR="0" wp14:anchorId="48FE3852" wp14:editId="5BC3800C">
            <wp:extent cx="4905375" cy="31242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530B78B" w14:textId="77777777" w:rsidR="00C06564" w:rsidRPr="00674565" w:rsidRDefault="00C06564" w:rsidP="00C06564">
      <w:pPr>
        <w:rPr>
          <w:color w:val="auto"/>
          <w:sz w:val="16"/>
          <w:szCs w:val="16"/>
        </w:rPr>
      </w:pPr>
      <w:r w:rsidRPr="00CC2E06">
        <w:rPr>
          <w:rFonts w:eastAsia="Calibri" w:cs="Times New Roman"/>
          <w:b/>
          <w:color w:val="808080"/>
          <w:sz w:val="16"/>
          <w:szCs w:val="16"/>
        </w:rPr>
        <w:t>Πηγή:</w:t>
      </w:r>
      <w:r w:rsidRPr="00CC2E06">
        <w:rPr>
          <w:rFonts w:eastAsia="Calibri" w:cs="Times New Roman"/>
          <w:i/>
          <w:color w:val="808080"/>
          <w:sz w:val="16"/>
          <w:szCs w:val="16"/>
        </w:rPr>
        <w:t xml:space="preserve"> </w:t>
      </w:r>
      <w:r>
        <w:rPr>
          <w:rFonts w:eastAsia="Calibri" w:cs="Times New Roman"/>
          <w:color w:val="00A3E0"/>
          <w:sz w:val="16"/>
          <w:szCs w:val="16"/>
        </w:rPr>
        <w:t xml:space="preserve">ΕΛΣΤΑΤ (Δείκτης Παραγωγής) και </w:t>
      </w:r>
      <w:r>
        <w:rPr>
          <w:rFonts w:eastAsia="Calibri" w:cs="Times New Roman"/>
          <w:color w:val="00A3E0"/>
          <w:sz w:val="16"/>
          <w:szCs w:val="16"/>
          <w:lang w:val="en-US"/>
        </w:rPr>
        <w:t>EUROSTAT</w:t>
      </w:r>
      <w:r w:rsidRPr="00674565">
        <w:rPr>
          <w:rFonts w:eastAsia="Calibri" w:cs="Times New Roman"/>
          <w:color w:val="00A3E0"/>
          <w:sz w:val="16"/>
          <w:szCs w:val="16"/>
        </w:rPr>
        <w:t xml:space="preserve"> (</w:t>
      </w:r>
      <w:r>
        <w:rPr>
          <w:rFonts w:eastAsia="Calibri" w:cs="Times New Roman"/>
          <w:color w:val="00A3E0"/>
          <w:sz w:val="16"/>
          <w:szCs w:val="16"/>
          <w:lang w:val="en-US"/>
        </w:rPr>
        <w:t>K</w:t>
      </w:r>
      <w:r>
        <w:rPr>
          <w:rFonts w:eastAsia="Calibri" w:cs="Times New Roman"/>
          <w:color w:val="00A3E0"/>
          <w:sz w:val="16"/>
          <w:szCs w:val="16"/>
        </w:rPr>
        <w:t>ύκλος Εργασιών), Στοιχεία με εποχική προσαρμογή</w:t>
      </w:r>
    </w:p>
    <w:p w14:paraId="24C2D740" w14:textId="77777777" w:rsidR="00C06564" w:rsidRDefault="00C06564" w:rsidP="003C3C83">
      <w:pPr>
        <w:spacing w:after="160"/>
        <w:rPr>
          <w:color w:val="auto"/>
        </w:rPr>
      </w:pPr>
    </w:p>
    <w:p w14:paraId="015E0D77" w14:textId="77777777" w:rsidR="003C3C83" w:rsidRPr="003C3C83" w:rsidRDefault="003C3C83" w:rsidP="003C3C83"/>
    <w:p w14:paraId="15A7C0E1" w14:textId="790DCE34" w:rsidR="003C3C83" w:rsidRDefault="003C3C83" w:rsidP="003C3C83">
      <w:pPr>
        <w:pStyle w:val="a1"/>
      </w:pPr>
      <w:bookmarkStart w:id="84" w:name="_Toc89172824"/>
      <w:r w:rsidRPr="003C3C83">
        <w:t>Οικονομική συγκυρία  (Προσδοκίες / PMI)</w:t>
      </w:r>
      <w:bookmarkEnd w:id="84"/>
    </w:p>
    <w:p w14:paraId="4ACBE895" w14:textId="77777777" w:rsidR="004547B6" w:rsidRPr="004547B6" w:rsidRDefault="002166B8" w:rsidP="004547B6">
      <w:pPr>
        <w:spacing w:after="160"/>
        <w:rPr>
          <w:color w:val="auto"/>
        </w:rPr>
      </w:pPr>
      <w:r w:rsidRPr="002166B8">
        <w:rPr>
          <w:color w:val="auto"/>
        </w:rPr>
        <w:t xml:space="preserve">Ο δείκτης οικονομικής συγκυρίας, μετά από μία παρατεταμένη περίοδο στασιμότητας και σχετικά μικρής μεταβλητότητας κατά το δεύτερο εξάμηνο του 2020, </w:t>
      </w:r>
      <w:r w:rsidR="004547B6" w:rsidRPr="004547B6">
        <w:rPr>
          <w:color w:val="auto"/>
        </w:rPr>
        <w:t xml:space="preserve">κινήθηκε ανοδικά κατά τη διάρκεια του πρώτου οκταμήνου του 2021. Τον Σεπτέμβριο, ο δείκτης υποχώρησε μέσα σε ένα μήνα  από τις 113 στις 109 μονάδες, κυρίως λόγω της υποβάθμισης των επιχειρηματικών προσδοκιών και της καταναλωτικής εμπιστοσύνης. Τον Οκτώβριο του 2021, ο δείκτης οικονομικής συγκυρίας κινήθηκε εκ νέου ανοδικά και ξεπέρασε τις 112 μονάδες. Παρόμοια πορεία ακολουθεί  ο δείκτης οικονομικής συγκυρίας στις χώρες της Ευρωζώνης κινούμενος όμως σε ελαφρά υψηλότερο επίπεδο ( στις 118 μονάδες τον Οκτώβριο του 2021). </w:t>
      </w:r>
    </w:p>
    <w:p w14:paraId="7784E6D5" w14:textId="0BA68242" w:rsidR="002166B8" w:rsidRPr="002166B8" w:rsidRDefault="004547B6" w:rsidP="004547B6">
      <w:pPr>
        <w:spacing w:after="160"/>
        <w:rPr>
          <w:color w:val="auto"/>
        </w:rPr>
      </w:pPr>
      <w:r w:rsidRPr="004547B6">
        <w:rPr>
          <w:color w:val="auto"/>
        </w:rPr>
        <w:t xml:space="preserve">Ο δείκτης καταναλωτικής εμπιστοσύνης, ο οποίος αποτελεί ένα μέτρο αποτύπωσης των καταναλωτικών αντιλήψεων και προσδοκιών για την υφιστάμενη οικονομική κατάσταση και το μέλλον της οικονομικής πορείας στη χώρα, εξακολουθεί να βρίσκεται σε αρνητικό επίπεδο. Μετά την πρόσκαιρη, όπως αποδείχτηκε, αύξηση της περιόδου Φεβρουαρίου-Μαΐου 2021 διατήρησε μία συνεχή πτωτική τάση μέχρι και τον Οκτώβριο και διαμορφώθηκε στις -44,7 μονάδες. Η «αποσύνδεση» του συγκεκριμένου δείκτη από τον αντίστοιχο της ιδιωτικής κατανάλωσης θα  μπορούσε σε ένα βαθμό να δικαιολογηθεί από την εξελικτική πορεία του ενεργειακού κόστους, αλλά και την αύξηση των τιμών των ειδών διατροφής , με πιθανό αποτέλεσμα τη διαμόρφωση αρνητικής ψυχολογίας στα νοικοκυριά σχετικά με  τη μελλοντική κατανάλωση. Σε κάθε περίπτωση, χρήζει παρακολούθησης αν ο δείκτης θα συνδεθεί </w:t>
      </w:r>
      <w:r w:rsidRPr="004547B6">
        <w:rPr>
          <w:color w:val="auto"/>
        </w:rPr>
        <w:lastRenderedPageBreak/>
        <w:t>με κάποια επιβράδυνση της ιδιωτικής κατανάλωσης το επόμενο διάστημα ή αποτελεί μόνο μία «ψευδή» ένδειξη ως προς τις μακροοικονομικές εξελίξεις. Αντιθέτως, ο δείκτης καταναλωτικής εμπιστοσύνης των χωρών της Ευρωζώνης, αν και βρίσκεται επίσης σε αρνητικό έδαφος (Οκτώβριος 2021: -4,8 μονάδες) τους τελευταίους 12 μήνες ενισχύεται σταδιακά φθάνοντας μάλιστα το υψηλότερο επίπεδο από το 2020 και μετά</w:t>
      </w:r>
      <w:r w:rsidR="002166B8" w:rsidRPr="002166B8">
        <w:rPr>
          <w:color w:val="auto"/>
        </w:rPr>
        <w:t xml:space="preserve">. </w:t>
      </w:r>
    </w:p>
    <w:p w14:paraId="40987755" w14:textId="3CCDAE16" w:rsidR="002166B8" w:rsidRPr="002166B8" w:rsidRDefault="00714353" w:rsidP="002166B8">
      <w:pPr>
        <w:spacing w:after="160" w:line="259" w:lineRule="auto"/>
        <w:rPr>
          <w:color w:val="00B0F0"/>
          <w:sz w:val="20"/>
          <w:szCs w:val="20"/>
        </w:rPr>
      </w:pPr>
      <w:bookmarkStart w:id="85" w:name="_Toc89172882"/>
      <w:r w:rsidRPr="004D1F57">
        <w:rPr>
          <w:b/>
          <w:iCs/>
          <w:sz w:val="20"/>
          <w:szCs w:val="20"/>
        </w:rPr>
        <w:t xml:space="preserve">Διάγραμμα </w:t>
      </w:r>
      <w:r w:rsidRPr="004D1F57">
        <w:rPr>
          <w:b/>
          <w:iCs/>
          <w:sz w:val="20"/>
          <w:szCs w:val="20"/>
        </w:rPr>
        <w:fldChar w:fldCharType="begin"/>
      </w:r>
      <w:r w:rsidRPr="004D1F57">
        <w:rPr>
          <w:b/>
          <w:iCs/>
          <w:sz w:val="20"/>
          <w:szCs w:val="20"/>
        </w:rPr>
        <w:instrText xml:space="preserve"> SEQ Διάγραμμα \* ARABIC </w:instrText>
      </w:r>
      <w:r w:rsidRPr="004D1F57">
        <w:rPr>
          <w:b/>
          <w:iCs/>
          <w:sz w:val="20"/>
          <w:szCs w:val="20"/>
        </w:rPr>
        <w:fldChar w:fldCharType="separate"/>
      </w:r>
      <w:r w:rsidR="0038196B">
        <w:rPr>
          <w:b/>
          <w:iCs/>
          <w:noProof/>
          <w:sz w:val="20"/>
          <w:szCs w:val="20"/>
        </w:rPr>
        <w:t>20</w:t>
      </w:r>
      <w:r w:rsidRPr="004D1F57">
        <w:rPr>
          <w:b/>
          <w:iCs/>
          <w:sz w:val="20"/>
          <w:szCs w:val="20"/>
        </w:rPr>
        <w:fldChar w:fldCharType="end"/>
      </w:r>
      <w:r w:rsidRPr="004D1F57">
        <w:rPr>
          <w:b/>
          <w:iCs/>
          <w:sz w:val="20"/>
          <w:szCs w:val="20"/>
        </w:rPr>
        <w:t xml:space="preserve">: </w:t>
      </w:r>
      <w:r w:rsidR="002166B8" w:rsidRPr="002166B8">
        <w:rPr>
          <w:color w:val="00B0F0"/>
          <w:sz w:val="20"/>
          <w:szCs w:val="20"/>
        </w:rPr>
        <w:t>Δείκτες οικονομικής συγκυρίας και καταναλωτικής εμπιστοσύνης</w:t>
      </w:r>
      <w:bookmarkEnd w:id="85"/>
      <w:r w:rsidR="002166B8" w:rsidRPr="002166B8">
        <w:rPr>
          <w:color w:val="00B0F0"/>
          <w:sz w:val="20"/>
          <w:szCs w:val="20"/>
        </w:rPr>
        <w:t xml:space="preserve">   </w:t>
      </w:r>
    </w:p>
    <w:p w14:paraId="3426DEC2" w14:textId="77777777" w:rsidR="002166B8" w:rsidRPr="002166B8" w:rsidRDefault="002166B8" w:rsidP="002166B8">
      <w:pPr>
        <w:spacing w:after="0" w:line="240" w:lineRule="auto"/>
        <w:rPr>
          <w:color w:val="00B0F0"/>
          <w:sz w:val="20"/>
          <w:szCs w:val="20"/>
        </w:rPr>
      </w:pPr>
      <w:r w:rsidRPr="002166B8">
        <w:rPr>
          <w:rFonts w:asciiTheme="minorHAnsi" w:hAnsiTheme="minorHAnsi"/>
          <w:noProof/>
          <w:color w:val="auto"/>
          <w:lang w:eastAsia="el-GR"/>
        </w:rPr>
        <w:drawing>
          <wp:anchor distT="0" distB="0" distL="114300" distR="114300" simplePos="0" relativeHeight="251675648" behindDoc="0" locked="0" layoutInCell="1" allowOverlap="1" wp14:anchorId="680F8193" wp14:editId="4E5ABDE8">
            <wp:simplePos x="0" y="0"/>
            <wp:positionH relativeFrom="column">
              <wp:posOffset>2948305</wp:posOffset>
            </wp:positionH>
            <wp:positionV relativeFrom="paragraph">
              <wp:posOffset>2540</wp:posOffset>
            </wp:positionV>
            <wp:extent cx="2714625" cy="2028825"/>
            <wp:effectExtent l="0" t="0" r="9525" b="9525"/>
            <wp:wrapSquare wrapText="bothSides"/>
            <wp:docPr id="18" name="Γράφημα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2166B8">
        <w:rPr>
          <w:rFonts w:asciiTheme="minorHAnsi" w:hAnsiTheme="minorHAnsi"/>
          <w:noProof/>
          <w:color w:val="auto"/>
          <w:lang w:eastAsia="el-GR"/>
        </w:rPr>
        <w:drawing>
          <wp:inline distT="0" distB="0" distL="0" distR="0" wp14:anchorId="0F090338" wp14:editId="4B019571">
            <wp:extent cx="2803849" cy="2005965"/>
            <wp:effectExtent l="0" t="0" r="15875" b="13335"/>
            <wp:docPr id="20" name="Γράφημα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23C7B03" w14:textId="77777777" w:rsidR="002166B8" w:rsidRPr="00770552" w:rsidRDefault="002166B8" w:rsidP="002166B8">
      <w:pPr>
        <w:spacing w:after="0" w:line="240" w:lineRule="auto"/>
        <w:rPr>
          <w:color w:val="00B0F0"/>
          <w:sz w:val="20"/>
          <w:szCs w:val="20"/>
        </w:rPr>
      </w:pPr>
      <w:r w:rsidRPr="00770552">
        <w:rPr>
          <w:rFonts w:eastAsia="Calibri" w:cs="Times New Roman"/>
          <w:b/>
          <w:sz w:val="16"/>
          <w:szCs w:val="16"/>
        </w:rPr>
        <w:t>Πηγή</w:t>
      </w:r>
      <w:r w:rsidRPr="00770552">
        <w:rPr>
          <w:rFonts w:eastAsia="Calibri" w:cs="Times New Roman"/>
          <w:b/>
          <w:color w:val="808080"/>
          <w:sz w:val="16"/>
          <w:szCs w:val="16"/>
        </w:rPr>
        <w:t>:</w:t>
      </w:r>
      <w:r w:rsidRPr="002166B8">
        <w:rPr>
          <w:color w:val="auto"/>
          <w:sz w:val="16"/>
          <w:szCs w:val="16"/>
        </w:rPr>
        <w:t xml:space="preserve"> </w:t>
      </w:r>
      <w:r w:rsidRPr="00770552">
        <w:rPr>
          <w:color w:val="00B0F0"/>
          <w:sz w:val="16"/>
          <w:szCs w:val="16"/>
        </w:rPr>
        <w:t>Eurostat (εποχικά προσαρμοσμένα στοιχεία).</w:t>
      </w:r>
    </w:p>
    <w:p w14:paraId="75480751" w14:textId="53DCBF66" w:rsidR="002166B8" w:rsidRPr="002166B8" w:rsidRDefault="002166B8" w:rsidP="00E16F9D">
      <w:pPr>
        <w:spacing w:after="160"/>
        <w:rPr>
          <w:color w:val="auto"/>
        </w:rPr>
      </w:pPr>
      <w:r w:rsidRPr="002166B8">
        <w:rPr>
          <w:color w:val="auto"/>
        </w:rPr>
        <w:br/>
      </w:r>
      <w:r w:rsidR="004547B6" w:rsidRPr="004547B6">
        <w:rPr>
          <w:color w:val="auto"/>
        </w:rPr>
        <w:t>Οι δείκτες κατασκευών, βιομηχανίας, λιανικού εμπορίου και Υπηρεσιών, που λειτουργούν ως πρόδρομοι δείκτες της οικονομικής δραστηριότητας,  εμφανίζουν μία ενθαρρυντική εικόνα τους τελευταίους μήνες. Ειδικότερα, ο δείκτης Κατασκευών μετά από ένα έτος με έντονη αρνητική τάση, πέρασε σε θετικό επίπεδο το τελευταίο δίμηνο. Σε θετικό επίπεδο φαίνεται επίσης να σταθεροποιούνται οι δείκτες της βιομηχανίας και του λιανικού εμπορίου οι οποίοι διαμορφώθηκαν τον Οκτώβριο του 2021</w:t>
      </w:r>
      <w:r w:rsidR="00E04F6F">
        <w:rPr>
          <w:color w:val="auto"/>
        </w:rPr>
        <w:t xml:space="preserve"> σε 8,6 και 17,3 μονάδες. Τέλος,</w:t>
      </w:r>
      <w:r w:rsidR="004547B6" w:rsidRPr="004547B6">
        <w:rPr>
          <w:color w:val="auto"/>
        </w:rPr>
        <w:t xml:space="preserve"> ο δείκτης υπηρεσιών κινείται θετικά και σταθερά υψηλά το τελευταίο πεντάμηνο  με κορυφαία επίδοση τον Οκτώβριο</w:t>
      </w:r>
      <w:r w:rsidR="00E04F6F">
        <w:rPr>
          <w:color w:val="auto"/>
        </w:rPr>
        <w:t xml:space="preserve">, </w:t>
      </w:r>
      <w:r w:rsidR="004547B6" w:rsidRPr="004547B6">
        <w:rPr>
          <w:color w:val="auto"/>
        </w:rPr>
        <w:t>φθάνοντας στις 40,5 μονάδες.</w:t>
      </w:r>
      <w:r w:rsidRPr="002166B8">
        <w:rPr>
          <w:color w:val="auto"/>
        </w:rPr>
        <w:t xml:space="preserve"> </w:t>
      </w:r>
    </w:p>
    <w:p w14:paraId="674D9779" w14:textId="241B3B22" w:rsidR="00E16F9D" w:rsidRDefault="00E16F9D">
      <w:pPr>
        <w:spacing w:after="160" w:line="0" w:lineRule="auto"/>
        <w:jc w:val="left"/>
        <w:rPr>
          <w:color w:val="auto"/>
        </w:rPr>
      </w:pPr>
      <w:r>
        <w:rPr>
          <w:color w:val="auto"/>
        </w:rPr>
        <w:br w:type="page"/>
      </w:r>
    </w:p>
    <w:p w14:paraId="26B8F046" w14:textId="74B8BD00" w:rsidR="002166B8" w:rsidRPr="002166B8" w:rsidRDefault="00714353" w:rsidP="002166B8">
      <w:pPr>
        <w:spacing w:after="160" w:line="259" w:lineRule="auto"/>
        <w:rPr>
          <w:color w:val="00B0F0"/>
          <w:sz w:val="20"/>
          <w:szCs w:val="20"/>
        </w:rPr>
      </w:pPr>
      <w:bookmarkStart w:id="86" w:name="_Toc89172883"/>
      <w:r w:rsidRPr="004D1F57">
        <w:rPr>
          <w:b/>
          <w:iCs/>
          <w:sz w:val="20"/>
          <w:szCs w:val="20"/>
        </w:rPr>
        <w:lastRenderedPageBreak/>
        <w:t xml:space="preserve">Διάγραμμα </w:t>
      </w:r>
      <w:r w:rsidRPr="004D1F57">
        <w:rPr>
          <w:b/>
          <w:iCs/>
          <w:sz w:val="20"/>
          <w:szCs w:val="20"/>
        </w:rPr>
        <w:fldChar w:fldCharType="begin"/>
      </w:r>
      <w:r w:rsidRPr="004D1F57">
        <w:rPr>
          <w:b/>
          <w:iCs/>
          <w:sz w:val="20"/>
          <w:szCs w:val="20"/>
        </w:rPr>
        <w:instrText xml:space="preserve"> SEQ Διάγραμμα \* ARABIC </w:instrText>
      </w:r>
      <w:r w:rsidRPr="004D1F57">
        <w:rPr>
          <w:b/>
          <w:iCs/>
          <w:sz w:val="20"/>
          <w:szCs w:val="20"/>
        </w:rPr>
        <w:fldChar w:fldCharType="separate"/>
      </w:r>
      <w:r w:rsidR="0038196B">
        <w:rPr>
          <w:b/>
          <w:iCs/>
          <w:noProof/>
          <w:sz w:val="20"/>
          <w:szCs w:val="20"/>
        </w:rPr>
        <w:t>21</w:t>
      </w:r>
      <w:r w:rsidRPr="004D1F57">
        <w:rPr>
          <w:b/>
          <w:iCs/>
          <w:sz w:val="20"/>
          <w:szCs w:val="20"/>
        </w:rPr>
        <w:fldChar w:fldCharType="end"/>
      </w:r>
      <w:r w:rsidRPr="004D1F57">
        <w:rPr>
          <w:b/>
          <w:iCs/>
          <w:sz w:val="20"/>
          <w:szCs w:val="20"/>
        </w:rPr>
        <w:t xml:space="preserve">: </w:t>
      </w:r>
      <w:r w:rsidR="002166B8" w:rsidRPr="002166B8">
        <w:rPr>
          <w:color w:val="00B0F0"/>
          <w:sz w:val="20"/>
          <w:szCs w:val="20"/>
        </w:rPr>
        <w:t>Δείκτες Κατασκευών, Βιομηχανίας, Λιανικού Εμπορίου και Υπηρεσιών</w:t>
      </w:r>
      <w:bookmarkEnd w:id="86"/>
    </w:p>
    <w:p w14:paraId="1FE675D0" w14:textId="77777777" w:rsidR="002166B8" w:rsidRPr="002166B8" w:rsidRDefault="002166B8" w:rsidP="002166B8">
      <w:pPr>
        <w:spacing w:after="160" w:line="259" w:lineRule="auto"/>
        <w:jc w:val="left"/>
        <w:rPr>
          <w:rFonts w:asciiTheme="minorHAnsi" w:hAnsiTheme="minorHAnsi"/>
          <w:color w:val="auto"/>
        </w:rPr>
      </w:pPr>
      <w:r w:rsidRPr="002166B8">
        <w:rPr>
          <w:rFonts w:asciiTheme="minorHAnsi" w:hAnsiTheme="minorHAnsi"/>
          <w:noProof/>
          <w:color w:val="auto"/>
          <w:lang w:eastAsia="el-GR"/>
        </w:rPr>
        <w:drawing>
          <wp:inline distT="0" distB="0" distL="0" distR="0" wp14:anchorId="43A9F58F" wp14:editId="6A3E4603">
            <wp:extent cx="5274310" cy="2345055"/>
            <wp:effectExtent l="0" t="0" r="2540" b="17145"/>
            <wp:docPr id="21" name="Γράφημα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74271DE" w14:textId="6CD9D678" w:rsidR="002166B8" w:rsidRPr="00770552" w:rsidRDefault="002166B8" w:rsidP="002166B8">
      <w:pPr>
        <w:spacing w:after="0" w:line="240" w:lineRule="auto"/>
        <w:rPr>
          <w:color w:val="00B0F0"/>
          <w:sz w:val="16"/>
          <w:szCs w:val="16"/>
        </w:rPr>
      </w:pPr>
      <w:r w:rsidRPr="00770552">
        <w:rPr>
          <w:rFonts w:eastAsia="Calibri" w:cs="Times New Roman"/>
          <w:b/>
          <w:color w:val="808080"/>
          <w:sz w:val="16"/>
          <w:szCs w:val="16"/>
        </w:rPr>
        <w:t>Πηγή:</w:t>
      </w:r>
      <w:r w:rsidRPr="002166B8">
        <w:rPr>
          <w:color w:val="auto"/>
          <w:sz w:val="16"/>
          <w:szCs w:val="16"/>
        </w:rPr>
        <w:t xml:space="preserve"> </w:t>
      </w:r>
      <w:r w:rsidRPr="00770552">
        <w:rPr>
          <w:color w:val="00B0F0"/>
          <w:sz w:val="16"/>
          <w:szCs w:val="16"/>
        </w:rPr>
        <w:t>Eurostat (εποχικά προσαρμοσμένα στοιχεία).</w:t>
      </w:r>
    </w:p>
    <w:p w14:paraId="7C05BC44" w14:textId="77777777" w:rsidR="00E16F9D" w:rsidRPr="002166B8" w:rsidRDefault="00E16F9D" w:rsidP="002166B8">
      <w:pPr>
        <w:spacing w:after="0" w:line="240" w:lineRule="auto"/>
        <w:rPr>
          <w:color w:val="00B0F0"/>
          <w:sz w:val="20"/>
          <w:szCs w:val="20"/>
        </w:rPr>
      </w:pPr>
    </w:p>
    <w:p w14:paraId="48C5C8B4" w14:textId="5348CA90" w:rsidR="002166B8" w:rsidRPr="002166B8" w:rsidRDefault="004547B6" w:rsidP="00E16F9D">
      <w:pPr>
        <w:spacing w:after="160"/>
        <w:rPr>
          <w:color w:val="auto"/>
        </w:rPr>
      </w:pPr>
      <w:r w:rsidRPr="004547B6">
        <w:rPr>
          <w:color w:val="auto"/>
        </w:rPr>
        <w:t>Ο σύνθετος δείκτης υπευθύνων προμηθειών στη μεταποίηση (PMI, ΙΗS Markit) έχει σταθεροποιηθεί σε υψηλές τιμές προσεγγίζοντας τις 60 μονάδες. Συγκεκριμένα, ο δείκτης  ανήλθε, τον Οκτώβριο του 2021, από 50 μονάδες που ήταν στην αρχή του έτους στις 59,3 μονάδες, , λόγω του αυξημένου ρυθμού παραγγελιών σε εθνικό και διεθνές επίπεδο αλλά και των θετικών προσδοκιών από τον ευρύτερο  τομέα των επιχειρήσεων. Ταυτόχρονα λόγω της σταθεροποίησης του δείκτη σε υψηλές τιμές ουσιαστικά κλείνει η διαφορά σε σχέση με τον αντίστοιχο δείκτη των χωρών της ευρωζώνης όπου παρατηρείται  μικρή αλλά συνεχής πτώση από τον Ιούνιο του 2021.</w:t>
      </w:r>
    </w:p>
    <w:p w14:paraId="66B17C20" w14:textId="77777777" w:rsidR="002166B8" w:rsidRPr="002166B8" w:rsidRDefault="002166B8" w:rsidP="002166B8">
      <w:pPr>
        <w:spacing w:after="160" w:line="259" w:lineRule="auto"/>
        <w:rPr>
          <w:color w:val="auto"/>
        </w:rPr>
      </w:pPr>
    </w:p>
    <w:p w14:paraId="41F3D68E" w14:textId="47404CD0" w:rsidR="002166B8" w:rsidRPr="002166B8" w:rsidRDefault="00714353" w:rsidP="002166B8">
      <w:pPr>
        <w:spacing w:after="160" w:line="259" w:lineRule="auto"/>
        <w:jc w:val="left"/>
        <w:rPr>
          <w:color w:val="00B0F0"/>
          <w:sz w:val="20"/>
          <w:szCs w:val="20"/>
        </w:rPr>
      </w:pPr>
      <w:bookmarkStart w:id="87" w:name="_Toc89172884"/>
      <w:r w:rsidRPr="004D1F57">
        <w:rPr>
          <w:b/>
          <w:iCs/>
          <w:sz w:val="20"/>
          <w:szCs w:val="20"/>
        </w:rPr>
        <w:t xml:space="preserve">Διάγραμμα </w:t>
      </w:r>
      <w:r w:rsidRPr="004D1F57">
        <w:rPr>
          <w:b/>
          <w:iCs/>
          <w:sz w:val="20"/>
          <w:szCs w:val="20"/>
        </w:rPr>
        <w:fldChar w:fldCharType="begin"/>
      </w:r>
      <w:r w:rsidRPr="004D1F57">
        <w:rPr>
          <w:b/>
          <w:iCs/>
          <w:sz w:val="20"/>
          <w:szCs w:val="20"/>
        </w:rPr>
        <w:instrText xml:space="preserve"> SEQ Διάγραμμα \* ARABIC </w:instrText>
      </w:r>
      <w:r w:rsidRPr="004D1F57">
        <w:rPr>
          <w:b/>
          <w:iCs/>
          <w:sz w:val="20"/>
          <w:szCs w:val="20"/>
        </w:rPr>
        <w:fldChar w:fldCharType="separate"/>
      </w:r>
      <w:r w:rsidR="0038196B">
        <w:rPr>
          <w:b/>
          <w:iCs/>
          <w:noProof/>
          <w:sz w:val="20"/>
          <w:szCs w:val="20"/>
        </w:rPr>
        <w:t>22</w:t>
      </w:r>
      <w:r w:rsidRPr="004D1F57">
        <w:rPr>
          <w:b/>
          <w:iCs/>
          <w:sz w:val="20"/>
          <w:szCs w:val="20"/>
        </w:rPr>
        <w:fldChar w:fldCharType="end"/>
      </w:r>
      <w:r w:rsidRPr="004D1F57">
        <w:rPr>
          <w:b/>
          <w:iCs/>
          <w:sz w:val="20"/>
          <w:szCs w:val="20"/>
        </w:rPr>
        <w:t xml:space="preserve">: </w:t>
      </w:r>
      <w:r w:rsidR="002166B8" w:rsidRPr="002166B8">
        <w:rPr>
          <w:color w:val="00B0F0"/>
          <w:sz w:val="20"/>
          <w:szCs w:val="20"/>
        </w:rPr>
        <w:t>Δείκτης Υπευθύνων Προμηθειών στη Μεταποίηση PMI</w:t>
      </w:r>
      <w:bookmarkEnd w:id="87"/>
    </w:p>
    <w:p w14:paraId="427AD3E3" w14:textId="77777777" w:rsidR="002166B8" w:rsidRPr="002166B8" w:rsidRDefault="002166B8" w:rsidP="002166B8">
      <w:pPr>
        <w:spacing w:after="160" w:line="259" w:lineRule="auto"/>
        <w:jc w:val="left"/>
        <w:rPr>
          <w:rFonts w:asciiTheme="minorHAnsi" w:hAnsiTheme="minorHAnsi"/>
          <w:color w:val="auto"/>
        </w:rPr>
      </w:pPr>
      <w:r w:rsidRPr="002166B8">
        <w:rPr>
          <w:rFonts w:asciiTheme="minorHAnsi" w:hAnsiTheme="minorHAnsi"/>
          <w:noProof/>
          <w:color w:val="auto"/>
          <w:lang w:eastAsia="el-GR"/>
        </w:rPr>
        <w:drawing>
          <wp:inline distT="0" distB="0" distL="0" distR="0" wp14:anchorId="7210E3D6" wp14:editId="13F5F3B5">
            <wp:extent cx="5274310" cy="2532491"/>
            <wp:effectExtent l="0" t="0" r="2540" b="1270"/>
            <wp:docPr id="22" name="Γράφημα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D1F7E2F" w14:textId="77777777" w:rsidR="002166B8" w:rsidRPr="00770552" w:rsidRDefault="002166B8" w:rsidP="002166B8">
      <w:pPr>
        <w:spacing w:after="0" w:line="240" w:lineRule="auto"/>
        <w:rPr>
          <w:color w:val="00B0F0"/>
          <w:sz w:val="16"/>
          <w:szCs w:val="16"/>
        </w:rPr>
      </w:pPr>
      <w:r w:rsidRPr="00770552">
        <w:rPr>
          <w:rFonts w:eastAsia="Calibri" w:cs="Times New Roman"/>
          <w:b/>
          <w:color w:val="808080"/>
          <w:sz w:val="16"/>
          <w:szCs w:val="16"/>
        </w:rPr>
        <w:t>Πηγή:</w:t>
      </w:r>
      <w:r w:rsidRPr="002166B8">
        <w:rPr>
          <w:color w:val="auto"/>
          <w:sz w:val="16"/>
          <w:szCs w:val="16"/>
        </w:rPr>
        <w:t xml:space="preserve"> </w:t>
      </w:r>
      <w:r w:rsidRPr="00770552">
        <w:rPr>
          <w:color w:val="00B0F0"/>
          <w:sz w:val="16"/>
          <w:szCs w:val="16"/>
        </w:rPr>
        <w:t>HIS Markit Economics, Εποχικά Προσαρμοσμένα Στοιχεία</w:t>
      </w:r>
    </w:p>
    <w:p w14:paraId="3C38BF4B" w14:textId="77777777" w:rsidR="002166B8" w:rsidRPr="002166B8" w:rsidRDefault="002166B8" w:rsidP="002166B8">
      <w:pPr>
        <w:spacing w:after="0" w:line="240" w:lineRule="auto"/>
        <w:rPr>
          <w:color w:val="auto"/>
          <w:sz w:val="16"/>
          <w:szCs w:val="16"/>
        </w:rPr>
      </w:pPr>
    </w:p>
    <w:p w14:paraId="41F3C49D" w14:textId="77777777" w:rsidR="002166B8" w:rsidRDefault="002166B8" w:rsidP="003C3C83">
      <w:pPr>
        <w:spacing w:after="160"/>
        <w:rPr>
          <w:color w:val="auto"/>
        </w:rPr>
      </w:pPr>
    </w:p>
    <w:p w14:paraId="56902129" w14:textId="77777777" w:rsidR="003C3C83" w:rsidRDefault="003C3C83" w:rsidP="003C3C83">
      <w:pPr>
        <w:spacing w:after="160"/>
        <w:rPr>
          <w:color w:val="auto"/>
        </w:rPr>
      </w:pPr>
    </w:p>
    <w:p w14:paraId="2F4CA36B" w14:textId="77777777" w:rsidR="003C3C83" w:rsidRDefault="003C3C83" w:rsidP="00F778C1">
      <w:pPr>
        <w:rPr>
          <w:rFonts w:eastAsia="Calibri" w:cs="Times New Roman"/>
          <w:b/>
          <w:color w:val="00A3E0"/>
          <w:sz w:val="16"/>
          <w:szCs w:val="16"/>
        </w:rPr>
      </w:pPr>
    </w:p>
    <w:p w14:paraId="456DE33F" w14:textId="49303674" w:rsidR="003E45FF" w:rsidRDefault="003E45FF">
      <w:pPr>
        <w:spacing w:after="160" w:line="0" w:lineRule="auto"/>
        <w:jc w:val="left"/>
        <w:rPr>
          <w:rFonts w:eastAsia="Calibri" w:cs="Times New Roman"/>
          <w:b/>
          <w:color w:val="00A3E0"/>
          <w:sz w:val="16"/>
          <w:szCs w:val="16"/>
        </w:rPr>
      </w:pPr>
      <w:r>
        <w:rPr>
          <w:rFonts w:eastAsia="Calibri" w:cs="Times New Roman"/>
          <w:b/>
          <w:color w:val="00A3E0"/>
          <w:sz w:val="16"/>
          <w:szCs w:val="16"/>
        </w:rPr>
        <w:br w:type="page"/>
      </w:r>
    </w:p>
    <w:p w14:paraId="27D533BE" w14:textId="29B3C831" w:rsidR="008866AA" w:rsidRPr="005A45C7" w:rsidRDefault="00013486" w:rsidP="008866AA">
      <w:pPr>
        <w:pStyle w:val="a0"/>
        <w:ind w:left="0"/>
        <w:rPr>
          <w:sz w:val="32"/>
          <w:szCs w:val="32"/>
        </w:rPr>
      </w:pPr>
      <w:bookmarkStart w:id="88" w:name="_Toc89172825"/>
      <w:r>
        <w:rPr>
          <w:sz w:val="32"/>
          <w:szCs w:val="32"/>
        </w:rPr>
        <w:lastRenderedPageBreak/>
        <w:t>Χ</w:t>
      </w:r>
      <w:r w:rsidR="008866AA" w:rsidRPr="008866AA">
        <w:rPr>
          <w:sz w:val="32"/>
          <w:szCs w:val="32"/>
        </w:rPr>
        <w:t>ρηματοπιστωτικός τομέας</w:t>
      </w:r>
      <w:bookmarkEnd w:id="88"/>
      <w:r w:rsidR="008866AA" w:rsidRPr="008866AA">
        <w:rPr>
          <w:sz w:val="32"/>
          <w:szCs w:val="32"/>
        </w:rPr>
        <w:t xml:space="preserve"> </w:t>
      </w:r>
    </w:p>
    <w:p w14:paraId="11E11B0D" w14:textId="024C15B6" w:rsidR="00AA66D3" w:rsidRPr="000011F8" w:rsidRDefault="000011F8" w:rsidP="000011F8">
      <w:pPr>
        <w:pStyle w:val="ac"/>
        <w:numPr>
          <w:ilvl w:val="0"/>
          <w:numId w:val="8"/>
        </w:numPr>
        <w:spacing w:after="240"/>
        <w:ind w:left="714" w:hanging="357"/>
        <w:contextualSpacing w:val="0"/>
        <w:rPr>
          <w:rFonts w:eastAsia="Calibri" w:cs="Times New Roman"/>
          <w:b/>
          <w:iCs/>
          <w:color w:val="595959" w:themeColor="text1" w:themeTint="A6"/>
          <w:sz w:val="24"/>
          <w:szCs w:val="24"/>
        </w:rPr>
      </w:pPr>
      <w:r w:rsidRPr="000011F8">
        <w:rPr>
          <w:rFonts w:eastAsia="Calibri" w:cs="Times New Roman"/>
          <w:b/>
          <w:iCs/>
          <w:color w:val="595959" w:themeColor="text1" w:themeTint="A6"/>
          <w:sz w:val="24"/>
          <w:szCs w:val="24"/>
        </w:rPr>
        <w:t xml:space="preserve">Το ύψος των συνολικών καταθέσεων του ιδιωτικού τομέα (επιχειρήσεις και νοικοκυριά) </w:t>
      </w:r>
      <w:r w:rsidR="004547B6">
        <w:rPr>
          <w:rFonts w:eastAsia="Calibri" w:cs="Times New Roman"/>
          <w:b/>
          <w:iCs/>
          <w:color w:val="595959" w:themeColor="text1" w:themeTint="A6"/>
          <w:sz w:val="24"/>
          <w:szCs w:val="24"/>
        </w:rPr>
        <w:t xml:space="preserve">διατήρησε την αυξητική τάση και </w:t>
      </w:r>
      <w:r w:rsidRPr="000011F8">
        <w:rPr>
          <w:rFonts w:eastAsia="Calibri" w:cs="Times New Roman"/>
          <w:b/>
          <w:iCs/>
          <w:color w:val="595959" w:themeColor="text1" w:themeTint="A6"/>
          <w:sz w:val="24"/>
          <w:szCs w:val="24"/>
        </w:rPr>
        <w:t>έφτασε τα 166,4 δισ. ευρώ τον Σεπτέμβριο του 2021</w:t>
      </w:r>
      <w:r>
        <w:rPr>
          <w:rFonts w:eastAsia="Calibri" w:cs="Times New Roman"/>
          <w:b/>
          <w:iCs/>
          <w:color w:val="595959" w:themeColor="text1" w:themeTint="A6"/>
          <w:sz w:val="24"/>
          <w:szCs w:val="24"/>
        </w:rPr>
        <w:t>.</w:t>
      </w:r>
    </w:p>
    <w:p w14:paraId="37D6698B" w14:textId="176DC523" w:rsidR="000011F8" w:rsidRDefault="000011F8" w:rsidP="000011F8">
      <w:pPr>
        <w:pStyle w:val="ac"/>
        <w:numPr>
          <w:ilvl w:val="0"/>
          <w:numId w:val="8"/>
        </w:numPr>
        <w:spacing w:after="240"/>
        <w:ind w:left="714" w:hanging="357"/>
        <w:contextualSpacing w:val="0"/>
        <w:rPr>
          <w:rFonts w:eastAsia="Calibri" w:cs="Times New Roman"/>
          <w:b/>
          <w:iCs/>
          <w:color w:val="595959" w:themeColor="text1" w:themeTint="A6"/>
          <w:sz w:val="24"/>
          <w:szCs w:val="24"/>
        </w:rPr>
      </w:pPr>
      <w:r>
        <w:rPr>
          <w:rFonts w:eastAsia="Calibri" w:cs="Times New Roman"/>
          <w:b/>
          <w:iCs/>
          <w:color w:val="595959" w:themeColor="text1" w:themeTint="A6"/>
          <w:sz w:val="24"/>
          <w:szCs w:val="24"/>
        </w:rPr>
        <w:t xml:space="preserve">Ο </w:t>
      </w:r>
      <w:r w:rsidR="004547B6">
        <w:rPr>
          <w:rFonts w:eastAsia="Calibri" w:cs="Times New Roman"/>
          <w:b/>
          <w:iCs/>
          <w:color w:val="595959" w:themeColor="text1" w:themeTint="A6"/>
          <w:sz w:val="24"/>
          <w:szCs w:val="24"/>
        </w:rPr>
        <w:t xml:space="preserve">ετήσιος </w:t>
      </w:r>
      <w:r>
        <w:rPr>
          <w:rFonts w:eastAsia="Calibri" w:cs="Times New Roman"/>
          <w:b/>
          <w:iCs/>
          <w:color w:val="595959" w:themeColor="text1" w:themeTint="A6"/>
          <w:sz w:val="24"/>
          <w:szCs w:val="24"/>
        </w:rPr>
        <w:t>ρ</w:t>
      </w:r>
      <w:r w:rsidRPr="000011F8">
        <w:rPr>
          <w:rFonts w:eastAsia="Calibri" w:cs="Times New Roman"/>
          <w:b/>
          <w:iCs/>
          <w:color w:val="595959" w:themeColor="text1" w:themeTint="A6"/>
          <w:sz w:val="24"/>
          <w:szCs w:val="24"/>
        </w:rPr>
        <w:t>υθμός μεταβο</w:t>
      </w:r>
      <w:r w:rsidR="004547B6">
        <w:rPr>
          <w:rFonts w:eastAsia="Calibri" w:cs="Times New Roman"/>
          <w:b/>
          <w:iCs/>
          <w:color w:val="595959" w:themeColor="text1" w:themeTint="A6"/>
          <w:sz w:val="24"/>
          <w:szCs w:val="24"/>
        </w:rPr>
        <w:t xml:space="preserve">λής </w:t>
      </w:r>
      <w:r w:rsidRPr="000011F8">
        <w:rPr>
          <w:rFonts w:eastAsia="Calibri" w:cs="Times New Roman"/>
          <w:b/>
          <w:iCs/>
          <w:color w:val="595959" w:themeColor="text1" w:themeTint="A6"/>
          <w:sz w:val="24"/>
          <w:szCs w:val="24"/>
        </w:rPr>
        <w:t xml:space="preserve">των υπολοίπων χρηματοδότησης προς </w:t>
      </w:r>
      <w:r>
        <w:rPr>
          <w:rFonts w:eastAsia="Calibri" w:cs="Times New Roman"/>
          <w:b/>
          <w:iCs/>
          <w:color w:val="595959" w:themeColor="text1" w:themeTint="A6"/>
          <w:sz w:val="24"/>
          <w:szCs w:val="24"/>
        </w:rPr>
        <w:t>τις μη χρηματοπιστωτικές επιχειρήσεις, παρόλο που εξακολουθεί να βρίσκεται σε θετικό επίπεδο (2,8%) έχει σημειώσει σημαντική πτώση από την αρχή του έτους.</w:t>
      </w:r>
    </w:p>
    <w:p w14:paraId="36EAFB17" w14:textId="5959BEC8" w:rsidR="00372FD1" w:rsidRDefault="000011F8" w:rsidP="000011F8">
      <w:pPr>
        <w:pStyle w:val="ac"/>
        <w:numPr>
          <w:ilvl w:val="0"/>
          <w:numId w:val="8"/>
        </w:numPr>
        <w:spacing w:after="240"/>
        <w:ind w:left="714" w:hanging="357"/>
        <w:contextualSpacing w:val="0"/>
        <w:rPr>
          <w:rFonts w:eastAsia="Calibri" w:cs="Times New Roman"/>
          <w:b/>
          <w:iCs/>
          <w:color w:val="595959" w:themeColor="text1" w:themeTint="A6"/>
          <w:sz w:val="24"/>
          <w:szCs w:val="24"/>
        </w:rPr>
      </w:pPr>
      <w:r>
        <w:rPr>
          <w:rFonts w:eastAsia="Calibri" w:cs="Times New Roman"/>
          <w:b/>
          <w:iCs/>
          <w:color w:val="595959" w:themeColor="text1" w:themeTint="A6"/>
          <w:sz w:val="24"/>
          <w:szCs w:val="24"/>
        </w:rPr>
        <w:t xml:space="preserve">Καταναλωτική και στεγαστική πίστη εξακολουθούν να </w:t>
      </w:r>
      <w:r w:rsidR="004547B6">
        <w:rPr>
          <w:rFonts w:eastAsia="Calibri" w:cs="Times New Roman"/>
          <w:b/>
          <w:iCs/>
          <w:color w:val="595959" w:themeColor="text1" w:themeTint="A6"/>
          <w:sz w:val="24"/>
          <w:szCs w:val="24"/>
        </w:rPr>
        <w:t>εμφανίζουν</w:t>
      </w:r>
      <w:r>
        <w:rPr>
          <w:rFonts w:eastAsia="Calibri" w:cs="Times New Roman"/>
          <w:b/>
          <w:iCs/>
          <w:color w:val="595959" w:themeColor="text1" w:themeTint="A6"/>
          <w:sz w:val="24"/>
          <w:szCs w:val="24"/>
        </w:rPr>
        <w:t xml:space="preserve"> αρνητικ</w:t>
      </w:r>
      <w:r w:rsidR="004547B6">
        <w:rPr>
          <w:rFonts w:eastAsia="Calibri" w:cs="Times New Roman"/>
          <w:b/>
          <w:iCs/>
          <w:color w:val="595959" w:themeColor="text1" w:themeTint="A6"/>
          <w:sz w:val="24"/>
          <w:szCs w:val="24"/>
        </w:rPr>
        <w:t xml:space="preserve">ούς </w:t>
      </w:r>
      <w:r w:rsidR="006344D2">
        <w:rPr>
          <w:rFonts w:eastAsia="Calibri" w:cs="Times New Roman"/>
          <w:b/>
          <w:iCs/>
          <w:color w:val="595959" w:themeColor="text1" w:themeTint="A6"/>
          <w:sz w:val="24"/>
          <w:szCs w:val="24"/>
        </w:rPr>
        <w:t xml:space="preserve"> ρυθμούς</w:t>
      </w:r>
      <w:r>
        <w:rPr>
          <w:rFonts w:eastAsia="Calibri" w:cs="Times New Roman"/>
          <w:b/>
          <w:iCs/>
          <w:color w:val="595959" w:themeColor="text1" w:themeTint="A6"/>
          <w:sz w:val="24"/>
          <w:szCs w:val="24"/>
        </w:rPr>
        <w:t xml:space="preserve"> μεταβολής. </w:t>
      </w:r>
    </w:p>
    <w:p w14:paraId="5EA0841A" w14:textId="50FB37A7" w:rsidR="000011F8" w:rsidRPr="00431AD3" w:rsidRDefault="006344D2" w:rsidP="000011F8">
      <w:pPr>
        <w:pStyle w:val="ac"/>
        <w:numPr>
          <w:ilvl w:val="0"/>
          <w:numId w:val="8"/>
        </w:numPr>
        <w:spacing w:after="240"/>
        <w:contextualSpacing w:val="0"/>
        <w:rPr>
          <w:rFonts w:eastAsia="Calibri" w:cs="Times New Roman"/>
          <w:b/>
          <w:iCs/>
          <w:color w:val="595959" w:themeColor="text1" w:themeTint="A6"/>
          <w:sz w:val="24"/>
          <w:szCs w:val="24"/>
        </w:rPr>
      </w:pPr>
      <w:r>
        <w:rPr>
          <w:rFonts w:eastAsia="Calibri" w:cs="Times New Roman"/>
          <w:b/>
          <w:iCs/>
          <w:color w:val="595959" w:themeColor="text1" w:themeTint="A6"/>
          <w:sz w:val="24"/>
          <w:szCs w:val="24"/>
        </w:rPr>
        <w:t>Διατηρήθηκε η</w:t>
      </w:r>
      <w:r w:rsidR="000011F8" w:rsidRPr="000011F8">
        <w:rPr>
          <w:rFonts w:eastAsia="Calibri" w:cs="Times New Roman"/>
          <w:b/>
          <w:iCs/>
          <w:color w:val="595959" w:themeColor="text1" w:themeTint="A6"/>
          <w:sz w:val="24"/>
          <w:szCs w:val="24"/>
        </w:rPr>
        <w:t xml:space="preserve"> πτωτική τάση του ποσοστού </w:t>
      </w:r>
      <w:r w:rsidR="00A54937">
        <w:rPr>
          <w:rFonts w:eastAsia="Calibri" w:cs="Times New Roman"/>
          <w:b/>
          <w:iCs/>
          <w:color w:val="595959" w:themeColor="text1" w:themeTint="A6"/>
          <w:sz w:val="24"/>
          <w:szCs w:val="24"/>
        </w:rPr>
        <w:t>των μη εξυπηρετούμενων δανείων</w:t>
      </w:r>
      <w:r w:rsidR="000011F8" w:rsidRPr="000011F8">
        <w:rPr>
          <w:rFonts w:eastAsia="Calibri" w:cs="Times New Roman"/>
          <w:b/>
          <w:iCs/>
          <w:color w:val="595959" w:themeColor="text1" w:themeTint="A6"/>
          <w:sz w:val="24"/>
          <w:szCs w:val="24"/>
        </w:rPr>
        <w:t xml:space="preserve"> κατά τη διάρκεια του β’ </w:t>
      </w:r>
      <w:r w:rsidR="00A54937">
        <w:rPr>
          <w:rFonts w:eastAsia="Calibri" w:cs="Times New Roman"/>
          <w:b/>
          <w:iCs/>
          <w:color w:val="595959" w:themeColor="text1" w:themeTint="A6"/>
          <w:sz w:val="24"/>
          <w:szCs w:val="24"/>
        </w:rPr>
        <w:t>τριμήνου</w:t>
      </w:r>
      <w:r w:rsidR="000011F8" w:rsidRPr="000011F8">
        <w:rPr>
          <w:rFonts w:eastAsia="Calibri" w:cs="Times New Roman"/>
          <w:b/>
          <w:iCs/>
          <w:color w:val="595959" w:themeColor="text1" w:themeTint="A6"/>
          <w:sz w:val="24"/>
          <w:szCs w:val="24"/>
        </w:rPr>
        <w:t xml:space="preserve"> του 2021</w:t>
      </w:r>
      <w:r w:rsidR="00A54937">
        <w:rPr>
          <w:rFonts w:eastAsia="Calibri" w:cs="Times New Roman"/>
          <w:b/>
          <w:iCs/>
          <w:color w:val="595959" w:themeColor="text1" w:themeTint="A6"/>
          <w:sz w:val="24"/>
          <w:szCs w:val="24"/>
        </w:rPr>
        <w:t xml:space="preserve"> και </w:t>
      </w:r>
      <w:r>
        <w:rPr>
          <w:rFonts w:eastAsia="Calibri" w:cs="Times New Roman"/>
          <w:b/>
          <w:iCs/>
          <w:color w:val="595959" w:themeColor="text1" w:themeTint="A6"/>
          <w:sz w:val="24"/>
          <w:szCs w:val="24"/>
        </w:rPr>
        <w:t>περιορίστηκε</w:t>
      </w:r>
      <w:r w:rsidR="00A54937">
        <w:rPr>
          <w:rFonts w:eastAsia="Calibri" w:cs="Times New Roman"/>
          <w:b/>
          <w:iCs/>
          <w:color w:val="595959" w:themeColor="text1" w:themeTint="A6"/>
          <w:sz w:val="24"/>
          <w:szCs w:val="24"/>
        </w:rPr>
        <w:t xml:space="preserve"> στο 2</w:t>
      </w:r>
      <w:r>
        <w:rPr>
          <w:rFonts w:eastAsia="Calibri" w:cs="Times New Roman"/>
          <w:b/>
          <w:iCs/>
          <w:color w:val="595959" w:themeColor="text1" w:themeTint="A6"/>
          <w:sz w:val="24"/>
          <w:szCs w:val="24"/>
        </w:rPr>
        <w:t>0,3% ως ποσοστό επί του συνόλου- ήτοι</w:t>
      </w:r>
      <w:r w:rsidR="00A54937">
        <w:rPr>
          <w:rFonts w:eastAsia="Calibri" w:cs="Times New Roman"/>
          <w:b/>
          <w:iCs/>
          <w:color w:val="595959" w:themeColor="text1" w:themeTint="A6"/>
          <w:sz w:val="24"/>
          <w:szCs w:val="24"/>
        </w:rPr>
        <w:t xml:space="preserve"> 10 ποσοστιαίες μονάδες λιγότερες σε σχέση με το α’ τρίμηνο. </w:t>
      </w:r>
    </w:p>
    <w:p w14:paraId="54FB89DF" w14:textId="61A56950" w:rsidR="008866AA" w:rsidRPr="00B52880" w:rsidRDefault="008866AA" w:rsidP="00317216">
      <w:pPr>
        <w:rPr>
          <w:rFonts w:eastAsia="Calibri" w:cs="Times New Roman"/>
          <w:b/>
          <w:iCs/>
          <w:color w:val="808080"/>
        </w:rPr>
      </w:pPr>
    </w:p>
    <w:p w14:paraId="4B9F96C3" w14:textId="4FC49EC5" w:rsidR="00E45AAC" w:rsidRDefault="00E45AAC">
      <w:pPr>
        <w:spacing w:after="160" w:line="0" w:lineRule="auto"/>
        <w:jc w:val="left"/>
        <w:rPr>
          <w:rFonts w:eastAsia="Calibri" w:cs="Times New Roman"/>
          <w:b/>
          <w:color w:val="00A3E0"/>
          <w:sz w:val="16"/>
          <w:szCs w:val="16"/>
        </w:rPr>
      </w:pPr>
      <w:r>
        <w:rPr>
          <w:rFonts w:eastAsia="Calibri" w:cs="Times New Roman"/>
          <w:b/>
          <w:color w:val="00A3E0"/>
          <w:sz w:val="16"/>
          <w:szCs w:val="16"/>
        </w:rPr>
        <w:br w:type="page"/>
      </w:r>
    </w:p>
    <w:p w14:paraId="00BDD374" w14:textId="7F233B00" w:rsidR="00354FDE" w:rsidRPr="00354FDE" w:rsidRDefault="00013486" w:rsidP="00013486">
      <w:pPr>
        <w:pStyle w:val="a1"/>
        <w:rPr>
          <w:sz w:val="28"/>
          <w:szCs w:val="28"/>
        </w:rPr>
      </w:pPr>
      <w:bookmarkStart w:id="89" w:name="_Toc89172826"/>
      <w:r w:rsidRPr="00013486">
        <w:rPr>
          <w:sz w:val="28"/>
          <w:szCs w:val="28"/>
        </w:rPr>
        <w:lastRenderedPageBreak/>
        <w:t>Καταθέσεις-Χορηγήσεις</w:t>
      </w:r>
      <w:bookmarkEnd w:id="89"/>
      <w:r w:rsidR="00F778C1">
        <w:rPr>
          <w:sz w:val="28"/>
          <w:szCs w:val="28"/>
        </w:rPr>
        <w:t xml:space="preserve"> </w:t>
      </w:r>
    </w:p>
    <w:p w14:paraId="3159B2C7" w14:textId="70673C69" w:rsidR="00D05A68" w:rsidRPr="00E16F9D" w:rsidRDefault="00D05A68" w:rsidP="00E16F9D">
      <w:pPr>
        <w:spacing w:after="160"/>
        <w:rPr>
          <w:color w:val="auto"/>
        </w:rPr>
      </w:pPr>
      <w:r w:rsidRPr="00E16F9D">
        <w:rPr>
          <w:color w:val="auto"/>
        </w:rPr>
        <w:t>Το ύψος του υπολοίπου των συνολικών καταθέσεων του ιδιωτικού τομέα (επιχειρήσεις και νοικοκυριά) έφτασε τα 1</w:t>
      </w:r>
      <w:r w:rsidR="00E16F9D">
        <w:rPr>
          <w:color w:val="auto"/>
        </w:rPr>
        <w:t>66</w:t>
      </w:r>
      <w:r w:rsidRPr="00E16F9D">
        <w:rPr>
          <w:color w:val="auto"/>
        </w:rPr>
        <w:t>,</w:t>
      </w:r>
      <w:r w:rsidR="00E16F9D">
        <w:rPr>
          <w:color w:val="auto"/>
        </w:rPr>
        <w:t>4</w:t>
      </w:r>
      <w:r w:rsidRPr="00E16F9D">
        <w:rPr>
          <w:color w:val="auto"/>
        </w:rPr>
        <w:t xml:space="preserve"> δισ. ευρώ τον Σεπτέμβριο του 2021</w:t>
      </w:r>
      <w:r w:rsidR="003938E0">
        <w:rPr>
          <w:color w:val="auto"/>
        </w:rPr>
        <w:t>. Εξ αυτών</w:t>
      </w:r>
      <w:r w:rsidRPr="00E16F9D">
        <w:rPr>
          <w:color w:val="auto"/>
        </w:rPr>
        <w:t xml:space="preserve"> τα 130</w:t>
      </w:r>
      <w:r w:rsidR="00E16F9D">
        <w:rPr>
          <w:color w:val="auto"/>
        </w:rPr>
        <w:t>,</w:t>
      </w:r>
      <w:r w:rsidRPr="00E16F9D">
        <w:rPr>
          <w:color w:val="auto"/>
        </w:rPr>
        <w:t xml:space="preserve"> περίπου</w:t>
      </w:r>
      <w:r w:rsidR="00E16F9D">
        <w:rPr>
          <w:color w:val="auto"/>
        </w:rPr>
        <w:t>,</w:t>
      </w:r>
      <w:r w:rsidRPr="00E16F9D">
        <w:rPr>
          <w:color w:val="auto"/>
        </w:rPr>
        <w:t xml:space="preserve"> δισ. ευρώ προέρχονται από τα νοικοκυριά και τα 36,</w:t>
      </w:r>
      <w:r w:rsidR="00C12695">
        <w:rPr>
          <w:color w:val="auto"/>
        </w:rPr>
        <w:t>6</w:t>
      </w:r>
      <w:r w:rsidRPr="00E16F9D">
        <w:rPr>
          <w:color w:val="auto"/>
        </w:rPr>
        <w:t xml:space="preserve"> δισ. ευρώ από τις μη χρηματοπιστωτικές επιχειρήσεις. Καθ’ όλη τη διάρκεια του 9μήνου του 2021, υπήρξε σωρευτική αύξηση των καταθέσεων των νοικοκυριών κατά περίπου 5 δισ. ευρώ (+4%) και των μη χρηματοπιστωτικών επιχειρήσεων κατά 6</w:t>
      </w:r>
      <w:r w:rsidR="00C12695">
        <w:rPr>
          <w:color w:val="auto"/>
        </w:rPr>
        <w:t>,1</w:t>
      </w:r>
      <w:r w:rsidRPr="00E16F9D">
        <w:rPr>
          <w:color w:val="auto"/>
        </w:rPr>
        <w:t xml:space="preserve"> δισ. ευρώ (+20%). Σε σημαντικό βαθμό, η αύξηση των καταθέσεων οφείλεται στα μέτρα ενίσχυσης του εισοδήματος, στην αυξημένη τάση για αποταμίευση λόγω μελλοντικής αβεβαιότητας, αλλά και σε πιθανή αναβολή επενδυτικών σχεδ</w:t>
      </w:r>
      <w:r w:rsidR="00E16F9D">
        <w:rPr>
          <w:color w:val="auto"/>
        </w:rPr>
        <w:t>ίων εκ μέρους των επιχειρήσεων.</w:t>
      </w:r>
      <w:r w:rsidRPr="00E16F9D">
        <w:rPr>
          <w:color w:val="auto"/>
        </w:rPr>
        <w:t xml:space="preserve"> Από την άλλη πλευρά</w:t>
      </w:r>
      <w:r w:rsidR="00C12695">
        <w:rPr>
          <w:color w:val="auto"/>
        </w:rPr>
        <w:t>,</w:t>
      </w:r>
      <w:r w:rsidRPr="00E16F9D">
        <w:rPr>
          <w:color w:val="auto"/>
        </w:rPr>
        <w:t xml:space="preserve"> η συνεχιζόμενη ανοδική τάση των καταθέσεων δημιουργεί ένα ιδιαίτερα υψηλό </w:t>
      </w:r>
      <w:r w:rsidR="00C12695">
        <w:rPr>
          <w:color w:val="auto"/>
        </w:rPr>
        <w:t>απόθεμα</w:t>
      </w:r>
      <w:r w:rsidRPr="00E16F9D">
        <w:rPr>
          <w:color w:val="auto"/>
        </w:rPr>
        <w:t xml:space="preserve"> </w:t>
      </w:r>
      <w:r w:rsidR="00C12695" w:rsidRPr="00E16F9D">
        <w:rPr>
          <w:color w:val="auto"/>
        </w:rPr>
        <w:t>κεφαλαίο</w:t>
      </w:r>
      <w:r w:rsidR="00C12695">
        <w:rPr>
          <w:color w:val="auto"/>
        </w:rPr>
        <w:t>υ</w:t>
      </w:r>
      <w:r w:rsidRPr="00E16F9D">
        <w:rPr>
          <w:color w:val="auto"/>
        </w:rPr>
        <w:t xml:space="preserve"> που μπορεί</w:t>
      </w:r>
      <w:r w:rsidR="00E04F6F">
        <w:rPr>
          <w:color w:val="auto"/>
        </w:rPr>
        <w:t xml:space="preserve"> δυνητικά</w:t>
      </w:r>
      <w:r w:rsidRPr="00E16F9D">
        <w:rPr>
          <w:color w:val="auto"/>
        </w:rPr>
        <w:t xml:space="preserve"> </w:t>
      </w:r>
      <w:r w:rsidR="003938E0">
        <w:rPr>
          <w:color w:val="auto"/>
        </w:rPr>
        <w:t xml:space="preserve">να στηρίξει </w:t>
      </w:r>
      <w:r w:rsidRPr="00E16F9D">
        <w:rPr>
          <w:color w:val="auto"/>
        </w:rPr>
        <w:t>τόσο την επενδυτική δαπάνη όσο και την ιδιωτική κατανάλωση μέσω της τραπεζικής χρηματοδότησης.</w:t>
      </w:r>
    </w:p>
    <w:p w14:paraId="592C4010" w14:textId="5AB2432C" w:rsidR="00D05A68" w:rsidRDefault="00D05A68" w:rsidP="00D05A68">
      <w:pPr>
        <w:spacing w:after="160" w:line="259" w:lineRule="auto"/>
        <w:jc w:val="left"/>
        <w:rPr>
          <w:color w:val="00B0F0"/>
          <w:sz w:val="20"/>
          <w:szCs w:val="20"/>
        </w:rPr>
      </w:pPr>
      <w:bookmarkStart w:id="90" w:name="_Toc89172885"/>
      <w:r w:rsidRPr="008A190C">
        <w:rPr>
          <w:rFonts w:cs="Times New Roman"/>
          <w:b/>
          <w:sz w:val="20"/>
          <w:szCs w:val="20"/>
        </w:rPr>
        <w:t xml:space="preserve">Διάγραμμα </w:t>
      </w:r>
      <w:r w:rsidRPr="008A190C">
        <w:rPr>
          <w:rFonts w:cs="Times New Roman"/>
          <w:b/>
          <w:sz w:val="20"/>
          <w:szCs w:val="20"/>
        </w:rPr>
        <w:fldChar w:fldCharType="begin"/>
      </w:r>
      <w:r w:rsidRPr="008A190C">
        <w:rPr>
          <w:rFonts w:cs="Times New Roman"/>
          <w:b/>
          <w:sz w:val="20"/>
          <w:szCs w:val="20"/>
        </w:rPr>
        <w:instrText xml:space="preserve"> SEQ Διάγραμμα \* ARABIC </w:instrText>
      </w:r>
      <w:r w:rsidRPr="008A190C">
        <w:rPr>
          <w:rFonts w:cs="Times New Roman"/>
          <w:b/>
          <w:sz w:val="20"/>
          <w:szCs w:val="20"/>
        </w:rPr>
        <w:fldChar w:fldCharType="separate"/>
      </w:r>
      <w:r w:rsidR="0038196B">
        <w:rPr>
          <w:rFonts w:cs="Times New Roman"/>
          <w:b/>
          <w:noProof/>
          <w:sz w:val="20"/>
          <w:szCs w:val="20"/>
        </w:rPr>
        <w:t>23</w:t>
      </w:r>
      <w:r w:rsidRPr="008A190C">
        <w:rPr>
          <w:rFonts w:cs="Times New Roman"/>
          <w:b/>
          <w:sz w:val="20"/>
          <w:szCs w:val="20"/>
        </w:rPr>
        <w:fldChar w:fldCharType="end"/>
      </w:r>
      <w:r w:rsidRPr="008A190C">
        <w:rPr>
          <w:rFonts w:cs="Times New Roman"/>
          <w:b/>
          <w:sz w:val="20"/>
          <w:szCs w:val="20"/>
        </w:rPr>
        <w:t>:</w:t>
      </w:r>
      <w:r>
        <w:rPr>
          <w:rFonts w:cs="Times New Roman"/>
          <w:sz w:val="20"/>
          <w:szCs w:val="20"/>
        </w:rPr>
        <w:t xml:space="preserve"> </w:t>
      </w:r>
      <w:r w:rsidRPr="00D05A68">
        <w:rPr>
          <w:color w:val="00B0F0"/>
          <w:sz w:val="20"/>
          <w:szCs w:val="20"/>
        </w:rPr>
        <w:t>Υπόλοιπα των καταθέσεων νοικοκυριών (αριστερά) και μη χρηματοπιστωτικών επιχειρήσεων (δεξιά) (δισ. ευρώ)</w:t>
      </w:r>
      <w:bookmarkEnd w:id="90"/>
    </w:p>
    <w:tbl>
      <w:tblPr>
        <w:tblStyle w:val="ae"/>
        <w:tblW w:w="8926" w:type="dxa"/>
        <w:tblLook w:val="04A0" w:firstRow="1" w:lastRow="0" w:firstColumn="1" w:lastColumn="0" w:noHBand="0" w:noVBand="1"/>
      </w:tblPr>
      <w:tblGrid>
        <w:gridCol w:w="4566"/>
        <w:gridCol w:w="4386"/>
      </w:tblGrid>
      <w:tr w:rsidR="00E16F9D" w14:paraId="55954ACA" w14:textId="77777777" w:rsidTr="00E16F9D">
        <w:trPr>
          <w:trHeight w:val="4979"/>
        </w:trPr>
        <w:tc>
          <w:tcPr>
            <w:tcW w:w="4566" w:type="dxa"/>
          </w:tcPr>
          <w:p w14:paraId="50E1DB0F" w14:textId="08F826D8" w:rsidR="00E16F9D" w:rsidRDefault="00E16F9D" w:rsidP="00D05A68">
            <w:pPr>
              <w:spacing w:after="160" w:line="259" w:lineRule="auto"/>
              <w:jc w:val="left"/>
              <w:rPr>
                <w:color w:val="00B0F0"/>
                <w:sz w:val="20"/>
                <w:szCs w:val="20"/>
              </w:rPr>
            </w:pPr>
            <w:r>
              <w:rPr>
                <w:noProof/>
                <w:lang w:eastAsia="el-GR"/>
              </w:rPr>
              <w:drawing>
                <wp:inline distT="0" distB="0" distL="0" distR="0" wp14:anchorId="32F6F24E" wp14:editId="2672EF15">
                  <wp:extent cx="2752725" cy="3324225"/>
                  <wp:effectExtent l="0" t="0" r="9525" b="9525"/>
                  <wp:docPr id="6"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360" w:type="dxa"/>
          </w:tcPr>
          <w:p w14:paraId="039DBE2C" w14:textId="60BD10E6" w:rsidR="00E16F9D" w:rsidRDefault="00E16F9D" w:rsidP="00D05A68">
            <w:pPr>
              <w:spacing w:after="160" w:line="259" w:lineRule="auto"/>
              <w:jc w:val="left"/>
              <w:rPr>
                <w:color w:val="00B0F0"/>
                <w:sz w:val="20"/>
                <w:szCs w:val="20"/>
              </w:rPr>
            </w:pPr>
            <w:r>
              <w:rPr>
                <w:noProof/>
                <w:lang w:eastAsia="el-GR"/>
              </w:rPr>
              <w:drawing>
                <wp:inline distT="0" distB="0" distL="0" distR="0" wp14:anchorId="503E394C" wp14:editId="25EA191F">
                  <wp:extent cx="2638425" cy="3305175"/>
                  <wp:effectExtent l="0" t="0" r="9525" b="9525"/>
                  <wp:docPr id="31" name="Γράφημα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420FC69D" w14:textId="77777777" w:rsidR="00D05A68" w:rsidRPr="00770552" w:rsidRDefault="00D05A68" w:rsidP="00770552">
      <w:pPr>
        <w:spacing w:after="0" w:line="240" w:lineRule="auto"/>
        <w:rPr>
          <w:color w:val="00B0F0"/>
          <w:sz w:val="16"/>
          <w:szCs w:val="16"/>
        </w:rPr>
      </w:pPr>
      <w:r w:rsidRPr="00770552">
        <w:rPr>
          <w:rFonts w:eastAsia="Calibri" w:cs="Times New Roman"/>
          <w:b/>
          <w:color w:val="808080"/>
          <w:sz w:val="16"/>
          <w:szCs w:val="16"/>
        </w:rPr>
        <w:t>Πηγή</w:t>
      </w:r>
      <w:r w:rsidRPr="00D05A68">
        <w:rPr>
          <w:color w:val="auto"/>
          <w:sz w:val="16"/>
          <w:szCs w:val="16"/>
        </w:rPr>
        <w:t xml:space="preserve">: </w:t>
      </w:r>
      <w:r w:rsidRPr="00770552">
        <w:rPr>
          <w:color w:val="00B0F0"/>
          <w:sz w:val="16"/>
          <w:szCs w:val="16"/>
        </w:rPr>
        <w:t>Τράπεζα Ελλάδας.</w:t>
      </w:r>
    </w:p>
    <w:p w14:paraId="048C25C3" w14:textId="77777777" w:rsidR="00D05A68" w:rsidRDefault="00D05A68" w:rsidP="00676DBF">
      <w:pPr>
        <w:spacing w:after="60"/>
        <w:rPr>
          <w:color w:val="auto"/>
        </w:rPr>
      </w:pPr>
    </w:p>
    <w:p w14:paraId="6069DDEE" w14:textId="574A6948" w:rsidR="00D05A68" w:rsidRPr="00D05A68" w:rsidRDefault="00D05A68" w:rsidP="00C12695">
      <w:pPr>
        <w:spacing w:after="160"/>
        <w:rPr>
          <w:color w:val="auto"/>
        </w:rPr>
      </w:pPr>
      <w:r w:rsidRPr="00D05A68">
        <w:rPr>
          <w:color w:val="auto"/>
        </w:rPr>
        <w:t>Το υπόλοιπο της συνολικής χρηματοδότησης από τα ελληνικά χρηματοπιστωτικά ιδρύματα προς τον ιδιωτικό τομέα</w:t>
      </w:r>
      <w:r w:rsidR="00D9398E">
        <w:rPr>
          <w:color w:val="auto"/>
        </w:rPr>
        <w:t>, κατά</w:t>
      </w:r>
      <w:r w:rsidRPr="00D05A68">
        <w:rPr>
          <w:color w:val="auto"/>
        </w:rPr>
        <w:t xml:space="preserve"> το πρώτο 9μηνο του 2021, παρουσιάζει μια ελαφριά πτωτική πορεία </w:t>
      </w:r>
      <w:r w:rsidR="00C12695" w:rsidRPr="00D05A68">
        <w:rPr>
          <w:color w:val="auto"/>
        </w:rPr>
        <w:t>(Ιανουάριος 2021: 197,3 δισ. ευρώ, Σεπτέμβριος 2021: 191,2 δισ. ευρώ)</w:t>
      </w:r>
      <w:r w:rsidRPr="00D05A68">
        <w:rPr>
          <w:color w:val="auto"/>
        </w:rPr>
        <w:t>. Αντίστοιχη πορεία ακολουθούν τα υπόλοιπα χρηματοδότησης προς τις μη χρηματοπιστωτικές επιχειρήσεις</w:t>
      </w:r>
      <w:r w:rsidR="00C12695">
        <w:rPr>
          <w:color w:val="auto"/>
        </w:rPr>
        <w:t>,</w:t>
      </w:r>
      <w:r w:rsidRPr="00D05A68">
        <w:rPr>
          <w:color w:val="auto"/>
        </w:rPr>
        <w:t xml:space="preserve"> αλλά και τα υπόλοιπα στεγαστικών και καταναλωτικών δανείων </w:t>
      </w:r>
      <w:r w:rsidRPr="00D9398E">
        <w:rPr>
          <w:color w:val="auto"/>
        </w:rPr>
        <w:t>(</w:t>
      </w:r>
      <w:r w:rsidR="00C12695" w:rsidRPr="00D9398E">
        <w:rPr>
          <w:color w:val="auto"/>
        </w:rPr>
        <w:fldChar w:fldCharType="begin"/>
      </w:r>
      <w:r w:rsidR="00C12695" w:rsidRPr="00D9398E">
        <w:rPr>
          <w:color w:val="auto"/>
        </w:rPr>
        <w:instrText xml:space="preserve"> REF _Ref87898457 \h  \* MERGEFORMAT </w:instrText>
      </w:r>
      <w:r w:rsidR="00C12695" w:rsidRPr="00D9398E">
        <w:rPr>
          <w:color w:val="auto"/>
        </w:rPr>
      </w:r>
      <w:r w:rsidR="00C12695" w:rsidRPr="00D9398E">
        <w:rPr>
          <w:color w:val="auto"/>
        </w:rPr>
        <w:fldChar w:fldCharType="separate"/>
      </w:r>
      <w:r w:rsidR="0038196B" w:rsidRPr="0038196B">
        <w:rPr>
          <w:rFonts w:cs="Times New Roman"/>
        </w:rPr>
        <w:t xml:space="preserve">Διάγραμμα </w:t>
      </w:r>
      <w:r w:rsidR="0038196B" w:rsidRPr="0038196B">
        <w:rPr>
          <w:rFonts w:cs="Times New Roman"/>
          <w:noProof/>
        </w:rPr>
        <w:t>24</w:t>
      </w:r>
      <w:r w:rsidR="00C12695" w:rsidRPr="00D9398E">
        <w:rPr>
          <w:color w:val="auto"/>
        </w:rPr>
        <w:fldChar w:fldCharType="end"/>
      </w:r>
      <w:r w:rsidRPr="00D9398E">
        <w:rPr>
          <w:color w:val="auto"/>
        </w:rPr>
        <w:t>).</w:t>
      </w:r>
      <w:r w:rsidRPr="00D05A68">
        <w:rPr>
          <w:color w:val="auto"/>
        </w:rPr>
        <w:t xml:space="preserve"> Η πορεία αυτή οφείλεται σε σημαντικό βαθμό στο γεγονός ότι το σύνολο των υπολοίπων ενσωματώνουν μεταβολές οι οποίες προέρχονται κυρίως από διαγραφές</w:t>
      </w:r>
      <w:r w:rsidR="00D9398E">
        <w:rPr>
          <w:color w:val="auto"/>
        </w:rPr>
        <w:t>,</w:t>
      </w:r>
      <w:r w:rsidRPr="00D05A68">
        <w:rPr>
          <w:color w:val="auto"/>
        </w:rPr>
        <w:t xml:space="preserve"> τ</w:t>
      </w:r>
      <w:r w:rsidR="00C12695">
        <w:rPr>
          <w:color w:val="auto"/>
        </w:rPr>
        <w:t xml:space="preserve">ιτλοποιήσεις και πωλήσεις </w:t>
      </w:r>
      <w:r w:rsidR="00D9398E">
        <w:rPr>
          <w:color w:val="auto"/>
        </w:rPr>
        <w:t>δανείων</w:t>
      </w:r>
      <w:r w:rsidRPr="00D05A68">
        <w:rPr>
          <w:color w:val="auto"/>
        </w:rPr>
        <w:t xml:space="preserve">. Αναφορικά με τις καθαρές ροές χρηματοδότησης, τον Σεπτέμβριο του 2021, μετά από </w:t>
      </w:r>
      <w:r w:rsidRPr="00D05A68">
        <w:rPr>
          <w:color w:val="auto"/>
        </w:rPr>
        <w:lastRenderedPageBreak/>
        <w:t xml:space="preserve">ένα συνεχόμενο δίμηνο αρνητικών καθαρών ροών, παρατηρείται θετική χρηματοδότηση ύψους 603 εκατ. ευρώ προς τις μη χρηματοπιστωτικές επιχειρήσεις. Αντίστροφη είναι η πορεία της χρηματοδότησης για στεγαστικά και καταναλωτικά δάνεια με καθαρή αρνητική ροή -90 περίπου εκατ. ευρώ και -9,5 εκατ. ευρώ αντίστοιχα τον Σεπτέμβριο του 2021. </w:t>
      </w:r>
    </w:p>
    <w:p w14:paraId="5873CCB3" w14:textId="04196465" w:rsidR="00D05A68" w:rsidRPr="00D05A68" w:rsidRDefault="00C12695" w:rsidP="00D05A68">
      <w:pPr>
        <w:spacing w:after="160" w:line="259" w:lineRule="auto"/>
        <w:rPr>
          <w:color w:val="auto"/>
        </w:rPr>
      </w:pPr>
      <w:bookmarkStart w:id="91" w:name="_Ref87898457"/>
      <w:bookmarkStart w:id="92" w:name="_Toc89172886"/>
      <w:r w:rsidRPr="008A190C">
        <w:rPr>
          <w:rFonts w:cs="Times New Roman"/>
          <w:b/>
          <w:sz w:val="20"/>
          <w:szCs w:val="20"/>
        </w:rPr>
        <w:t xml:space="preserve">Διάγραμμα </w:t>
      </w:r>
      <w:r w:rsidRPr="008A190C">
        <w:rPr>
          <w:rFonts w:cs="Times New Roman"/>
          <w:b/>
          <w:sz w:val="20"/>
          <w:szCs w:val="20"/>
        </w:rPr>
        <w:fldChar w:fldCharType="begin"/>
      </w:r>
      <w:r w:rsidRPr="008A190C">
        <w:rPr>
          <w:rFonts w:cs="Times New Roman"/>
          <w:b/>
          <w:sz w:val="20"/>
          <w:szCs w:val="20"/>
        </w:rPr>
        <w:instrText xml:space="preserve"> SEQ Διάγραμμα \* ARABIC </w:instrText>
      </w:r>
      <w:r w:rsidRPr="008A190C">
        <w:rPr>
          <w:rFonts w:cs="Times New Roman"/>
          <w:b/>
          <w:sz w:val="20"/>
          <w:szCs w:val="20"/>
        </w:rPr>
        <w:fldChar w:fldCharType="separate"/>
      </w:r>
      <w:r w:rsidR="0038196B">
        <w:rPr>
          <w:rFonts w:cs="Times New Roman"/>
          <w:b/>
          <w:noProof/>
          <w:sz w:val="20"/>
          <w:szCs w:val="20"/>
        </w:rPr>
        <w:t>24</w:t>
      </w:r>
      <w:r w:rsidRPr="008A190C">
        <w:rPr>
          <w:rFonts w:cs="Times New Roman"/>
          <w:b/>
          <w:sz w:val="20"/>
          <w:szCs w:val="20"/>
        </w:rPr>
        <w:fldChar w:fldCharType="end"/>
      </w:r>
      <w:bookmarkEnd w:id="91"/>
      <w:r w:rsidRPr="008A190C">
        <w:rPr>
          <w:rFonts w:cs="Times New Roman"/>
          <w:b/>
          <w:sz w:val="20"/>
          <w:szCs w:val="20"/>
        </w:rPr>
        <w:t>:</w:t>
      </w:r>
      <w:r>
        <w:rPr>
          <w:rFonts w:cs="Times New Roman"/>
          <w:sz w:val="20"/>
          <w:szCs w:val="20"/>
        </w:rPr>
        <w:t xml:space="preserve"> </w:t>
      </w:r>
      <w:r w:rsidR="00D05A68" w:rsidRPr="00D05A68">
        <w:rPr>
          <w:color w:val="00B0F0"/>
          <w:sz w:val="20"/>
          <w:szCs w:val="20"/>
        </w:rPr>
        <w:t>Υπόλοιπο συνολικής χρηματοδότησης και χρηματοδότησης εγχώριου ιδιωτικού τομέα από τα ελληνικά χρηματοπιστωτικά ιδρύματα (τέλος περιόδου, σε δισ. ευρώ)</w:t>
      </w:r>
      <w:bookmarkEnd w:id="92"/>
    </w:p>
    <w:p w14:paraId="6D80D5AD" w14:textId="77777777" w:rsidR="00D05A68" w:rsidRPr="00D05A68" w:rsidRDefault="00D05A68" w:rsidP="00C12695">
      <w:pPr>
        <w:spacing w:after="0" w:line="259" w:lineRule="auto"/>
        <w:rPr>
          <w:color w:val="auto"/>
        </w:rPr>
      </w:pPr>
      <w:r w:rsidRPr="00D05A68">
        <w:rPr>
          <w:rFonts w:asciiTheme="minorHAnsi" w:hAnsiTheme="minorHAnsi"/>
          <w:noProof/>
          <w:color w:val="auto"/>
          <w:lang w:eastAsia="el-GR"/>
        </w:rPr>
        <w:drawing>
          <wp:inline distT="0" distB="0" distL="0" distR="0" wp14:anchorId="60B6EDE8" wp14:editId="706E03D0">
            <wp:extent cx="5274310" cy="2924175"/>
            <wp:effectExtent l="0" t="0" r="2540" b="9525"/>
            <wp:docPr id="28" name="Γράφημα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D05A68">
        <w:rPr>
          <w:color w:val="auto"/>
        </w:rPr>
        <w:t xml:space="preserve"> </w:t>
      </w:r>
    </w:p>
    <w:p w14:paraId="10145DCB" w14:textId="38F10ECD" w:rsidR="00770552" w:rsidRDefault="00D05A68" w:rsidP="00770552">
      <w:pPr>
        <w:spacing w:after="0" w:line="240" w:lineRule="auto"/>
        <w:rPr>
          <w:color w:val="auto"/>
          <w:sz w:val="16"/>
          <w:szCs w:val="16"/>
        </w:rPr>
      </w:pPr>
      <w:r w:rsidRPr="00770552">
        <w:rPr>
          <w:rFonts w:eastAsia="Calibri" w:cs="Times New Roman"/>
          <w:b/>
          <w:color w:val="808080"/>
          <w:sz w:val="16"/>
          <w:szCs w:val="16"/>
        </w:rPr>
        <w:t>Πηγή</w:t>
      </w:r>
      <w:r w:rsidRPr="00D05A68">
        <w:rPr>
          <w:color w:val="auto"/>
          <w:sz w:val="16"/>
          <w:szCs w:val="16"/>
        </w:rPr>
        <w:t xml:space="preserve">: </w:t>
      </w:r>
      <w:r w:rsidRPr="00770552">
        <w:rPr>
          <w:color w:val="00B0F0"/>
          <w:sz w:val="16"/>
          <w:szCs w:val="16"/>
        </w:rPr>
        <w:t>Τράπεζα Ελλάδας</w:t>
      </w:r>
    </w:p>
    <w:p w14:paraId="12D1A578" w14:textId="77777777" w:rsidR="00770552" w:rsidRDefault="00770552" w:rsidP="00770552">
      <w:pPr>
        <w:spacing w:after="0" w:line="240" w:lineRule="auto"/>
        <w:rPr>
          <w:color w:val="auto"/>
          <w:sz w:val="16"/>
          <w:szCs w:val="16"/>
        </w:rPr>
      </w:pPr>
    </w:p>
    <w:p w14:paraId="2724F2C0" w14:textId="63A8CF8B" w:rsidR="00770552" w:rsidRPr="00770552" w:rsidRDefault="00770552" w:rsidP="00770552">
      <w:pPr>
        <w:rPr>
          <w:color w:val="auto"/>
        </w:rPr>
      </w:pPr>
      <w:r w:rsidRPr="00770552">
        <w:rPr>
          <w:color w:val="auto"/>
        </w:rPr>
        <w:t>Σχετικά με τον ρυθμό μεταβολής της πιστωτικής επέκτασης από τα τραπεζικά ιδρύματα προς την οικονομία η τάση  είναι πτωτική αναφορικά με τις μη χρηματοπιστωτικές επιχειρήσεις, καθ</w:t>
      </w:r>
      <w:r w:rsidR="00E04F6F">
        <w:rPr>
          <w:color w:val="auto"/>
        </w:rPr>
        <w:t xml:space="preserve">’ </w:t>
      </w:r>
      <w:r w:rsidRPr="00770552">
        <w:rPr>
          <w:color w:val="auto"/>
        </w:rPr>
        <w:t xml:space="preserve">όλη τη διάρκεια του 2021. Παραμένει ωστόσο εν συνόλω σε θετικό επίπεδο με τον ρυθμό να διαμορφώνεται τον Σεπτέμβριο του 2021 στο 2,8%. </w:t>
      </w:r>
    </w:p>
    <w:p w14:paraId="4F8177C1" w14:textId="77777777" w:rsidR="00770552" w:rsidRPr="00770552" w:rsidRDefault="00770552" w:rsidP="00770552">
      <w:pPr>
        <w:spacing w:after="160" w:line="259" w:lineRule="auto"/>
        <w:rPr>
          <w:color w:val="auto"/>
        </w:rPr>
      </w:pPr>
      <w:r w:rsidRPr="00770552">
        <w:rPr>
          <w:color w:val="auto"/>
        </w:rPr>
        <w:t>Η χρηματοδότηση προς τα νοικοκυριά (στεγαστική και καταναλωτική πίστη) εξακολουθεί να βρίσκεται σε αρνητικό επίπεδο με τον ρυθμό μεταβολής των υπολοίπων χρηματοδότησης να κυμαίνεται, τον Σεπτέμβριο του 2021,περί το -2,9% και περί το -2,3% αντιστοίχως για στέγαση και για καταναλωτική πίστη.</w:t>
      </w:r>
    </w:p>
    <w:p w14:paraId="7FBFA4C3" w14:textId="3DED785A" w:rsidR="00BE2523" w:rsidRDefault="00BE2523">
      <w:pPr>
        <w:spacing w:after="160" w:line="0" w:lineRule="auto"/>
        <w:jc w:val="left"/>
        <w:rPr>
          <w:color w:val="auto"/>
        </w:rPr>
      </w:pPr>
      <w:r>
        <w:rPr>
          <w:color w:val="auto"/>
        </w:rPr>
        <w:br w:type="page"/>
      </w:r>
    </w:p>
    <w:p w14:paraId="0DBFFAEF" w14:textId="0E506807" w:rsidR="00D05A68" w:rsidRPr="00D05A68" w:rsidRDefault="00C12695" w:rsidP="00D05A68">
      <w:pPr>
        <w:spacing w:after="160" w:line="259" w:lineRule="auto"/>
        <w:rPr>
          <w:color w:val="00B0F0"/>
          <w:sz w:val="20"/>
          <w:szCs w:val="20"/>
        </w:rPr>
      </w:pPr>
      <w:bookmarkStart w:id="93" w:name="_Toc89172887"/>
      <w:r w:rsidRPr="008A190C">
        <w:rPr>
          <w:rFonts w:cs="Times New Roman"/>
          <w:b/>
          <w:sz w:val="20"/>
          <w:szCs w:val="20"/>
        </w:rPr>
        <w:lastRenderedPageBreak/>
        <w:t xml:space="preserve">Διάγραμμα </w:t>
      </w:r>
      <w:r w:rsidRPr="008A190C">
        <w:rPr>
          <w:rFonts w:cs="Times New Roman"/>
          <w:b/>
          <w:sz w:val="20"/>
          <w:szCs w:val="20"/>
        </w:rPr>
        <w:fldChar w:fldCharType="begin"/>
      </w:r>
      <w:r w:rsidRPr="008A190C">
        <w:rPr>
          <w:rFonts w:cs="Times New Roman"/>
          <w:b/>
          <w:sz w:val="20"/>
          <w:szCs w:val="20"/>
        </w:rPr>
        <w:instrText xml:space="preserve"> SEQ Διάγραμμα \* ARABIC </w:instrText>
      </w:r>
      <w:r w:rsidRPr="008A190C">
        <w:rPr>
          <w:rFonts w:cs="Times New Roman"/>
          <w:b/>
          <w:sz w:val="20"/>
          <w:szCs w:val="20"/>
        </w:rPr>
        <w:fldChar w:fldCharType="separate"/>
      </w:r>
      <w:r w:rsidR="0038196B">
        <w:rPr>
          <w:rFonts w:cs="Times New Roman"/>
          <w:b/>
          <w:noProof/>
          <w:sz w:val="20"/>
          <w:szCs w:val="20"/>
        </w:rPr>
        <w:t>25</w:t>
      </w:r>
      <w:r w:rsidRPr="008A190C">
        <w:rPr>
          <w:rFonts w:cs="Times New Roman"/>
          <w:b/>
          <w:sz w:val="20"/>
          <w:szCs w:val="20"/>
        </w:rPr>
        <w:fldChar w:fldCharType="end"/>
      </w:r>
      <w:r w:rsidRPr="008A190C">
        <w:rPr>
          <w:rFonts w:cs="Times New Roman"/>
          <w:b/>
          <w:sz w:val="20"/>
          <w:szCs w:val="20"/>
        </w:rPr>
        <w:t>:</w:t>
      </w:r>
      <w:r>
        <w:rPr>
          <w:rFonts w:cs="Times New Roman"/>
          <w:sz w:val="20"/>
          <w:szCs w:val="20"/>
        </w:rPr>
        <w:t xml:space="preserve"> </w:t>
      </w:r>
      <w:r w:rsidR="00D05A68" w:rsidRPr="00D05A68">
        <w:rPr>
          <w:color w:val="00B0F0"/>
          <w:sz w:val="20"/>
          <w:szCs w:val="20"/>
        </w:rPr>
        <w:t>Ρυθμός μεταβολής, σε ετήσια βάση, των υπολοίπων χρηματοδότησης προς τον εγχώριο ιδιωτικό τομέα</w:t>
      </w:r>
      <w:bookmarkEnd w:id="93"/>
    </w:p>
    <w:p w14:paraId="190A6C08" w14:textId="77777777" w:rsidR="00D05A68" w:rsidRPr="00D05A68" w:rsidRDefault="00D05A68" w:rsidP="00D05A68">
      <w:pPr>
        <w:spacing w:after="160" w:line="259" w:lineRule="auto"/>
        <w:rPr>
          <w:color w:val="auto"/>
        </w:rPr>
      </w:pPr>
      <w:r w:rsidRPr="00D05A68">
        <w:rPr>
          <w:rFonts w:asciiTheme="minorHAnsi" w:hAnsiTheme="minorHAnsi"/>
          <w:noProof/>
          <w:color w:val="auto"/>
          <w:lang w:eastAsia="el-GR"/>
        </w:rPr>
        <w:drawing>
          <wp:inline distT="0" distB="0" distL="0" distR="0" wp14:anchorId="5C81F0E6" wp14:editId="46758B9A">
            <wp:extent cx="5274310" cy="3639185"/>
            <wp:effectExtent l="0" t="0" r="2540" b="18415"/>
            <wp:docPr id="29" name="Γράφημα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FDF3424" w14:textId="77777777" w:rsidR="00D05A68" w:rsidRPr="00D05A68" w:rsidRDefault="00D05A68" w:rsidP="00770552">
      <w:pPr>
        <w:spacing w:after="0" w:line="240" w:lineRule="auto"/>
        <w:rPr>
          <w:color w:val="auto"/>
          <w:sz w:val="16"/>
          <w:szCs w:val="16"/>
        </w:rPr>
      </w:pPr>
      <w:r w:rsidRPr="00770552">
        <w:rPr>
          <w:rFonts w:eastAsia="Calibri" w:cs="Times New Roman"/>
          <w:b/>
          <w:color w:val="808080"/>
          <w:sz w:val="16"/>
          <w:szCs w:val="16"/>
        </w:rPr>
        <w:t>Πηγή</w:t>
      </w:r>
      <w:r w:rsidRPr="00770552">
        <w:rPr>
          <w:color w:val="00B0F0"/>
          <w:sz w:val="16"/>
          <w:szCs w:val="16"/>
        </w:rPr>
        <w:t>: Τράπεζα Ελλάδας.</w:t>
      </w:r>
    </w:p>
    <w:p w14:paraId="70E01C9F" w14:textId="77777777" w:rsidR="00D05A68" w:rsidRPr="00D05A68" w:rsidRDefault="00D05A68" w:rsidP="00D05A68">
      <w:pPr>
        <w:spacing w:after="160" w:line="259" w:lineRule="auto"/>
        <w:rPr>
          <w:color w:val="auto"/>
          <w:sz w:val="16"/>
          <w:szCs w:val="16"/>
        </w:rPr>
      </w:pPr>
      <w:r w:rsidRPr="00D05A68">
        <w:rPr>
          <w:color w:val="auto"/>
          <w:sz w:val="16"/>
          <w:szCs w:val="16"/>
        </w:rPr>
        <w:t>Σημείωση: Οι ρυθμοί μεταβολής υπολογίζονται με βάση τις καθαρές ροές τραπεζικής χρηματοδότησης οι οποίες με τη σειρά τους προκύπτουν από τις μεταβολές των υπολοίπων διορθωμένες για τις διαγραφές δανείων, απομειώσεις αξίας χρεογράφων, συναλλαγματικές διαφορές και αναταξινομήσεις.</w:t>
      </w:r>
    </w:p>
    <w:p w14:paraId="5DD04677" w14:textId="18ADB993" w:rsidR="008866AA" w:rsidRDefault="008866AA" w:rsidP="001801C1">
      <w:pPr>
        <w:spacing w:after="120"/>
        <w:rPr>
          <w:rFonts w:eastAsia="Calibri" w:cs="Times New Roman"/>
          <w:iCs/>
          <w:color w:val="auto"/>
        </w:rPr>
      </w:pPr>
    </w:p>
    <w:p w14:paraId="5BB4FC64" w14:textId="7A4347F6" w:rsidR="008866AA" w:rsidRPr="008866AA" w:rsidRDefault="00013486" w:rsidP="00013486">
      <w:pPr>
        <w:pStyle w:val="a1"/>
        <w:rPr>
          <w:sz w:val="28"/>
          <w:szCs w:val="28"/>
        </w:rPr>
      </w:pPr>
      <w:bookmarkStart w:id="94" w:name="_Toc89172827"/>
      <w:r w:rsidRPr="00013486">
        <w:rPr>
          <w:sz w:val="28"/>
          <w:szCs w:val="28"/>
        </w:rPr>
        <w:t>Μη εξυπηρετούμενα δάνεια (ΜΕΔ)</w:t>
      </w:r>
      <w:bookmarkEnd w:id="94"/>
    </w:p>
    <w:p w14:paraId="3703BFCF" w14:textId="1726ABCE" w:rsidR="00770552" w:rsidRPr="00770552" w:rsidRDefault="00770552" w:rsidP="00770552">
      <w:pPr>
        <w:spacing w:after="160"/>
        <w:rPr>
          <w:color w:val="auto"/>
        </w:rPr>
      </w:pPr>
      <w:r w:rsidRPr="00770552">
        <w:rPr>
          <w:color w:val="auto"/>
        </w:rPr>
        <w:t>Η πτωτική τάση του ποσοστού των μη εξυπηρετούμενων δανείων (ΜΕΔ) εξακολουθεί να διατηρείται και κατά τη διάρκεια του β’ τριμήνου του 2021. Η μείωση αυτή επιταχύνθηκε την τελευταία χρονική περίοδο, με αποτέλεσμα τον Ιούνιο του 2021 τα ΜΕΔ να περιοριστούν τα 29,4 δισ. ευρώ, μειούμενα  κατά 18 δισ. ευρώ (περίπου -38%) σε διάστημα 3 μηνών. Ειδικότερα, τον Ιούνιο του 2021, το ύψος των ΜΕΔ (29,4 δισ. ευρώ) αντιπροσωπεύει το 20,3% του συνολικού υπολοίπου των δανείων έναντι 47,2 δισ. ευρώ που ήταν στο τέλος του προηγούμενου έτους, οπότε αντιπροσώπευε το 30,3% του συνολικού υπολοίπου των δανείων.</w:t>
      </w:r>
    </w:p>
    <w:p w14:paraId="25E22C16" w14:textId="4416B378" w:rsidR="00770552" w:rsidRPr="00770552" w:rsidRDefault="00770552" w:rsidP="00770552">
      <w:pPr>
        <w:spacing w:after="160"/>
        <w:rPr>
          <w:color w:val="auto"/>
        </w:rPr>
      </w:pPr>
      <w:r w:rsidRPr="00770552">
        <w:rPr>
          <w:color w:val="auto"/>
        </w:rPr>
        <w:t>Σχετικά με τη διάρθρωση των ΜΕΔ, το μεγαλύτερο ποσοστό (65,3%) των συνολικών ΜΕΔ στο τραπεζικό σύστημα αφορά επιχειρηματικά δάνεια , ενώ ακολουθούν τα στεγαστικά με 24% και τα καταναλωτικά με 10,7%.</w:t>
      </w:r>
      <w:r w:rsidRPr="00770552">
        <w:rPr>
          <w:color w:val="auto"/>
          <w:vertAlign w:val="superscript"/>
        </w:rPr>
        <w:footnoteReference w:id="8"/>
      </w:r>
      <w:r w:rsidRPr="00770552">
        <w:rPr>
          <w:color w:val="auto"/>
        </w:rPr>
        <w:t xml:space="preserve"> Αντίστοιχα, από το σύνολο των ΜΕΔ ανά κατηγορία, το 32,8% των καταναλωτικών δανείων, το 19,3% των στεγαστικών και το 19,5% των επιχειρηματικών έχουν χαρακτηριστεί ως μη εξυπηρετούμενα. Όσον αφορά στην πορεία αποκλιμάκωσης των εν λόγω κατηγοριών, όλες ανεξαιρέτως οι κατηγορίες ΜΕΔ παρουσιάζουν συνεχή μείωση με </w:t>
      </w:r>
      <w:r w:rsidRPr="00770552">
        <w:rPr>
          <w:color w:val="auto"/>
        </w:rPr>
        <w:lastRenderedPageBreak/>
        <w:t xml:space="preserve">διαφορετικό, ωστόσο, ρυθμό. Παρά την ενθαρρυντική αυτή εικόνα θα πρέπει να σημειωθεί ότι το ποσοστό των ΜΕΔ εξακολουθεί να είναι πολύ υψηλότερο του μέσου όρου των χωρών της Ευρωπαϊκής Ένωσης.  Η πτωτική του τάση οφείλεται σε μεγάλο βαθμό σε εγγυήσεις που έχουν παρασχεθεί από το ελληνικό </w:t>
      </w:r>
      <w:r w:rsidR="00E04F6F">
        <w:rPr>
          <w:color w:val="auto"/>
        </w:rPr>
        <w:t>Δ</w:t>
      </w:r>
      <w:r w:rsidRPr="00770552">
        <w:rPr>
          <w:color w:val="auto"/>
        </w:rPr>
        <w:t>ημόσιο, οι οποίες μέχρι στιγμής έχουν ανέλθει στα 8,5  δισ. ευρώ, περίπου (βλ. ενότητα ΙΙ.2.3 της παρούσας Έκθεσης  «Εγγυήσεις ελληνικού Δημοσίου»). Η πορεία αυτών των εγγυήσεων χρήζει συστηματικής παρακολούθησης</w:t>
      </w:r>
      <w:r>
        <w:rPr>
          <w:color w:val="auto"/>
        </w:rPr>
        <w:t>,</w:t>
      </w:r>
      <w:r w:rsidRPr="00770552">
        <w:rPr>
          <w:color w:val="auto"/>
        </w:rPr>
        <w:t xml:space="preserve"> διότι αποτελεί έναν εν δυνάμει δημοσιονομικό κίνδυνο σε περίπτωση που μέρος των εγγυήσεων αυτών καταπέσει.</w:t>
      </w:r>
    </w:p>
    <w:p w14:paraId="31E815D8" w14:textId="77777777" w:rsidR="00D05A68" w:rsidRPr="00D05A68" w:rsidRDefault="00D05A68" w:rsidP="00D05A68">
      <w:pPr>
        <w:spacing w:after="160" w:line="259" w:lineRule="auto"/>
        <w:rPr>
          <w:color w:val="auto"/>
        </w:rPr>
      </w:pPr>
    </w:p>
    <w:p w14:paraId="2F9AC1A2" w14:textId="6A212EA6" w:rsidR="00D05A68" w:rsidRPr="00D05A68" w:rsidRDefault="006E4840" w:rsidP="00D05A68">
      <w:pPr>
        <w:spacing w:after="160" w:line="259" w:lineRule="auto"/>
        <w:rPr>
          <w:color w:val="00B0F0"/>
          <w:sz w:val="20"/>
          <w:szCs w:val="20"/>
        </w:rPr>
      </w:pPr>
      <w:bookmarkStart w:id="95" w:name="_Toc89172888"/>
      <w:r w:rsidRPr="008A190C">
        <w:rPr>
          <w:rFonts w:cs="Times New Roman"/>
          <w:b/>
          <w:sz w:val="20"/>
          <w:szCs w:val="20"/>
        </w:rPr>
        <w:t xml:space="preserve">Διάγραμμα </w:t>
      </w:r>
      <w:r w:rsidRPr="008A190C">
        <w:rPr>
          <w:rFonts w:cs="Times New Roman"/>
          <w:b/>
          <w:sz w:val="20"/>
          <w:szCs w:val="20"/>
        </w:rPr>
        <w:fldChar w:fldCharType="begin"/>
      </w:r>
      <w:r w:rsidRPr="008A190C">
        <w:rPr>
          <w:rFonts w:cs="Times New Roman"/>
          <w:b/>
          <w:sz w:val="20"/>
          <w:szCs w:val="20"/>
        </w:rPr>
        <w:instrText xml:space="preserve"> SEQ Διάγραμμα \* ARABIC </w:instrText>
      </w:r>
      <w:r w:rsidRPr="008A190C">
        <w:rPr>
          <w:rFonts w:cs="Times New Roman"/>
          <w:b/>
          <w:sz w:val="20"/>
          <w:szCs w:val="20"/>
        </w:rPr>
        <w:fldChar w:fldCharType="separate"/>
      </w:r>
      <w:r w:rsidR="0038196B">
        <w:rPr>
          <w:rFonts w:cs="Times New Roman"/>
          <w:b/>
          <w:noProof/>
          <w:sz w:val="20"/>
          <w:szCs w:val="20"/>
        </w:rPr>
        <w:t>26</w:t>
      </w:r>
      <w:r w:rsidRPr="008A190C">
        <w:rPr>
          <w:rFonts w:cs="Times New Roman"/>
          <w:b/>
          <w:sz w:val="20"/>
          <w:szCs w:val="20"/>
        </w:rPr>
        <w:fldChar w:fldCharType="end"/>
      </w:r>
      <w:r w:rsidRPr="008A190C">
        <w:rPr>
          <w:rFonts w:cs="Times New Roman"/>
          <w:b/>
          <w:sz w:val="20"/>
          <w:szCs w:val="20"/>
        </w:rPr>
        <w:t>:</w:t>
      </w:r>
      <w:r w:rsidR="00D05A68" w:rsidRPr="00D05A68">
        <w:rPr>
          <w:b/>
          <w:color w:val="00B0F0"/>
        </w:rPr>
        <w:t xml:space="preserve"> </w:t>
      </w:r>
      <w:r w:rsidR="00D05A68" w:rsidRPr="00D05A68">
        <w:rPr>
          <w:color w:val="00B0F0"/>
          <w:sz w:val="20"/>
          <w:szCs w:val="20"/>
        </w:rPr>
        <w:t>Μη εξυπηρετούμενα δάνεια (ως % επί του συνόλου)</w:t>
      </w:r>
      <w:bookmarkEnd w:id="95"/>
    </w:p>
    <w:p w14:paraId="5F03263D" w14:textId="77777777" w:rsidR="00D05A68" w:rsidRPr="00D05A68" w:rsidRDefault="00D05A68" w:rsidP="00D05A68">
      <w:pPr>
        <w:spacing w:after="160" w:line="259" w:lineRule="auto"/>
        <w:jc w:val="left"/>
        <w:rPr>
          <w:b/>
          <w:color w:val="00B0F0"/>
        </w:rPr>
      </w:pPr>
      <w:r w:rsidRPr="00D05A68">
        <w:rPr>
          <w:rFonts w:asciiTheme="minorHAnsi" w:hAnsiTheme="minorHAnsi"/>
          <w:noProof/>
          <w:color w:val="auto"/>
          <w:lang w:eastAsia="el-GR"/>
        </w:rPr>
        <w:drawing>
          <wp:inline distT="0" distB="0" distL="0" distR="0" wp14:anchorId="7BE33211" wp14:editId="1F699159">
            <wp:extent cx="5274310" cy="2981325"/>
            <wp:effectExtent l="0" t="0" r="2540" b="9525"/>
            <wp:docPr id="30" name="Γράφημα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6DEC974" w14:textId="77777777" w:rsidR="00D05A68" w:rsidRPr="00D05A68" w:rsidRDefault="00D05A68" w:rsidP="00770552">
      <w:pPr>
        <w:spacing w:after="0" w:line="240" w:lineRule="auto"/>
        <w:rPr>
          <w:bCs/>
          <w:color w:val="auto"/>
          <w:sz w:val="16"/>
          <w:szCs w:val="16"/>
        </w:rPr>
      </w:pPr>
      <w:r w:rsidRPr="00770552">
        <w:rPr>
          <w:rFonts w:eastAsia="Calibri" w:cs="Times New Roman"/>
          <w:b/>
          <w:color w:val="808080"/>
          <w:sz w:val="16"/>
          <w:szCs w:val="16"/>
        </w:rPr>
        <w:t>Πηγή</w:t>
      </w:r>
      <w:r w:rsidRPr="00770552">
        <w:rPr>
          <w:bCs/>
          <w:color w:val="00B0F0"/>
          <w:sz w:val="16"/>
          <w:szCs w:val="16"/>
        </w:rPr>
        <w:t>: Τράπεζα της Ελλάδας.</w:t>
      </w:r>
    </w:p>
    <w:p w14:paraId="2EF66F1B" w14:textId="77777777" w:rsidR="00D05A68" w:rsidRPr="00372FD1" w:rsidRDefault="00D05A68" w:rsidP="00013486">
      <w:pPr>
        <w:rPr>
          <w:color w:val="auto"/>
          <w:sz w:val="16"/>
          <w:szCs w:val="16"/>
        </w:rPr>
      </w:pPr>
    </w:p>
    <w:p w14:paraId="668970A5" w14:textId="77777777" w:rsidR="00372FD1" w:rsidRDefault="00372FD1" w:rsidP="008866AA">
      <w:pPr>
        <w:spacing w:after="120"/>
        <w:rPr>
          <w:rFonts w:eastAsia="Calibri" w:cs="Times New Roman"/>
          <w:iCs/>
          <w:color w:val="auto"/>
        </w:rPr>
      </w:pPr>
    </w:p>
    <w:p w14:paraId="2B9A8987" w14:textId="5DBAF60E" w:rsidR="002E7539" w:rsidRDefault="002E7539">
      <w:pPr>
        <w:spacing w:after="160" w:line="0" w:lineRule="auto"/>
        <w:jc w:val="left"/>
      </w:pPr>
      <w:r>
        <w:br w:type="page"/>
      </w:r>
    </w:p>
    <w:p w14:paraId="162268BC" w14:textId="189BCC1F" w:rsidR="00DD3CC6" w:rsidRPr="005A45C7" w:rsidRDefault="00013486" w:rsidP="00013486">
      <w:pPr>
        <w:pStyle w:val="a0"/>
        <w:rPr>
          <w:sz w:val="32"/>
          <w:szCs w:val="32"/>
        </w:rPr>
      </w:pPr>
      <w:bookmarkStart w:id="96" w:name="_Toc89172828"/>
      <w:r w:rsidRPr="00013486">
        <w:rPr>
          <w:sz w:val="32"/>
          <w:szCs w:val="32"/>
        </w:rPr>
        <w:lastRenderedPageBreak/>
        <w:t>Μακροοικονομικές προβλέψεις για το 2022</w:t>
      </w:r>
      <w:bookmarkEnd w:id="96"/>
    </w:p>
    <w:p w14:paraId="4D76AE62" w14:textId="315E6AC6" w:rsidR="00770552" w:rsidRDefault="00770552" w:rsidP="00770552">
      <w:pPr>
        <w:numPr>
          <w:ilvl w:val="0"/>
          <w:numId w:val="21"/>
        </w:numPr>
        <w:spacing w:after="240"/>
        <w:ind w:left="714" w:hanging="357"/>
        <w:rPr>
          <w:rFonts w:eastAsia="Calibri" w:cs="Times New Roman"/>
          <w:b/>
          <w:i/>
          <w:color w:val="595959" w:themeColor="text1" w:themeTint="A6"/>
          <w:sz w:val="24"/>
          <w:szCs w:val="24"/>
        </w:rPr>
      </w:pPr>
      <w:r>
        <w:rPr>
          <w:rFonts w:eastAsia="Calibri" w:cs="Times New Roman"/>
          <w:b/>
          <w:i/>
          <w:color w:val="595959" w:themeColor="text1" w:themeTint="A6"/>
          <w:sz w:val="24"/>
          <w:szCs w:val="24"/>
        </w:rPr>
        <w:t>Αύξηση του ΑΕΠ της τάξης του 4,5% σύμφωνα με συγκλίνουσες προβλέψεις Υπουργείου Οικονομικών και διεθνών οργανισμών.</w:t>
      </w:r>
    </w:p>
    <w:p w14:paraId="5D0CC0F0" w14:textId="77777777" w:rsidR="00770552" w:rsidRDefault="00770552" w:rsidP="00770552">
      <w:pPr>
        <w:numPr>
          <w:ilvl w:val="0"/>
          <w:numId w:val="21"/>
        </w:numPr>
        <w:spacing w:after="240"/>
        <w:ind w:left="714" w:hanging="357"/>
        <w:rPr>
          <w:rFonts w:eastAsia="Calibri" w:cs="Times New Roman"/>
          <w:b/>
          <w:i/>
          <w:color w:val="595959" w:themeColor="text1" w:themeTint="A6"/>
          <w:sz w:val="24"/>
          <w:szCs w:val="24"/>
        </w:rPr>
      </w:pPr>
      <w:r>
        <w:rPr>
          <w:rFonts w:eastAsia="Calibri" w:cs="Times New Roman"/>
          <w:b/>
          <w:i/>
          <w:color w:val="595959" w:themeColor="text1" w:themeTint="A6"/>
          <w:sz w:val="24"/>
          <w:szCs w:val="24"/>
        </w:rPr>
        <w:t xml:space="preserve">Διαφοροποιήσεις ως προς τη  συνεισφορά των διαφόρων συνιστωσών του ΑΕΠ στη μεγέθυνση από την αύξηση των επενδύσεων (Υπ. Οικονομικών) μέχρι τη βελτίωση του εξωτερικού ισοζυγίου αγαθών και υπηρεσιών (Ευρ. Επιτροπή) </w:t>
      </w:r>
    </w:p>
    <w:p w14:paraId="4D52A123" w14:textId="77777777" w:rsidR="00770552" w:rsidRDefault="00770552" w:rsidP="00770552">
      <w:pPr>
        <w:numPr>
          <w:ilvl w:val="0"/>
          <w:numId w:val="21"/>
        </w:numPr>
        <w:spacing w:after="240"/>
        <w:ind w:left="714" w:hanging="357"/>
        <w:rPr>
          <w:rFonts w:eastAsia="Calibri" w:cs="Times New Roman"/>
          <w:b/>
          <w:i/>
          <w:color w:val="595959" w:themeColor="text1" w:themeTint="A6"/>
          <w:sz w:val="24"/>
          <w:szCs w:val="24"/>
        </w:rPr>
      </w:pPr>
      <w:r>
        <w:rPr>
          <w:rFonts w:eastAsia="Calibri" w:cs="Times New Roman"/>
          <w:b/>
          <w:i/>
          <w:color w:val="595959" w:themeColor="text1" w:themeTint="A6"/>
          <w:sz w:val="24"/>
          <w:szCs w:val="24"/>
        </w:rPr>
        <w:t>Ο προβλεπόμενος πληθωρισμός  εκτιμάται κάτω από 1,2%.</w:t>
      </w:r>
    </w:p>
    <w:p w14:paraId="75FC8F68" w14:textId="77777777" w:rsidR="00770552" w:rsidRPr="007F4FF2" w:rsidRDefault="00770552" w:rsidP="00770552">
      <w:pPr>
        <w:numPr>
          <w:ilvl w:val="0"/>
          <w:numId w:val="21"/>
        </w:numPr>
        <w:spacing w:after="240"/>
        <w:ind w:left="714" w:hanging="357"/>
        <w:rPr>
          <w:rFonts w:eastAsia="Calibri" w:cs="Times New Roman"/>
          <w:b/>
          <w:i/>
          <w:color w:val="595959" w:themeColor="text1" w:themeTint="A6"/>
          <w:sz w:val="24"/>
          <w:szCs w:val="24"/>
        </w:rPr>
      </w:pPr>
      <w:r>
        <w:rPr>
          <w:rFonts w:eastAsia="Calibri" w:cs="Times New Roman"/>
          <w:b/>
          <w:i/>
          <w:color w:val="595959" w:themeColor="text1" w:themeTint="A6"/>
          <w:sz w:val="24"/>
          <w:szCs w:val="24"/>
        </w:rPr>
        <w:t xml:space="preserve">Βασικές πηγές αβεβαιότητας </w:t>
      </w:r>
      <w:r w:rsidRPr="007F4FF2">
        <w:rPr>
          <w:rFonts w:eastAsia="Calibri" w:cs="Times New Roman"/>
          <w:b/>
          <w:i/>
          <w:color w:val="595959" w:themeColor="text1" w:themeTint="A6"/>
          <w:sz w:val="24"/>
          <w:szCs w:val="24"/>
        </w:rPr>
        <w:t xml:space="preserve">των μακροοικονομικών προβλέψεων </w:t>
      </w:r>
      <w:r>
        <w:rPr>
          <w:rFonts w:eastAsia="Calibri" w:cs="Times New Roman"/>
          <w:b/>
          <w:i/>
          <w:color w:val="595959" w:themeColor="text1" w:themeTint="A6"/>
          <w:sz w:val="24"/>
          <w:szCs w:val="24"/>
        </w:rPr>
        <w:t xml:space="preserve">για το 2022 </w:t>
      </w:r>
      <w:r w:rsidRPr="007F4FF2">
        <w:rPr>
          <w:rFonts w:eastAsia="Calibri" w:cs="Times New Roman"/>
          <w:b/>
          <w:i/>
          <w:color w:val="595959" w:themeColor="text1" w:themeTint="A6"/>
          <w:sz w:val="24"/>
          <w:szCs w:val="24"/>
        </w:rPr>
        <w:t>αποτελούν:</w:t>
      </w:r>
    </w:p>
    <w:p w14:paraId="751684DC" w14:textId="77777777" w:rsidR="00770552" w:rsidRDefault="00770552" w:rsidP="00770552">
      <w:pPr>
        <w:numPr>
          <w:ilvl w:val="1"/>
          <w:numId w:val="21"/>
        </w:numPr>
        <w:spacing w:after="160"/>
        <w:ind w:hanging="357"/>
        <w:rPr>
          <w:rFonts w:eastAsia="Calibri" w:cs="Times New Roman"/>
          <w:b/>
          <w:i/>
          <w:color w:val="595959" w:themeColor="text1" w:themeTint="A6"/>
          <w:sz w:val="24"/>
          <w:szCs w:val="24"/>
        </w:rPr>
      </w:pPr>
      <w:r w:rsidRPr="00AD774A">
        <w:rPr>
          <w:rFonts w:eastAsia="Calibri" w:cs="Times New Roman"/>
          <w:b/>
          <w:i/>
          <w:color w:val="595959" w:themeColor="text1" w:themeTint="A6"/>
          <w:sz w:val="24"/>
          <w:szCs w:val="24"/>
        </w:rPr>
        <w:t xml:space="preserve">η πορεία της πανδημικής κρίσης </w:t>
      </w:r>
    </w:p>
    <w:p w14:paraId="7BF3E454" w14:textId="77777777" w:rsidR="00770552" w:rsidRDefault="00770552" w:rsidP="00770552">
      <w:pPr>
        <w:numPr>
          <w:ilvl w:val="1"/>
          <w:numId w:val="21"/>
        </w:numPr>
        <w:spacing w:after="160"/>
        <w:rPr>
          <w:rFonts w:eastAsia="Calibri" w:cs="Times New Roman"/>
          <w:b/>
          <w:i/>
          <w:color w:val="595959" w:themeColor="text1" w:themeTint="A6"/>
          <w:sz w:val="24"/>
          <w:szCs w:val="24"/>
        </w:rPr>
      </w:pPr>
      <w:r w:rsidRPr="00702EC6">
        <w:rPr>
          <w:rFonts w:eastAsia="Calibri" w:cs="Times New Roman"/>
          <w:b/>
          <w:i/>
          <w:color w:val="595959" w:themeColor="text1" w:themeTint="A6"/>
          <w:sz w:val="24"/>
          <w:szCs w:val="24"/>
        </w:rPr>
        <w:t>η ομαλή και γρήγορη ενεργοποίηση των σχημάτων στήριξης των επενδύσεων που χρηματοδοτούνται από το Ταμείο Ανάκαμψης και Ανθεκτικότητας</w:t>
      </w:r>
    </w:p>
    <w:p w14:paraId="6520C51E" w14:textId="6FE6D184" w:rsidR="00702EC6" w:rsidRDefault="00770552" w:rsidP="00770552">
      <w:pPr>
        <w:numPr>
          <w:ilvl w:val="1"/>
          <w:numId w:val="21"/>
        </w:numPr>
        <w:spacing w:after="160"/>
        <w:rPr>
          <w:rFonts w:eastAsia="Calibri" w:cs="Times New Roman"/>
          <w:b/>
          <w:i/>
          <w:color w:val="595959" w:themeColor="text1" w:themeTint="A6"/>
          <w:sz w:val="24"/>
          <w:szCs w:val="24"/>
        </w:rPr>
      </w:pPr>
      <w:r w:rsidRPr="00702EC6">
        <w:rPr>
          <w:rFonts w:eastAsia="Calibri" w:cs="Times New Roman"/>
          <w:b/>
          <w:i/>
          <w:color w:val="595959" w:themeColor="text1" w:themeTint="A6"/>
          <w:sz w:val="24"/>
          <w:szCs w:val="24"/>
        </w:rPr>
        <w:t xml:space="preserve">οι εξελίξεις στο πεδίο του πληθωρισμού, οι οποίες ενδεχομένως να σηματοδοτήσουν μεταβολές </w:t>
      </w:r>
      <w:r>
        <w:rPr>
          <w:rFonts w:eastAsia="Calibri" w:cs="Times New Roman"/>
          <w:b/>
          <w:i/>
          <w:color w:val="595959" w:themeColor="text1" w:themeTint="A6"/>
          <w:sz w:val="24"/>
          <w:szCs w:val="24"/>
        </w:rPr>
        <w:t xml:space="preserve">της </w:t>
      </w:r>
      <w:r w:rsidRPr="00702EC6">
        <w:rPr>
          <w:rFonts w:eastAsia="Calibri" w:cs="Times New Roman"/>
          <w:b/>
          <w:i/>
          <w:color w:val="595959" w:themeColor="text1" w:themeTint="A6"/>
          <w:sz w:val="24"/>
          <w:szCs w:val="24"/>
        </w:rPr>
        <w:t>νομισματική</w:t>
      </w:r>
      <w:r>
        <w:rPr>
          <w:rFonts w:eastAsia="Calibri" w:cs="Times New Roman"/>
          <w:b/>
          <w:i/>
          <w:color w:val="595959" w:themeColor="text1" w:themeTint="A6"/>
          <w:sz w:val="24"/>
          <w:szCs w:val="24"/>
        </w:rPr>
        <w:t>ς</w:t>
      </w:r>
      <w:r w:rsidRPr="00702EC6">
        <w:rPr>
          <w:rFonts w:eastAsia="Calibri" w:cs="Times New Roman"/>
          <w:b/>
          <w:i/>
          <w:color w:val="595959" w:themeColor="text1" w:themeTint="A6"/>
          <w:sz w:val="24"/>
          <w:szCs w:val="24"/>
        </w:rPr>
        <w:t xml:space="preserve"> πολιτική</w:t>
      </w:r>
      <w:r>
        <w:rPr>
          <w:rFonts w:eastAsia="Calibri" w:cs="Times New Roman"/>
          <w:b/>
          <w:i/>
          <w:color w:val="595959" w:themeColor="text1" w:themeTint="A6"/>
          <w:sz w:val="24"/>
          <w:szCs w:val="24"/>
        </w:rPr>
        <w:t>ς</w:t>
      </w:r>
      <w:r w:rsidRPr="00702EC6">
        <w:rPr>
          <w:rFonts w:eastAsia="Calibri" w:cs="Times New Roman"/>
          <w:b/>
          <w:i/>
          <w:color w:val="595959" w:themeColor="text1" w:themeTint="A6"/>
          <w:sz w:val="24"/>
          <w:szCs w:val="24"/>
        </w:rPr>
        <w:t xml:space="preserve"> τη</w:t>
      </w:r>
      <w:r>
        <w:rPr>
          <w:rFonts w:eastAsia="Calibri" w:cs="Times New Roman"/>
          <w:b/>
          <w:i/>
          <w:color w:val="595959" w:themeColor="text1" w:themeTint="A6"/>
          <w:sz w:val="24"/>
          <w:szCs w:val="24"/>
        </w:rPr>
        <w:t>ς</w:t>
      </w:r>
      <w:r w:rsidRPr="00702EC6">
        <w:rPr>
          <w:rFonts w:eastAsia="Calibri" w:cs="Times New Roman"/>
          <w:b/>
          <w:i/>
          <w:color w:val="595959" w:themeColor="text1" w:themeTint="A6"/>
          <w:sz w:val="24"/>
          <w:szCs w:val="24"/>
        </w:rPr>
        <w:t xml:space="preserve"> ευρωζώνη</w:t>
      </w:r>
      <w:r>
        <w:rPr>
          <w:rFonts w:eastAsia="Calibri" w:cs="Times New Roman"/>
          <w:b/>
          <w:i/>
          <w:color w:val="595959" w:themeColor="text1" w:themeTint="A6"/>
          <w:sz w:val="24"/>
          <w:szCs w:val="24"/>
        </w:rPr>
        <w:t>ς που θα μπορούσαν να θέσουν σε δοκιμασία το θετικό σενάριο για οικονομική μεγέθυνση</w:t>
      </w:r>
      <w:r w:rsidR="00702EC6">
        <w:rPr>
          <w:rFonts w:eastAsia="Calibri" w:cs="Times New Roman"/>
          <w:b/>
          <w:i/>
          <w:color w:val="595959" w:themeColor="text1" w:themeTint="A6"/>
          <w:sz w:val="24"/>
          <w:szCs w:val="24"/>
        </w:rPr>
        <w:t>.</w:t>
      </w:r>
    </w:p>
    <w:p w14:paraId="050098C3" w14:textId="38F92E13" w:rsidR="00E04F6F" w:rsidRDefault="00E04F6F" w:rsidP="00E04F6F">
      <w:pPr>
        <w:numPr>
          <w:ilvl w:val="1"/>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ε</w:t>
      </w:r>
      <w:r w:rsidRPr="00E04F6F">
        <w:rPr>
          <w:rFonts w:eastAsia="Calibri" w:cs="Times New Roman"/>
          <w:b/>
          <w:i/>
          <w:color w:val="595959" w:themeColor="text1" w:themeTint="A6"/>
          <w:sz w:val="24"/>
          <w:szCs w:val="24"/>
        </w:rPr>
        <w:t xml:space="preserve">ντάσεις πολιτικού/γεωπολιτικού χαρακτήρα, όπως Ρωσίας-Ουκρανίας, ΕΕ-Πολωνίας, Ανατολικής Μεσογείου, το μεταναστευτικό  κλπ.  </w:t>
      </w:r>
    </w:p>
    <w:p w14:paraId="2011E53D" w14:textId="2C0F55A0" w:rsidR="009C3CE1" w:rsidRDefault="009C3CE1">
      <w:pPr>
        <w:spacing w:after="160" w:line="0" w:lineRule="auto"/>
        <w:jc w:val="left"/>
        <w:rPr>
          <w:rFonts w:eastAsia="Calibri" w:cs="Times New Roman"/>
          <w:b/>
          <w:iCs/>
          <w:color w:val="808080" w:themeColor="background1" w:themeShade="80"/>
        </w:rPr>
      </w:pPr>
      <w:r>
        <w:rPr>
          <w:rFonts w:eastAsia="Calibri" w:cs="Times New Roman"/>
          <w:b/>
          <w:iCs/>
          <w:color w:val="808080" w:themeColor="background1" w:themeShade="80"/>
        </w:rPr>
        <w:br w:type="page"/>
      </w:r>
    </w:p>
    <w:p w14:paraId="4118B0C4" w14:textId="44CB7826" w:rsidR="00DD3CC6" w:rsidRPr="00D5549E" w:rsidRDefault="00013486" w:rsidP="009B400F">
      <w:pPr>
        <w:pStyle w:val="a1"/>
        <w:ind w:left="0"/>
        <w:rPr>
          <w:sz w:val="28"/>
          <w:szCs w:val="28"/>
        </w:rPr>
      </w:pPr>
      <w:bookmarkStart w:id="97" w:name="_Toc89172829"/>
      <w:r w:rsidRPr="00013486">
        <w:rPr>
          <w:sz w:val="28"/>
          <w:szCs w:val="28"/>
        </w:rPr>
        <w:lastRenderedPageBreak/>
        <w:t>Εγχώριες και διεθνείς μακροοικονομικές προβλέψεις</w:t>
      </w:r>
      <w:r w:rsidR="009B400F">
        <w:rPr>
          <w:sz w:val="28"/>
          <w:szCs w:val="28"/>
        </w:rPr>
        <w:t xml:space="preserve"> 2022</w:t>
      </w:r>
      <w:bookmarkEnd w:id="97"/>
    </w:p>
    <w:p w14:paraId="467BF135" w14:textId="437A3063" w:rsidR="00DF60E7" w:rsidRPr="002F5A77" w:rsidRDefault="00770552" w:rsidP="00DF60E7">
      <w:pPr>
        <w:shd w:val="clear" w:color="auto" w:fill="FFFFFF"/>
        <w:spacing w:after="120"/>
        <w:rPr>
          <w:rFonts w:eastAsia="Calibri" w:cs="Times New Roman"/>
          <w:color w:val="auto"/>
          <w:shd w:val="clear" w:color="auto" w:fill="FFFFFF"/>
        </w:rPr>
      </w:pPr>
      <w:r w:rsidRPr="002913EC">
        <w:rPr>
          <w:rFonts w:eastAsia="Calibri" w:cs="Times New Roman"/>
          <w:color w:val="auto"/>
          <w:shd w:val="clear" w:color="auto" w:fill="FFFFFF"/>
        </w:rPr>
        <w:t>Το Υπουργείο Οικονομικών αναθεώρησε την πρόβλεψή τ</w:t>
      </w:r>
      <w:r>
        <w:rPr>
          <w:rFonts w:eastAsia="Calibri" w:cs="Times New Roman"/>
          <w:color w:val="auto"/>
          <w:shd w:val="clear" w:color="auto" w:fill="FFFFFF"/>
        </w:rPr>
        <w:t>ου για μεγέθυνση του ΑΕΠ το 2022</w:t>
      </w:r>
      <w:r w:rsidRPr="002913EC">
        <w:rPr>
          <w:rFonts w:eastAsia="Calibri" w:cs="Times New Roman"/>
          <w:color w:val="auto"/>
          <w:shd w:val="clear" w:color="auto" w:fill="FFFFFF"/>
        </w:rPr>
        <w:t xml:space="preserve"> στο </w:t>
      </w:r>
      <w:r w:rsidRPr="00716AE5">
        <w:rPr>
          <w:rFonts w:eastAsia="Calibri" w:cs="Times New Roman"/>
          <w:color w:val="auto"/>
          <w:shd w:val="clear" w:color="auto" w:fill="FFFFFF"/>
        </w:rPr>
        <w:t>4</w:t>
      </w:r>
      <w:r w:rsidRPr="002913EC">
        <w:rPr>
          <w:rFonts w:eastAsia="Calibri" w:cs="Times New Roman"/>
          <w:color w:val="auto"/>
          <w:shd w:val="clear" w:color="auto" w:fill="FFFFFF"/>
        </w:rPr>
        <w:t xml:space="preserve">,5%, </w:t>
      </w:r>
      <w:r>
        <w:rPr>
          <w:rFonts w:eastAsia="Calibri" w:cs="Times New Roman"/>
          <w:color w:val="auto"/>
          <w:shd w:val="clear" w:color="auto" w:fill="FFFFFF"/>
        </w:rPr>
        <w:t xml:space="preserve">μειώνοντας την </w:t>
      </w:r>
      <w:r w:rsidRPr="002913EC">
        <w:rPr>
          <w:rFonts w:eastAsia="Calibri" w:cs="Times New Roman"/>
          <w:color w:val="auto"/>
          <w:shd w:val="clear" w:color="auto" w:fill="FFFFFF"/>
        </w:rPr>
        <w:t xml:space="preserve">κατά </w:t>
      </w:r>
      <w:r>
        <w:rPr>
          <w:rFonts w:eastAsia="Calibri" w:cs="Times New Roman"/>
          <w:color w:val="auto"/>
          <w:shd w:val="clear" w:color="auto" w:fill="FFFFFF"/>
        </w:rPr>
        <w:t>1,7</w:t>
      </w:r>
      <w:r w:rsidRPr="002913EC">
        <w:rPr>
          <w:rFonts w:eastAsia="Calibri" w:cs="Times New Roman"/>
          <w:color w:val="auto"/>
          <w:shd w:val="clear" w:color="auto" w:fill="FFFFFF"/>
        </w:rPr>
        <w:t xml:space="preserve">% σε σχέση με τις προβλέψεις </w:t>
      </w:r>
      <w:r>
        <w:rPr>
          <w:rFonts w:eastAsia="Calibri" w:cs="Times New Roman"/>
          <w:color w:val="auto"/>
          <w:shd w:val="clear" w:color="auto" w:fill="FFFFFF"/>
        </w:rPr>
        <w:t>του Μεσοπρόθεσμου Προγράμματος Δημοσιονομικής Σταθερότητας (ΜΠΔΣ)</w:t>
      </w:r>
      <w:r w:rsidRPr="002913EC">
        <w:rPr>
          <w:rFonts w:eastAsia="Calibri" w:cs="Times New Roman"/>
          <w:color w:val="auto"/>
          <w:shd w:val="clear" w:color="auto" w:fill="FFFFFF"/>
        </w:rPr>
        <w:t xml:space="preserve"> 202</w:t>
      </w:r>
      <w:r>
        <w:rPr>
          <w:rFonts w:eastAsia="Calibri" w:cs="Times New Roman"/>
          <w:color w:val="auto"/>
          <w:shd w:val="clear" w:color="auto" w:fill="FFFFFF"/>
        </w:rPr>
        <w:t>2-2025</w:t>
      </w:r>
      <w:r w:rsidRPr="002913EC">
        <w:rPr>
          <w:rFonts w:eastAsia="Calibri" w:cs="Times New Roman"/>
          <w:color w:val="auto"/>
          <w:shd w:val="clear" w:color="auto" w:fill="FFFFFF"/>
        </w:rPr>
        <w:t>. H αναθεώρηση</w:t>
      </w:r>
      <w:r>
        <w:rPr>
          <w:rFonts w:eastAsia="Calibri" w:cs="Times New Roman"/>
          <w:color w:val="auto"/>
          <w:shd w:val="clear" w:color="auto" w:fill="FFFFFF"/>
        </w:rPr>
        <w:t xml:space="preserve"> αυτή προς τα κάτω</w:t>
      </w:r>
      <w:r w:rsidRPr="002913EC">
        <w:rPr>
          <w:rFonts w:eastAsia="Calibri" w:cs="Times New Roman"/>
          <w:color w:val="auto"/>
          <w:shd w:val="clear" w:color="auto" w:fill="FFFFFF"/>
        </w:rPr>
        <w:t xml:space="preserve"> </w:t>
      </w:r>
      <w:r>
        <w:rPr>
          <w:rFonts w:eastAsia="Calibri" w:cs="Times New Roman"/>
          <w:color w:val="auto"/>
          <w:shd w:val="clear" w:color="auto" w:fill="FFFFFF"/>
        </w:rPr>
        <w:t xml:space="preserve">ουσιαστικά επηρεάζεται από το αποτέλεσμα βάσης, αφού η ανάκαμψη του ΑΕΠ για το 2021 φαίνεται ότι θα είναι τελικά ισχυρότερη του αναμενόμενου. Κοντινές στις προβλέψεις του Υπουργείου Οικονομικών εμφανίζονται να είναι </w:t>
      </w:r>
      <w:r w:rsidRPr="002913EC">
        <w:rPr>
          <w:rFonts w:eastAsia="Calibri" w:cs="Times New Roman"/>
          <w:color w:val="auto"/>
          <w:shd w:val="clear" w:color="auto" w:fill="FFFFFF"/>
        </w:rPr>
        <w:t>οι προβλέψεις των εγχώριων και διεθνών</w:t>
      </w:r>
      <w:r>
        <w:rPr>
          <w:rFonts w:eastAsia="Calibri" w:cs="Times New Roman"/>
          <w:color w:val="auto"/>
          <w:shd w:val="clear" w:color="auto" w:fill="FFFFFF"/>
        </w:rPr>
        <w:t xml:space="preserve"> </w:t>
      </w:r>
      <w:r w:rsidR="00DF60E7" w:rsidRPr="002913EC">
        <w:rPr>
          <w:rFonts w:eastAsia="Calibri" w:cs="Times New Roman"/>
          <w:color w:val="auto"/>
          <w:shd w:val="clear" w:color="auto" w:fill="FFFFFF"/>
        </w:rPr>
        <w:t>φορέων</w:t>
      </w:r>
      <w:r w:rsidR="00DF60E7">
        <w:rPr>
          <w:rFonts w:eastAsia="Calibri" w:cs="Times New Roman"/>
          <w:color w:val="auto"/>
          <w:shd w:val="clear" w:color="auto" w:fill="FFFFFF"/>
        </w:rPr>
        <w:t xml:space="preserve"> (</w:t>
      </w:r>
      <w:r w:rsidR="009B400F">
        <w:rPr>
          <w:rFonts w:eastAsia="Calibri" w:cs="Times New Roman"/>
          <w:color w:val="auto"/>
          <w:shd w:val="clear" w:color="auto" w:fill="FFFFFF"/>
        </w:rPr>
        <w:fldChar w:fldCharType="begin"/>
      </w:r>
      <w:r w:rsidR="009B400F">
        <w:rPr>
          <w:rFonts w:eastAsia="Calibri" w:cs="Times New Roman"/>
          <w:color w:val="auto"/>
          <w:shd w:val="clear" w:color="auto" w:fill="FFFFFF"/>
        </w:rPr>
        <w:instrText xml:space="preserve"> REF _Ref87899284 \h </w:instrText>
      </w:r>
      <w:r w:rsidR="009B400F">
        <w:rPr>
          <w:rFonts w:eastAsia="Calibri" w:cs="Times New Roman"/>
          <w:color w:val="auto"/>
          <w:shd w:val="clear" w:color="auto" w:fill="FFFFFF"/>
        </w:rPr>
      </w:r>
      <w:r w:rsidR="009B400F">
        <w:rPr>
          <w:rFonts w:eastAsia="Calibri" w:cs="Times New Roman"/>
          <w:color w:val="auto"/>
          <w:shd w:val="clear" w:color="auto" w:fill="FFFFFF"/>
        </w:rPr>
        <w:fldChar w:fldCharType="separate"/>
      </w:r>
      <w:r w:rsidR="0038196B" w:rsidRPr="002F5A77">
        <w:rPr>
          <w:b/>
          <w:sz w:val="20"/>
          <w:szCs w:val="20"/>
        </w:rPr>
        <w:t xml:space="preserve">Πίνακας </w:t>
      </w:r>
      <w:r w:rsidR="0038196B">
        <w:rPr>
          <w:b/>
          <w:noProof/>
          <w:sz w:val="20"/>
          <w:szCs w:val="20"/>
        </w:rPr>
        <w:t>4</w:t>
      </w:r>
      <w:r w:rsidR="009B400F">
        <w:rPr>
          <w:rFonts w:eastAsia="Calibri" w:cs="Times New Roman"/>
          <w:color w:val="auto"/>
          <w:shd w:val="clear" w:color="auto" w:fill="FFFFFF"/>
        </w:rPr>
        <w:fldChar w:fldCharType="end"/>
      </w:r>
      <w:r w:rsidR="00DF60E7">
        <w:rPr>
          <w:rFonts w:eastAsia="Calibri" w:cs="Times New Roman"/>
          <w:color w:val="auto"/>
          <w:shd w:val="clear" w:color="auto" w:fill="FFFFFF"/>
        </w:rPr>
        <w:t xml:space="preserve">). </w:t>
      </w:r>
      <w:r w:rsidR="00DF60E7" w:rsidRPr="002913EC">
        <w:rPr>
          <w:rFonts w:eastAsia="Calibri" w:cs="Times New Roman"/>
          <w:color w:val="auto"/>
          <w:shd w:val="clear" w:color="auto" w:fill="FFFFFF"/>
        </w:rPr>
        <w:t xml:space="preserve">Το </w:t>
      </w:r>
      <w:r w:rsidRPr="00770552">
        <w:rPr>
          <w:rFonts w:eastAsia="Calibri" w:cs="Times New Roman"/>
          <w:color w:val="auto"/>
          <w:shd w:val="clear" w:color="auto" w:fill="FFFFFF"/>
        </w:rPr>
        <w:t>Διεθνές Νομισματικό Ταμείο προβλέπει για το 2022 αύξηση του ΑΕΠ της τάξης του 4,6%, με τις προβλέψεις του ΟΟΣΑ να επεκτείνουν την αύξηση στο 5,0%.  Η πρόβλεψη της Ευρωπαϊκής Τράπεζας Ανασυγκρότησης και Ανάπτυξης είναι πιο συντηρητική (στο 3,9%) όπως και εκείνη του ΙΟΒΕ  (4,0%). Σε κάθε περίπτωση η βασική υπόθεση είναι ότι οι υγειονομικές συνθήκες θα είναι σταθερές και θα υπάρξει ώθηση των επενδύσεων από το Ταμείο Ανάκαμψης και Ανθεκτικότητας. Ελαφρώς πιο αισιόδοξες προβλέψεις για την εξέλιξη του ΑΕΠ το 2022 κάνουν η Ευρωπαϊκή Επιτροπή και η Τράπεζα της Ελλάδος, οι οποίες προβλέπουν μεγέθυνση 5,2% και 5,3%, αντίστοιχα</w:t>
      </w:r>
      <w:r w:rsidR="00DF60E7" w:rsidRPr="002913EC">
        <w:rPr>
          <w:rFonts w:eastAsia="Calibri" w:cs="Times New Roman"/>
          <w:color w:val="auto"/>
          <w:shd w:val="clear" w:color="auto" w:fill="FFFFFF"/>
        </w:rPr>
        <w:t>.</w:t>
      </w:r>
    </w:p>
    <w:p w14:paraId="1BE158FF" w14:textId="65DD4500" w:rsidR="00DF60E7" w:rsidRPr="00F41ED1" w:rsidRDefault="00DF60E7" w:rsidP="00DF60E7">
      <w:pPr>
        <w:shd w:val="clear" w:color="auto" w:fill="FFFFFF"/>
        <w:spacing w:after="0" w:line="240" w:lineRule="auto"/>
        <w:ind w:left="1134" w:hanging="1134"/>
        <w:rPr>
          <w:rFonts w:eastAsia="Calibri" w:cs="Times New Roman"/>
          <w:i/>
          <w:color w:val="00A3E0"/>
          <w:sz w:val="20"/>
          <w:szCs w:val="20"/>
        </w:rPr>
      </w:pPr>
      <w:bookmarkStart w:id="98" w:name="_Ref87899284"/>
      <w:bookmarkStart w:id="99" w:name="_Ref513806162"/>
      <w:bookmarkStart w:id="100" w:name="_Toc514585705"/>
      <w:bookmarkStart w:id="101" w:name="_Toc515538905"/>
      <w:bookmarkStart w:id="102" w:name="_Toc25065294"/>
      <w:bookmarkStart w:id="103" w:name="_Toc89172849"/>
      <w:r w:rsidRPr="002F5A77">
        <w:rPr>
          <w:b/>
          <w:sz w:val="20"/>
          <w:szCs w:val="20"/>
        </w:rPr>
        <w:t xml:space="preserve">Πίνακας </w:t>
      </w:r>
      <w:r w:rsidRPr="002F5A77">
        <w:rPr>
          <w:b/>
          <w:i/>
          <w:sz w:val="20"/>
          <w:szCs w:val="20"/>
        </w:rPr>
        <w:fldChar w:fldCharType="begin"/>
      </w:r>
      <w:r w:rsidRPr="002F5A77">
        <w:rPr>
          <w:b/>
          <w:sz w:val="20"/>
          <w:szCs w:val="20"/>
        </w:rPr>
        <w:instrText xml:space="preserve"> SEQ Πίνακας \* ARABIC </w:instrText>
      </w:r>
      <w:r w:rsidRPr="002F5A77">
        <w:rPr>
          <w:b/>
          <w:i/>
          <w:sz w:val="20"/>
          <w:szCs w:val="20"/>
        </w:rPr>
        <w:fldChar w:fldCharType="separate"/>
      </w:r>
      <w:r w:rsidR="0038196B">
        <w:rPr>
          <w:b/>
          <w:noProof/>
          <w:sz w:val="20"/>
          <w:szCs w:val="20"/>
        </w:rPr>
        <w:t>4</w:t>
      </w:r>
      <w:r w:rsidRPr="002F5A77">
        <w:rPr>
          <w:b/>
          <w:i/>
          <w:sz w:val="20"/>
          <w:szCs w:val="20"/>
        </w:rPr>
        <w:fldChar w:fldCharType="end"/>
      </w:r>
      <w:bookmarkEnd w:id="98"/>
      <w:r w:rsidRPr="002F5A77">
        <w:rPr>
          <w:b/>
          <w:sz w:val="20"/>
          <w:szCs w:val="20"/>
        </w:rPr>
        <w:t>:</w:t>
      </w:r>
      <w:r w:rsidRPr="002F5A77">
        <w:rPr>
          <w:b/>
          <w:iCs/>
          <w:color w:val="00B0F0"/>
        </w:rPr>
        <w:t xml:space="preserve"> </w:t>
      </w:r>
      <w:bookmarkEnd w:id="99"/>
      <w:r w:rsidRPr="009E221B">
        <w:rPr>
          <w:rFonts w:eastAsia="Calibri" w:cs="Times New Roman"/>
          <w:color w:val="00A3E0"/>
          <w:sz w:val="20"/>
          <w:szCs w:val="20"/>
        </w:rPr>
        <w:t>Προβλέψεις για τη μεγέθυνση  του ΑΕΠ, σύμφωνα με εγχώριους και διεθνείς φορείς (σταθερές τιμές 2010)</w:t>
      </w:r>
      <w:bookmarkEnd w:id="100"/>
      <w:bookmarkEnd w:id="101"/>
      <w:bookmarkEnd w:id="102"/>
      <w:bookmarkEnd w:id="103"/>
    </w:p>
    <w:tbl>
      <w:tblPr>
        <w:tblW w:w="8330" w:type="dxa"/>
        <w:jc w:val="center"/>
        <w:tblBorders>
          <w:top w:val="single" w:sz="24" w:space="0" w:color="676A6E"/>
          <w:bottom w:val="single" w:sz="24" w:space="0" w:color="676A6E"/>
        </w:tblBorders>
        <w:tblLook w:val="04A0" w:firstRow="1" w:lastRow="0" w:firstColumn="1" w:lastColumn="0" w:noHBand="0" w:noVBand="1"/>
      </w:tblPr>
      <w:tblGrid>
        <w:gridCol w:w="3109"/>
        <w:gridCol w:w="2977"/>
        <w:gridCol w:w="2244"/>
      </w:tblGrid>
      <w:tr w:rsidR="00DF60E7" w:rsidRPr="002F5A77" w14:paraId="2C48FAB9" w14:textId="77777777" w:rsidTr="00140420">
        <w:trPr>
          <w:trHeight w:val="297"/>
          <w:jc w:val="center"/>
        </w:trPr>
        <w:tc>
          <w:tcPr>
            <w:tcW w:w="3109" w:type="dxa"/>
            <w:tcBorders>
              <w:top w:val="single" w:sz="8" w:space="0" w:color="00B0F0"/>
              <w:left w:val="single" w:sz="8" w:space="0" w:color="00B0F0"/>
              <w:bottom w:val="single" w:sz="4" w:space="0" w:color="auto"/>
            </w:tcBorders>
            <w:shd w:val="clear" w:color="auto" w:fill="BDD6EE" w:themeFill="accent1" w:themeFillTint="66"/>
          </w:tcPr>
          <w:p w14:paraId="2F1FE0D7" w14:textId="77777777" w:rsidR="00DF60E7" w:rsidRPr="002F5A77" w:rsidRDefault="00DF60E7" w:rsidP="00140420">
            <w:pPr>
              <w:spacing w:after="0" w:line="240" w:lineRule="auto"/>
              <w:jc w:val="left"/>
              <w:rPr>
                <w:rFonts w:eastAsia="Calibri" w:cs="Times New Roman"/>
                <w:b/>
                <w:color w:val="auto"/>
                <w:sz w:val="20"/>
                <w:szCs w:val="20"/>
              </w:rPr>
            </w:pPr>
            <w:r w:rsidRPr="002F5A77">
              <w:rPr>
                <w:rFonts w:eastAsia="Calibri" w:cs="Times New Roman"/>
                <w:b/>
                <w:color w:val="auto"/>
                <w:sz w:val="20"/>
                <w:szCs w:val="20"/>
              </w:rPr>
              <w:t>Εγχώριοι Φορείς</w:t>
            </w:r>
          </w:p>
        </w:tc>
        <w:tc>
          <w:tcPr>
            <w:tcW w:w="2977" w:type="dxa"/>
            <w:tcBorders>
              <w:top w:val="single" w:sz="8" w:space="0" w:color="00B0F0"/>
              <w:bottom w:val="single" w:sz="4" w:space="0" w:color="auto"/>
            </w:tcBorders>
            <w:shd w:val="clear" w:color="auto" w:fill="BDD6EE" w:themeFill="accent1" w:themeFillTint="66"/>
          </w:tcPr>
          <w:p w14:paraId="75016667" w14:textId="77777777" w:rsidR="00DF60E7" w:rsidRPr="002F5A77" w:rsidRDefault="00DF60E7" w:rsidP="00140420">
            <w:pPr>
              <w:spacing w:after="0" w:line="240" w:lineRule="auto"/>
              <w:jc w:val="left"/>
              <w:rPr>
                <w:rFonts w:eastAsia="Calibri" w:cs="Times New Roman"/>
                <w:b/>
                <w:color w:val="auto"/>
                <w:sz w:val="20"/>
                <w:szCs w:val="20"/>
              </w:rPr>
            </w:pPr>
            <w:r w:rsidRPr="002F5A77">
              <w:rPr>
                <w:rFonts w:eastAsia="Calibri" w:cs="Times New Roman"/>
                <w:b/>
                <w:color w:val="auto"/>
                <w:sz w:val="20"/>
                <w:szCs w:val="20"/>
              </w:rPr>
              <w:t>Ημερομηνία</w:t>
            </w:r>
            <w:r>
              <w:rPr>
                <w:rFonts w:eastAsia="Calibri" w:cs="Times New Roman"/>
                <w:b/>
                <w:color w:val="auto"/>
                <w:sz w:val="20"/>
                <w:szCs w:val="20"/>
                <w:lang w:val="en-US"/>
              </w:rPr>
              <w:t xml:space="preserve"> </w:t>
            </w:r>
            <w:r w:rsidRPr="002F5A77">
              <w:rPr>
                <w:rFonts w:eastAsia="Calibri" w:cs="Times New Roman"/>
                <w:b/>
                <w:color w:val="auto"/>
                <w:sz w:val="20"/>
                <w:szCs w:val="20"/>
              </w:rPr>
              <w:t>δημοσίευσης</w:t>
            </w:r>
          </w:p>
        </w:tc>
        <w:tc>
          <w:tcPr>
            <w:tcW w:w="2244" w:type="dxa"/>
            <w:tcBorders>
              <w:top w:val="single" w:sz="8" w:space="0" w:color="00B0F0"/>
              <w:bottom w:val="single" w:sz="4" w:space="0" w:color="auto"/>
              <w:right w:val="single" w:sz="8" w:space="0" w:color="00B0F0"/>
            </w:tcBorders>
            <w:shd w:val="clear" w:color="auto" w:fill="BDD6EE" w:themeFill="accent1" w:themeFillTint="66"/>
          </w:tcPr>
          <w:p w14:paraId="51C27680" w14:textId="77777777" w:rsidR="00DF60E7" w:rsidRPr="002F5A77" w:rsidRDefault="00DF60E7" w:rsidP="00140420">
            <w:pPr>
              <w:spacing w:after="0" w:line="240" w:lineRule="auto"/>
              <w:jc w:val="left"/>
              <w:rPr>
                <w:rFonts w:eastAsia="Calibri" w:cs="Times New Roman"/>
                <w:b/>
                <w:color w:val="auto"/>
                <w:sz w:val="20"/>
                <w:szCs w:val="20"/>
              </w:rPr>
            </w:pPr>
            <w:r w:rsidRPr="002F5A77">
              <w:rPr>
                <w:rFonts w:eastAsia="Calibri" w:cs="Times New Roman"/>
                <w:b/>
                <w:color w:val="auto"/>
                <w:sz w:val="20"/>
                <w:szCs w:val="20"/>
              </w:rPr>
              <w:t>202</w:t>
            </w:r>
            <w:r>
              <w:rPr>
                <w:rFonts w:eastAsia="Calibri" w:cs="Times New Roman"/>
                <w:b/>
                <w:color w:val="auto"/>
                <w:sz w:val="20"/>
                <w:szCs w:val="20"/>
              </w:rPr>
              <w:t>2</w:t>
            </w:r>
            <w:r w:rsidRPr="002F5A77">
              <w:rPr>
                <w:rFonts w:eastAsia="Calibri" w:cs="Times New Roman"/>
                <w:b/>
                <w:color w:val="auto"/>
                <w:sz w:val="20"/>
                <w:szCs w:val="20"/>
              </w:rPr>
              <w:t xml:space="preserve"> (προβλέψεις)</w:t>
            </w:r>
          </w:p>
        </w:tc>
      </w:tr>
      <w:tr w:rsidR="00DF60E7" w:rsidRPr="002F5A77" w14:paraId="45CA3118" w14:textId="77777777" w:rsidTr="00140420">
        <w:trPr>
          <w:trHeight w:val="301"/>
          <w:jc w:val="center"/>
        </w:trPr>
        <w:tc>
          <w:tcPr>
            <w:tcW w:w="3109" w:type="dxa"/>
            <w:tcBorders>
              <w:top w:val="single" w:sz="4" w:space="0" w:color="auto"/>
              <w:left w:val="single" w:sz="8" w:space="0" w:color="00B0F0"/>
              <w:bottom w:val="single" w:sz="4" w:space="0" w:color="auto"/>
            </w:tcBorders>
            <w:shd w:val="clear" w:color="auto" w:fill="D9D9D9" w:themeFill="background1" w:themeFillShade="D9"/>
          </w:tcPr>
          <w:p w14:paraId="06C7461B" w14:textId="77777777" w:rsidR="00DF60E7" w:rsidRPr="002F5A77" w:rsidRDefault="00DF60E7" w:rsidP="00140420">
            <w:pPr>
              <w:spacing w:after="0" w:line="240" w:lineRule="auto"/>
              <w:rPr>
                <w:rFonts w:eastAsia="Calibri" w:cs="Times New Roman"/>
                <w:color w:val="auto"/>
                <w:sz w:val="20"/>
                <w:szCs w:val="20"/>
              </w:rPr>
            </w:pPr>
            <w:r w:rsidRPr="002F5A77">
              <w:rPr>
                <w:rFonts w:eastAsia="Calibri" w:cs="Times New Roman"/>
                <w:color w:val="auto"/>
                <w:sz w:val="20"/>
                <w:szCs w:val="20"/>
              </w:rPr>
              <w:t>Υπ. Οικονομικών</w:t>
            </w:r>
            <w:r w:rsidRPr="002F5A77">
              <w:rPr>
                <w:rFonts w:eastAsia="Calibri" w:cs="Times New Roman"/>
                <w:b/>
                <w:color w:val="auto"/>
                <w:sz w:val="20"/>
                <w:szCs w:val="20"/>
                <w:vertAlign w:val="superscript"/>
              </w:rPr>
              <w:t>1</w:t>
            </w:r>
          </w:p>
        </w:tc>
        <w:tc>
          <w:tcPr>
            <w:tcW w:w="2977" w:type="dxa"/>
            <w:tcBorders>
              <w:top w:val="single" w:sz="4" w:space="0" w:color="auto"/>
              <w:bottom w:val="single" w:sz="4" w:space="0" w:color="auto"/>
            </w:tcBorders>
            <w:shd w:val="clear" w:color="auto" w:fill="D9D9D9" w:themeFill="background1" w:themeFillShade="D9"/>
          </w:tcPr>
          <w:p w14:paraId="25D92472" w14:textId="77777777" w:rsidR="00DF60E7" w:rsidRPr="002F5A77" w:rsidRDefault="00DF60E7" w:rsidP="00140420">
            <w:pPr>
              <w:spacing w:after="0" w:line="240" w:lineRule="auto"/>
              <w:jc w:val="left"/>
              <w:rPr>
                <w:rFonts w:eastAsia="Calibri" w:cs="Times New Roman"/>
                <w:color w:val="auto"/>
                <w:sz w:val="20"/>
                <w:szCs w:val="20"/>
              </w:rPr>
            </w:pPr>
            <w:r>
              <w:rPr>
                <w:rFonts w:eastAsia="Calibri" w:cs="Times New Roman"/>
                <w:color w:val="auto"/>
                <w:sz w:val="20"/>
                <w:szCs w:val="20"/>
              </w:rPr>
              <w:t>Οκτώβριος 2021</w:t>
            </w:r>
          </w:p>
        </w:tc>
        <w:tc>
          <w:tcPr>
            <w:tcW w:w="2244" w:type="dxa"/>
            <w:tcBorders>
              <w:top w:val="single" w:sz="4" w:space="0" w:color="auto"/>
              <w:bottom w:val="single" w:sz="4" w:space="0" w:color="auto"/>
              <w:right w:val="single" w:sz="8" w:space="0" w:color="00B0F0"/>
            </w:tcBorders>
            <w:shd w:val="clear" w:color="auto" w:fill="D9D9D9" w:themeFill="background1" w:themeFillShade="D9"/>
          </w:tcPr>
          <w:p w14:paraId="1657EA74" w14:textId="77777777" w:rsidR="00DF60E7" w:rsidRPr="002F5A77" w:rsidRDefault="00DF60E7" w:rsidP="00140420">
            <w:pPr>
              <w:spacing w:after="0" w:line="240" w:lineRule="auto"/>
              <w:jc w:val="left"/>
              <w:rPr>
                <w:rFonts w:eastAsia="Calibri" w:cs="Times New Roman"/>
                <w:color w:val="auto"/>
                <w:sz w:val="20"/>
                <w:szCs w:val="20"/>
              </w:rPr>
            </w:pPr>
            <w:r>
              <w:rPr>
                <w:rFonts w:eastAsia="Calibri" w:cs="Times New Roman"/>
                <w:color w:val="auto"/>
                <w:sz w:val="20"/>
                <w:szCs w:val="20"/>
              </w:rPr>
              <w:t>4</w:t>
            </w:r>
            <w:r w:rsidRPr="002F5A77">
              <w:rPr>
                <w:rFonts w:eastAsia="Calibri" w:cs="Times New Roman"/>
                <w:color w:val="auto"/>
                <w:sz w:val="20"/>
                <w:szCs w:val="20"/>
              </w:rPr>
              <w:t>,</w:t>
            </w:r>
            <w:r>
              <w:rPr>
                <w:rFonts w:eastAsia="Calibri" w:cs="Times New Roman"/>
                <w:color w:val="auto"/>
                <w:sz w:val="20"/>
                <w:szCs w:val="20"/>
              </w:rPr>
              <w:t>5</w:t>
            </w:r>
            <w:r w:rsidRPr="002F5A77">
              <w:rPr>
                <w:rFonts w:eastAsia="Calibri" w:cs="Times New Roman"/>
                <w:color w:val="auto"/>
                <w:sz w:val="20"/>
                <w:szCs w:val="20"/>
              </w:rPr>
              <w:t>%</w:t>
            </w:r>
          </w:p>
        </w:tc>
      </w:tr>
      <w:tr w:rsidR="00DF60E7" w:rsidRPr="002F5A77" w14:paraId="4A331218" w14:textId="77777777" w:rsidTr="00140420">
        <w:trPr>
          <w:trHeight w:val="301"/>
          <w:jc w:val="center"/>
        </w:trPr>
        <w:tc>
          <w:tcPr>
            <w:tcW w:w="3109" w:type="dxa"/>
            <w:tcBorders>
              <w:top w:val="single" w:sz="4" w:space="0" w:color="auto"/>
              <w:left w:val="single" w:sz="8" w:space="0" w:color="00B0F0"/>
              <w:bottom w:val="single" w:sz="4" w:space="0" w:color="auto"/>
            </w:tcBorders>
            <w:shd w:val="clear" w:color="auto" w:fill="auto"/>
          </w:tcPr>
          <w:p w14:paraId="78CA2E19" w14:textId="77777777" w:rsidR="00DF60E7" w:rsidRPr="002F5A77" w:rsidRDefault="00DF60E7" w:rsidP="00140420">
            <w:pPr>
              <w:spacing w:after="0" w:line="240" w:lineRule="auto"/>
              <w:rPr>
                <w:rFonts w:eastAsia="Calibri" w:cs="Times New Roman"/>
                <w:color w:val="auto"/>
                <w:sz w:val="20"/>
                <w:szCs w:val="20"/>
                <w:vertAlign w:val="superscript"/>
                <w:lang w:val="en-US"/>
              </w:rPr>
            </w:pPr>
            <w:r w:rsidRPr="002F5A77">
              <w:rPr>
                <w:rFonts w:eastAsia="Calibri" w:cs="Times New Roman"/>
                <w:color w:val="auto"/>
                <w:sz w:val="20"/>
                <w:szCs w:val="20"/>
              </w:rPr>
              <w:t>ΙΟΒΕ</w:t>
            </w:r>
            <w:r w:rsidRPr="002F5A77">
              <w:rPr>
                <w:rFonts w:eastAsia="Calibri" w:cs="Times New Roman"/>
                <w:b/>
                <w:color w:val="auto"/>
                <w:sz w:val="20"/>
                <w:szCs w:val="20"/>
                <w:vertAlign w:val="superscript"/>
                <w:lang w:val="en-US"/>
              </w:rPr>
              <w:t>2</w:t>
            </w:r>
          </w:p>
        </w:tc>
        <w:tc>
          <w:tcPr>
            <w:tcW w:w="2977" w:type="dxa"/>
            <w:tcBorders>
              <w:top w:val="single" w:sz="4" w:space="0" w:color="auto"/>
              <w:bottom w:val="single" w:sz="4" w:space="0" w:color="auto"/>
            </w:tcBorders>
            <w:shd w:val="clear" w:color="auto" w:fill="auto"/>
          </w:tcPr>
          <w:p w14:paraId="7F5760C0" w14:textId="77777777" w:rsidR="00DF60E7" w:rsidRPr="002F5A77" w:rsidRDefault="00DF60E7" w:rsidP="00140420">
            <w:pPr>
              <w:spacing w:after="0" w:line="240" w:lineRule="auto"/>
              <w:jc w:val="left"/>
              <w:rPr>
                <w:rFonts w:eastAsia="Calibri" w:cs="Times New Roman"/>
                <w:color w:val="auto"/>
                <w:sz w:val="20"/>
                <w:szCs w:val="20"/>
              </w:rPr>
            </w:pPr>
            <w:r>
              <w:rPr>
                <w:rFonts w:eastAsia="Calibri" w:cs="Times New Roman"/>
                <w:color w:val="auto"/>
                <w:sz w:val="20"/>
                <w:szCs w:val="20"/>
              </w:rPr>
              <w:t>Οκτώβριος 2021</w:t>
            </w:r>
          </w:p>
        </w:tc>
        <w:tc>
          <w:tcPr>
            <w:tcW w:w="2244" w:type="dxa"/>
            <w:tcBorders>
              <w:top w:val="single" w:sz="4" w:space="0" w:color="auto"/>
              <w:bottom w:val="single" w:sz="4" w:space="0" w:color="auto"/>
              <w:right w:val="single" w:sz="8" w:space="0" w:color="00B0F0"/>
            </w:tcBorders>
          </w:tcPr>
          <w:p w14:paraId="5627A6B3" w14:textId="77777777" w:rsidR="00DF60E7" w:rsidRPr="002F5A77" w:rsidRDefault="00DF60E7" w:rsidP="00140420">
            <w:pPr>
              <w:spacing w:after="0" w:line="240" w:lineRule="auto"/>
              <w:jc w:val="left"/>
              <w:rPr>
                <w:rFonts w:eastAsia="Calibri" w:cs="Times New Roman"/>
                <w:color w:val="auto"/>
                <w:sz w:val="20"/>
                <w:szCs w:val="20"/>
              </w:rPr>
            </w:pPr>
            <w:r>
              <w:rPr>
                <w:rFonts w:eastAsia="Calibri" w:cs="Times New Roman"/>
                <w:color w:val="auto"/>
                <w:sz w:val="20"/>
                <w:szCs w:val="20"/>
              </w:rPr>
              <w:t xml:space="preserve">4,0% </w:t>
            </w:r>
          </w:p>
        </w:tc>
      </w:tr>
      <w:tr w:rsidR="00DF60E7" w:rsidRPr="002F5A77" w14:paraId="58673C54" w14:textId="77777777" w:rsidTr="00140420">
        <w:trPr>
          <w:trHeight w:val="292"/>
          <w:jc w:val="center"/>
        </w:trPr>
        <w:tc>
          <w:tcPr>
            <w:tcW w:w="3109" w:type="dxa"/>
            <w:tcBorders>
              <w:top w:val="single" w:sz="4" w:space="0" w:color="auto"/>
              <w:left w:val="single" w:sz="8" w:space="0" w:color="00B0F0"/>
              <w:bottom w:val="single" w:sz="8" w:space="0" w:color="00B0F0"/>
            </w:tcBorders>
            <w:shd w:val="clear" w:color="auto" w:fill="D9D9D9" w:themeFill="background1" w:themeFillShade="D9"/>
          </w:tcPr>
          <w:p w14:paraId="244A003B" w14:textId="77777777" w:rsidR="00DF60E7" w:rsidRPr="002F5A77" w:rsidRDefault="00DF60E7" w:rsidP="00140420">
            <w:pPr>
              <w:spacing w:after="0" w:line="240" w:lineRule="auto"/>
              <w:rPr>
                <w:rFonts w:eastAsia="Calibri" w:cs="Times New Roman"/>
                <w:color w:val="auto"/>
                <w:sz w:val="20"/>
                <w:szCs w:val="20"/>
                <w:lang w:val="en-US"/>
              </w:rPr>
            </w:pPr>
            <w:r w:rsidRPr="002F5A77">
              <w:rPr>
                <w:rFonts w:eastAsia="Calibri" w:cs="Times New Roman"/>
                <w:color w:val="auto"/>
                <w:sz w:val="20"/>
                <w:szCs w:val="20"/>
              </w:rPr>
              <w:t>Τράπεζα της Ελλάδος</w:t>
            </w:r>
            <w:r w:rsidRPr="002F5A77">
              <w:rPr>
                <w:rFonts w:eastAsia="Calibri" w:cs="Times New Roman"/>
                <w:color w:val="auto"/>
                <w:sz w:val="20"/>
                <w:szCs w:val="20"/>
                <w:vertAlign w:val="superscript"/>
                <w:lang w:val="en-US"/>
              </w:rPr>
              <w:t>3</w:t>
            </w:r>
          </w:p>
        </w:tc>
        <w:tc>
          <w:tcPr>
            <w:tcW w:w="2977" w:type="dxa"/>
            <w:tcBorders>
              <w:top w:val="single" w:sz="4" w:space="0" w:color="auto"/>
              <w:bottom w:val="single" w:sz="8" w:space="0" w:color="00B0F0"/>
            </w:tcBorders>
            <w:shd w:val="clear" w:color="auto" w:fill="D9D9D9" w:themeFill="background1" w:themeFillShade="D9"/>
          </w:tcPr>
          <w:p w14:paraId="45F7A549" w14:textId="77777777" w:rsidR="00DF60E7" w:rsidRPr="002F5A77" w:rsidRDefault="00DF60E7" w:rsidP="00140420">
            <w:pPr>
              <w:spacing w:after="0" w:line="240" w:lineRule="auto"/>
              <w:jc w:val="left"/>
              <w:rPr>
                <w:rFonts w:eastAsia="Calibri" w:cs="Times New Roman"/>
                <w:color w:val="auto"/>
                <w:sz w:val="20"/>
                <w:szCs w:val="20"/>
              </w:rPr>
            </w:pPr>
            <w:r>
              <w:rPr>
                <w:rFonts w:eastAsia="Calibri" w:cs="Times New Roman"/>
                <w:color w:val="auto"/>
                <w:sz w:val="20"/>
                <w:szCs w:val="20"/>
              </w:rPr>
              <w:t>Ιούνιος 2021</w:t>
            </w:r>
          </w:p>
        </w:tc>
        <w:tc>
          <w:tcPr>
            <w:tcW w:w="2244" w:type="dxa"/>
            <w:tcBorders>
              <w:top w:val="single" w:sz="4" w:space="0" w:color="auto"/>
              <w:bottom w:val="single" w:sz="8" w:space="0" w:color="00B0F0"/>
              <w:right w:val="single" w:sz="8" w:space="0" w:color="00B0F0"/>
            </w:tcBorders>
            <w:shd w:val="clear" w:color="auto" w:fill="D9D9D9" w:themeFill="background1" w:themeFillShade="D9"/>
          </w:tcPr>
          <w:p w14:paraId="488CB0CB" w14:textId="77777777" w:rsidR="00DF60E7" w:rsidRPr="002F5A77" w:rsidRDefault="00DF60E7" w:rsidP="00140420">
            <w:pPr>
              <w:spacing w:after="0" w:line="240" w:lineRule="auto"/>
              <w:jc w:val="left"/>
              <w:rPr>
                <w:rFonts w:eastAsia="Calibri" w:cs="Times New Roman"/>
                <w:color w:val="auto"/>
                <w:sz w:val="20"/>
                <w:szCs w:val="20"/>
              </w:rPr>
            </w:pPr>
            <w:r>
              <w:rPr>
                <w:rFonts w:eastAsia="Calibri" w:cs="Times New Roman"/>
                <w:color w:val="auto"/>
                <w:sz w:val="20"/>
                <w:szCs w:val="20"/>
              </w:rPr>
              <w:t>5,3</w:t>
            </w:r>
            <w:r w:rsidRPr="002F5A77">
              <w:rPr>
                <w:rFonts w:eastAsia="Calibri" w:cs="Times New Roman"/>
                <w:color w:val="auto"/>
                <w:sz w:val="20"/>
                <w:szCs w:val="20"/>
              </w:rPr>
              <w:t xml:space="preserve">% </w:t>
            </w:r>
          </w:p>
        </w:tc>
      </w:tr>
      <w:tr w:rsidR="00DF60E7" w:rsidRPr="002F5A77" w14:paraId="35721F5F" w14:textId="77777777" w:rsidTr="00140420">
        <w:trPr>
          <w:trHeight w:val="301"/>
          <w:jc w:val="center"/>
        </w:trPr>
        <w:tc>
          <w:tcPr>
            <w:tcW w:w="3109" w:type="dxa"/>
            <w:tcBorders>
              <w:top w:val="single" w:sz="4" w:space="0" w:color="auto"/>
              <w:left w:val="single" w:sz="8" w:space="0" w:color="00B0F0"/>
              <w:bottom w:val="single" w:sz="8" w:space="0" w:color="00B0F0"/>
            </w:tcBorders>
            <w:shd w:val="clear" w:color="auto" w:fill="BDD6EE" w:themeFill="accent1" w:themeFillTint="66"/>
          </w:tcPr>
          <w:p w14:paraId="0B824187" w14:textId="77777777" w:rsidR="00DF60E7" w:rsidRPr="002F5A77" w:rsidRDefault="00DF60E7" w:rsidP="00140420">
            <w:pPr>
              <w:spacing w:after="0" w:line="240" w:lineRule="auto"/>
              <w:jc w:val="left"/>
              <w:rPr>
                <w:rFonts w:eastAsia="Calibri" w:cs="Times New Roman"/>
                <w:color w:val="auto"/>
                <w:sz w:val="20"/>
                <w:szCs w:val="20"/>
                <w:highlight w:val="yellow"/>
              </w:rPr>
            </w:pPr>
            <w:r w:rsidRPr="002F5A77">
              <w:rPr>
                <w:rFonts w:eastAsia="Calibri" w:cs="Times New Roman"/>
                <w:b/>
                <w:color w:val="auto"/>
                <w:sz w:val="20"/>
                <w:szCs w:val="20"/>
              </w:rPr>
              <w:t>Διεθνείς φορείς</w:t>
            </w:r>
          </w:p>
        </w:tc>
        <w:tc>
          <w:tcPr>
            <w:tcW w:w="2977" w:type="dxa"/>
            <w:tcBorders>
              <w:top w:val="single" w:sz="4" w:space="0" w:color="auto"/>
              <w:bottom w:val="single" w:sz="8" w:space="0" w:color="00B0F0"/>
            </w:tcBorders>
            <w:shd w:val="clear" w:color="auto" w:fill="BDD6EE" w:themeFill="accent1" w:themeFillTint="66"/>
          </w:tcPr>
          <w:p w14:paraId="1F1897CF" w14:textId="77777777" w:rsidR="00DF60E7" w:rsidRPr="002F5A77" w:rsidRDefault="00DF60E7" w:rsidP="00140420">
            <w:pPr>
              <w:spacing w:after="0" w:line="240" w:lineRule="auto"/>
              <w:jc w:val="left"/>
              <w:rPr>
                <w:rFonts w:eastAsia="Calibri" w:cs="Times New Roman"/>
                <w:color w:val="auto"/>
                <w:sz w:val="20"/>
                <w:szCs w:val="20"/>
              </w:rPr>
            </w:pPr>
          </w:p>
        </w:tc>
        <w:tc>
          <w:tcPr>
            <w:tcW w:w="2244" w:type="dxa"/>
            <w:tcBorders>
              <w:top w:val="single" w:sz="4" w:space="0" w:color="auto"/>
              <w:bottom w:val="single" w:sz="8" w:space="0" w:color="00B0F0"/>
              <w:right w:val="single" w:sz="8" w:space="0" w:color="00B0F0"/>
            </w:tcBorders>
            <w:shd w:val="clear" w:color="auto" w:fill="BDD6EE" w:themeFill="accent1" w:themeFillTint="66"/>
          </w:tcPr>
          <w:p w14:paraId="0D84A9C8" w14:textId="77777777" w:rsidR="00DF60E7" w:rsidRPr="002F5A77" w:rsidRDefault="00DF60E7" w:rsidP="00140420">
            <w:pPr>
              <w:spacing w:after="0" w:line="240" w:lineRule="auto"/>
              <w:jc w:val="left"/>
              <w:rPr>
                <w:rFonts w:eastAsia="Calibri" w:cs="Times New Roman"/>
                <w:color w:val="auto"/>
                <w:sz w:val="20"/>
                <w:szCs w:val="20"/>
              </w:rPr>
            </w:pPr>
          </w:p>
        </w:tc>
      </w:tr>
      <w:tr w:rsidR="00DF60E7" w:rsidRPr="002F5A77" w14:paraId="77FBB16F" w14:textId="77777777" w:rsidTr="00140420">
        <w:trPr>
          <w:trHeight w:val="301"/>
          <w:jc w:val="center"/>
        </w:trPr>
        <w:tc>
          <w:tcPr>
            <w:tcW w:w="3109" w:type="dxa"/>
            <w:tcBorders>
              <w:top w:val="single" w:sz="4" w:space="0" w:color="auto"/>
              <w:left w:val="single" w:sz="8" w:space="0" w:color="00B0F0"/>
              <w:bottom w:val="single" w:sz="8" w:space="0" w:color="00B0F0"/>
            </w:tcBorders>
            <w:shd w:val="clear" w:color="auto" w:fill="auto"/>
          </w:tcPr>
          <w:p w14:paraId="762A3E73" w14:textId="77777777" w:rsidR="00DF60E7" w:rsidRPr="00B33080" w:rsidRDefault="00DF60E7" w:rsidP="00140420">
            <w:pPr>
              <w:spacing w:after="0" w:line="240" w:lineRule="auto"/>
              <w:rPr>
                <w:rFonts w:eastAsia="Calibri" w:cs="Times New Roman"/>
                <w:b/>
                <w:color w:val="auto"/>
                <w:sz w:val="20"/>
                <w:szCs w:val="20"/>
              </w:rPr>
            </w:pPr>
            <w:r w:rsidRPr="00EE7523">
              <w:rPr>
                <w:rFonts w:eastAsia="Calibri" w:cs="Times New Roman"/>
                <w:color w:val="auto"/>
                <w:sz w:val="20"/>
                <w:szCs w:val="20"/>
              </w:rPr>
              <w:t>Ευρωπαϊκή Επιτροπή</w:t>
            </w:r>
            <w:r w:rsidRPr="00EE7523">
              <w:rPr>
                <w:rFonts w:eastAsia="Calibri" w:cs="Times New Roman"/>
                <w:color w:val="auto"/>
                <w:sz w:val="20"/>
                <w:szCs w:val="20"/>
                <w:vertAlign w:val="superscript"/>
              </w:rPr>
              <w:t>4</w:t>
            </w:r>
          </w:p>
        </w:tc>
        <w:tc>
          <w:tcPr>
            <w:tcW w:w="2977" w:type="dxa"/>
            <w:tcBorders>
              <w:top w:val="single" w:sz="4" w:space="0" w:color="auto"/>
              <w:bottom w:val="single" w:sz="8" w:space="0" w:color="00B0F0"/>
            </w:tcBorders>
            <w:shd w:val="clear" w:color="auto" w:fill="auto"/>
          </w:tcPr>
          <w:p w14:paraId="4DAAB1CB" w14:textId="77777777" w:rsidR="00DF60E7" w:rsidRPr="00B33080" w:rsidRDefault="00DF60E7" w:rsidP="00140420">
            <w:pPr>
              <w:spacing w:after="0" w:line="240" w:lineRule="auto"/>
              <w:jc w:val="left"/>
              <w:rPr>
                <w:rFonts w:eastAsia="Calibri" w:cs="Times New Roman"/>
                <w:b/>
                <w:color w:val="auto"/>
                <w:sz w:val="20"/>
                <w:szCs w:val="20"/>
              </w:rPr>
            </w:pPr>
            <w:r>
              <w:rPr>
                <w:rFonts w:eastAsia="Calibri" w:cs="Times New Roman"/>
                <w:color w:val="auto"/>
                <w:sz w:val="20"/>
                <w:szCs w:val="20"/>
              </w:rPr>
              <w:t>Νοέμβριος 2021</w:t>
            </w:r>
          </w:p>
        </w:tc>
        <w:tc>
          <w:tcPr>
            <w:tcW w:w="2244" w:type="dxa"/>
            <w:tcBorders>
              <w:top w:val="single" w:sz="4" w:space="0" w:color="auto"/>
              <w:bottom w:val="single" w:sz="8" w:space="0" w:color="00B0F0"/>
              <w:right w:val="single" w:sz="8" w:space="0" w:color="00B0F0"/>
            </w:tcBorders>
            <w:shd w:val="clear" w:color="auto" w:fill="auto"/>
          </w:tcPr>
          <w:p w14:paraId="2873A7DE" w14:textId="77777777" w:rsidR="00DF60E7" w:rsidRPr="004865B3" w:rsidRDefault="00DF60E7" w:rsidP="00140420">
            <w:pPr>
              <w:spacing w:after="0" w:line="240" w:lineRule="auto"/>
              <w:jc w:val="left"/>
              <w:rPr>
                <w:rFonts w:eastAsia="Calibri" w:cs="Times New Roman"/>
                <w:color w:val="auto"/>
                <w:sz w:val="20"/>
                <w:szCs w:val="20"/>
              </w:rPr>
            </w:pPr>
            <w:r>
              <w:rPr>
                <w:rFonts w:eastAsia="Calibri" w:cs="Times New Roman"/>
                <w:color w:val="auto"/>
                <w:sz w:val="20"/>
                <w:szCs w:val="20"/>
              </w:rPr>
              <w:t>5</w:t>
            </w:r>
            <w:r w:rsidRPr="004865B3">
              <w:rPr>
                <w:rFonts w:eastAsia="Calibri" w:cs="Times New Roman"/>
                <w:color w:val="auto"/>
                <w:sz w:val="20"/>
                <w:szCs w:val="20"/>
              </w:rPr>
              <w:t>,</w:t>
            </w:r>
            <w:r>
              <w:rPr>
                <w:rFonts w:eastAsia="Calibri" w:cs="Times New Roman"/>
                <w:color w:val="auto"/>
                <w:sz w:val="20"/>
                <w:szCs w:val="20"/>
              </w:rPr>
              <w:t>2</w:t>
            </w:r>
            <w:r w:rsidRPr="004865B3">
              <w:rPr>
                <w:rFonts w:eastAsia="Calibri" w:cs="Times New Roman"/>
                <w:color w:val="auto"/>
                <w:sz w:val="20"/>
                <w:szCs w:val="20"/>
              </w:rPr>
              <w:t>%</w:t>
            </w:r>
          </w:p>
        </w:tc>
      </w:tr>
      <w:tr w:rsidR="00DF60E7" w:rsidRPr="002F5A77" w14:paraId="27AD7532" w14:textId="77777777" w:rsidTr="00140420">
        <w:trPr>
          <w:trHeight w:val="301"/>
          <w:jc w:val="center"/>
        </w:trPr>
        <w:tc>
          <w:tcPr>
            <w:tcW w:w="3109" w:type="dxa"/>
            <w:tcBorders>
              <w:top w:val="single" w:sz="4" w:space="0" w:color="auto"/>
              <w:left w:val="single" w:sz="8" w:space="0" w:color="00B0F0"/>
              <w:bottom w:val="single" w:sz="8" w:space="0" w:color="00B0F0"/>
            </w:tcBorders>
            <w:shd w:val="clear" w:color="auto" w:fill="DBDBDB" w:themeFill="accent3" w:themeFillTint="66"/>
          </w:tcPr>
          <w:p w14:paraId="0DD2DB99" w14:textId="77777777" w:rsidR="00DF60E7" w:rsidRPr="002F5A77" w:rsidRDefault="00DF60E7" w:rsidP="00140420">
            <w:pPr>
              <w:spacing w:after="0" w:line="240" w:lineRule="auto"/>
              <w:rPr>
                <w:rFonts w:eastAsia="Calibri" w:cs="Times New Roman"/>
                <w:color w:val="auto"/>
                <w:sz w:val="20"/>
                <w:szCs w:val="20"/>
              </w:rPr>
            </w:pPr>
            <w:r w:rsidRPr="002F5A77">
              <w:rPr>
                <w:rFonts w:eastAsia="Calibri" w:cs="Times New Roman"/>
                <w:color w:val="auto"/>
                <w:sz w:val="20"/>
                <w:szCs w:val="20"/>
              </w:rPr>
              <w:t>ΔΝΤ</w:t>
            </w:r>
            <w:r w:rsidRPr="002F5A77">
              <w:rPr>
                <w:rFonts w:eastAsia="Calibri" w:cs="Times New Roman"/>
                <w:color w:val="auto"/>
                <w:sz w:val="20"/>
                <w:szCs w:val="20"/>
                <w:vertAlign w:val="superscript"/>
                <w:lang w:val="en-US"/>
              </w:rPr>
              <w:t>5</w:t>
            </w:r>
          </w:p>
        </w:tc>
        <w:tc>
          <w:tcPr>
            <w:tcW w:w="2977" w:type="dxa"/>
            <w:tcBorders>
              <w:top w:val="single" w:sz="4" w:space="0" w:color="auto"/>
              <w:bottom w:val="single" w:sz="8" w:space="0" w:color="00B0F0"/>
            </w:tcBorders>
            <w:shd w:val="clear" w:color="auto" w:fill="DBDBDB" w:themeFill="accent3" w:themeFillTint="66"/>
          </w:tcPr>
          <w:p w14:paraId="6D3F4230" w14:textId="77777777" w:rsidR="00DF60E7" w:rsidRPr="000C4DA9" w:rsidRDefault="00DF60E7" w:rsidP="00140420">
            <w:pPr>
              <w:spacing w:after="0" w:line="240" w:lineRule="auto"/>
              <w:jc w:val="left"/>
              <w:rPr>
                <w:rFonts w:eastAsia="Calibri" w:cs="Times New Roman"/>
                <w:color w:val="auto"/>
                <w:sz w:val="20"/>
                <w:szCs w:val="20"/>
                <w:lang w:val="en-US"/>
              </w:rPr>
            </w:pPr>
            <w:r w:rsidRPr="002F5A77">
              <w:rPr>
                <w:rFonts w:eastAsia="Calibri" w:cs="Times New Roman"/>
                <w:color w:val="auto"/>
                <w:sz w:val="20"/>
                <w:szCs w:val="20"/>
              </w:rPr>
              <w:t>Οκτώβριος 20</w:t>
            </w:r>
            <w:r>
              <w:rPr>
                <w:rFonts w:eastAsia="Calibri" w:cs="Times New Roman"/>
                <w:color w:val="auto"/>
                <w:sz w:val="20"/>
                <w:szCs w:val="20"/>
                <w:lang w:val="en-US"/>
              </w:rPr>
              <w:t>21</w:t>
            </w:r>
          </w:p>
        </w:tc>
        <w:tc>
          <w:tcPr>
            <w:tcW w:w="2244" w:type="dxa"/>
            <w:tcBorders>
              <w:top w:val="single" w:sz="4" w:space="0" w:color="auto"/>
              <w:bottom w:val="single" w:sz="8" w:space="0" w:color="00B0F0"/>
              <w:right w:val="single" w:sz="8" w:space="0" w:color="00B0F0"/>
            </w:tcBorders>
            <w:shd w:val="clear" w:color="auto" w:fill="DBDBDB" w:themeFill="accent3" w:themeFillTint="66"/>
          </w:tcPr>
          <w:p w14:paraId="2EDB21D3" w14:textId="77777777" w:rsidR="00DF60E7" w:rsidRPr="002F5A77" w:rsidRDefault="00DF60E7" w:rsidP="00140420">
            <w:pPr>
              <w:spacing w:after="0" w:line="240" w:lineRule="auto"/>
              <w:jc w:val="left"/>
              <w:rPr>
                <w:rFonts w:eastAsia="Calibri" w:cs="Times New Roman"/>
                <w:color w:val="auto"/>
                <w:sz w:val="20"/>
                <w:szCs w:val="20"/>
              </w:rPr>
            </w:pPr>
            <w:r>
              <w:rPr>
                <w:rFonts w:eastAsia="Calibri" w:cs="Times New Roman"/>
                <w:color w:val="auto"/>
                <w:sz w:val="20"/>
                <w:szCs w:val="20"/>
                <w:lang w:val="en-US"/>
              </w:rPr>
              <w:t>4,</w:t>
            </w:r>
            <w:r>
              <w:rPr>
                <w:rFonts w:eastAsia="Calibri" w:cs="Times New Roman"/>
                <w:color w:val="auto"/>
                <w:sz w:val="20"/>
                <w:szCs w:val="20"/>
              </w:rPr>
              <w:t>6</w:t>
            </w:r>
            <w:r w:rsidRPr="002F5A77">
              <w:rPr>
                <w:rFonts w:eastAsia="Calibri" w:cs="Times New Roman"/>
                <w:color w:val="auto"/>
                <w:sz w:val="20"/>
                <w:szCs w:val="20"/>
              </w:rPr>
              <w:t>%</w:t>
            </w:r>
          </w:p>
        </w:tc>
      </w:tr>
      <w:tr w:rsidR="00DF60E7" w:rsidRPr="00715804" w14:paraId="73738F16" w14:textId="77777777" w:rsidTr="00140420">
        <w:trPr>
          <w:trHeight w:val="301"/>
          <w:jc w:val="center"/>
        </w:trPr>
        <w:tc>
          <w:tcPr>
            <w:tcW w:w="3109" w:type="dxa"/>
            <w:tcBorders>
              <w:top w:val="single" w:sz="4" w:space="0" w:color="auto"/>
              <w:left w:val="single" w:sz="8" w:space="0" w:color="00B0F0"/>
              <w:bottom w:val="single" w:sz="8" w:space="0" w:color="00B0F0"/>
            </w:tcBorders>
            <w:shd w:val="clear" w:color="auto" w:fill="FFFFFF" w:themeFill="background1"/>
          </w:tcPr>
          <w:p w14:paraId="4475B4F6" w14:textId="77777777" w:rsidR="00DF60E7" w:rsidRPr="002F5A77" w:rsidRDefault="00DF60E7" w:rsidP="00140420">
            <w:pPr>
              <w:spacing w:after="0" w:line="240" w:lineRule="auto"/>
              <w:rPr>
                <w:rFonts w:eastAsia="Calibri" w:cs="Times New Roman"/>
                <w:color w:val="auto"/>
                <w:sz w:val="20"/>
                <w:szCs w:val="20"/>
                <w:lang w:val="en-US"/>
              </w:rPr>
            </w:pPr>
            <w:r w:rsidRPr="002F5A77">
              <w:rPr>
                <w:rFonts w:eastAsia="Calibri" w:cs="Times New Roman"/>
                <w:color w:val="auto"/>
                <w:sz w:val="20"/>
                <w:szCs w:val="20"/>
              </w:rPr>
              <w:t>ΟΟΣΑ</w:t>
            </w:r>
            <w:r w:rsidRPr="002F5A77">
              <w:rPr>
                <w:rFonts w:eastAsia="Calibri" w:cs="Times New Roman"/>
                <w:color w:val="auto"/>
                <w:sz w:val="20"/>
                <w:szCs w:val="20"/>
                <w:vertAlign w:val="superscript"/>
                <w:lang w:val="en-US"/>
              </w:rPr>
              <w:t>6</w:t>
            </w:r>
          </w:p>
        </w:tc>
        <w:tc>
          <w:tcPr>
            <w:tcW w:w="2977" w:type="dxa"/>
            <w:tcBorders>
              <w:top w:val="single" w:sz="4" w:space="0" w:color="auto"/>
              <w:bottom w:val="single" w:sz="8" w:space="0" w:color="00B0F0"/>
            </w:tcBorders>
            <w:shd w:val="clear" w:color="auto" w:fill="FFFFFF" w:themeFill="background1"/>
          </w:tcPr>
          <w:p w14:paraId="72AC2B3D" w14:textId="77777777" w:rsidR="00DF60E7" w:rsidRPr="002F5A77" w:rsidRDefault="00DF60E7" w:rsidP="00140420">
            <w:pPr>
              <w:spacing w:after="0" w:line="240" w:lineRule="auto"/>
              <w:jc w:val="left"/>
              <w:rPr>
                <w:rFonts w:eastAsia="Calibri" w:cs="Times New Roman"/>
                <w:color w:val="auto"/>
                <w:sz w:val="20"/>
                <w:szCs w:val="20"/>
              </w:rPr>
            </w:pPr>
            <w:r>
              <w:rPr>
                <w:rFonts w:eastAsia="Calibri" w:cs="Times New Roman"/>
                <w:color w:val="auto"/>
                <w:sz w:val="20"/>
                <w:szCs w:val="20"/>
              </w:rPr>
              <w:t>Μάιος 2021</w:t>
            </w:r>
          </w:p>
        </w:tc>
        <w:tc>
          <w:tcPr>
            <w:tcW w:w="2244" w:type="dxa"/>
            <w:tcBorders>
              <w:top w:val="single" w:sz="4" w:space="0" w:color="auto"/>
              <w:bottom w:val="single" w:sz="8" w:space="0" w:color="00B0F0"/>
              <w:right w:val="single" w:sz="8" w:space="0" w:color="00B0F0"/>
            </w:tcBorders>
            <w:shd w:val="clear" w:color="auto" w:fill="FFFFFF" w:themeFill="background1"/>
          </w:tcPr>
          <w:p w14:paraId="5203B640" w14:textId="77777777" w:rsidR="00DF60E7" w:rsidRPr="00757B27" w:rsidRDefault="00DF60E7" w:rsidP="00140420">
            <w:pPr>
              <w:spacing w:after="0" w:line="240" w:lineRule="auto"/>
              <w:jc w:val="left"/>
              <w:rPr>
                <w:rFonts w:eastAsia="Calibri" w:cs="Times New Roman"/>
                <w:color w:val="auto"/>
                <w:sz w:val="16"/>
                <w:szCs w:val="20"/>
                <w:lang w:val="en-US"/>
              </w:rPr>
            </w:pPr>
            <w:r>
              <w:rPr>
                <w:rFonts w:eastAsia="Calibri" w:cs="Times New Roman"/>
                <w:color w:val="auto"/>
                <w:sz w:val="20"/>
                <w:szCs w:val="20"/>
                <w:lang w:val="en-US"/>
              </w:rPr>
              <w:t>5,</w:t>
            </w:r>
            <w:r>
              <w:rPr>
                <w:rFonts w:eastAsia="Calibri" w:cs="Times New Roman"/>
                <w:color w:val="auto"/>
                <w:sz w:val="20"/>
                <w:szCs w:val="20"/>
              </w:rPr>
              <w:t>0</w:t>
            </w:r>
            <w:r>
              <w:rPr>
                <w:rFonts w:eastAsia="Calibri" w:cs="Times New Roman"/>
                <w:color w:val="auto"/>
                <w:sz w:val="20"/>
                <w:szCs w:val="20"/>
                <w:lang w:val="en-US"/>
              </w:rPr>
              <w:t>%</w:t>
            </w:r>
            <w:r w:rsidRPr="00757B27">
              <w:rPr>
                <w:rFonts w:eastAsia="Calibri" w:cs="Times New Roman"/>
                <w:color w:val="auto"/>
                <w:sz w:val="20"/>
                <w:szCs w:val="20"/>
                <w:lang w:val="en-US"/>
              </w:rPr>
              <w:t xml:space="preserve"> </w:t>
            </w:r>
          </w:p>
        </w:tc>
      </w:tr>
      <w:tr w:rsidR="00DF60E7" w:rsidRPr="009450C0" w14:paraId="532B3542" w14:textId="77777777" w:rsidTr="00140420">
        <w:trPr>
          <w:trHeight w:val="301"/>
          <w:jc w:val="center"/>
        </w:trPr>
        <w:tc>
          <w:tcPr>
            <w:tcW w:w="3109" w:type="dxa"/>
            <w:tcBorders>
              <w:top w:val="single" w:sz="4" w:space="0" w:color="auto"/>
              <w:left w:val="single" w:sz="8" w:space="0" w:color="00B0F0"/>
              <w:bottom w:val="single" w:sz="8" w:space="0" w:color="00B0F0"/>
            </w:tcBorders>
            <w:shd w:val="clear" w:color="auto" w:fill="D9D9D9" w:themeFill="background1" w:themeFillShade="D9"/>
          </w:tcPr>
          <w:p w14:paraId="33453707" w14:textId="77777777" w:rsidR="00DF60E7" w:rsidRPr="002F5A77" w:rsidRDefault="00DF60E7" w:rsidP="00140420">
            <w:pPr>
              <w:spacing w:after="0" w:line="240" w:lineRule="auto"/>
              <w:rPr>
                <w:rFonts w:eastAsia="Calibri" w:cs="Times New Roman"/>
                <w:color w:val="auto"/>
                <w:sz w:val="20"/>
                <w:szCs w:val="20"/>
                <w:lang w:val="en-US"/>
              </w:rPr>
            </w:pPr>
            <w:r w:rsidRPr="002F5A77">
              <w:rPr>
                <w:rFonts w:eastAsia="Calibri" w:cs="Times New Roman"/>
                <w:color w:val="auto"/>
                <w:sz w:val="20"/>
                <w:szCs w:val="20"/>
              </w:rPr>
              <w:t>ΕΤΑκΑ</w:t>
            </w:r>
            <w:r w:rsidRPr="009450C0">
              <w:rPr>
                <w:rFonts w:eastAsia="Calibri" w:cs="Times New Roman"/>
                <w:color w:val="auto"/>
                <w:sz w:val="20"/>
                <w:szCs w:val="20"/>
                <w:vertAlign w:val="superscript"/>
                <w:lang w:val="en-US"/>
              </w:rPr>
              <w:t>7</w:t>
            </w:r>
          </w:p>
        </w:tc>
        <w:tc>
          <w:tcPr>
            <w:tcW w:w="2977" w:type="dxa"/>
            <w:tcBorders>
              <w:top w:val="single" w:sz="4" w:space="0" w:color="auto"/>
              <w:bottom w:val="single" w:sz="8" w:space="0" w:color="00B0F0"/>
            </w:tcBorders>
            <w:shd w:val="clear" w:color="auto" w:fill="D9D9D9" w:themeFill="background1" w:themeFillShade="D9"/>
          </w:tcPr>
          <w:p w14:paraId="015CE116" w14:textId="77777777" w:rsidR="00DF60E7" w:rsidRPr="009450C0" w:rsidRDefault="00DF60E7" w:rsidP="00140420">
            <w:pPr>
              <w:spacing w:after="0" w:line="240" w:lineRule="auto"/>
              <w:jc w:val="left"/>
              <w:rPr>
                <w:rFonts w:eastAsia="Calibri" w:cs="Times New Roman"/>
                <w:color w:val="auto"/>
                <w:sz w:val="20"/>
                <w:szCs w:val="20"/>
                <w:lang w:val="en-US"/>
              </w:rPr>
            </w:pPr>
            <w:r>
              <w:rPr>
                <w:rFonts w:eastAsia="Calibri" w:cs="Times New Roman"/>
                <w:color w:val="auto"/>
                <w:sz w:val="20"/>
                <w:szCs w:val="20"/>
              </w:rPr>
              <w:t>Νοέμβριος</w:t>
            </w:r>
            <w:r w:rsidRPr="009450C0">
              <w:rPr>
                <w:rFonts w:eastAsia="Calibri" w:cs="Times New Roman"/>
                <w:color w:val="auto"/>
                <w:sz w:val="20"/>
                <w:szCs w:val="20"/>
                <w:lang w:val="en-US"/>
              </w:rPr>
              <w:t xml:space="preserve"> 20</w:t>
            </w:r>
            <w:r>
              <w:rPr>
                <w:rFonts w:eastAsia="Calibri" w:cs="Times New Roman"/>
                <w:color w:val="auto"/>
                <w:sz w:val="20"/>
                <w:szCs w:val="20"/>
                <w:lang w:val="en-US"/>
              </w:rPr>
              <w:t>21</w:t>
            </w:r>
          </w:p>
        </w:tc>
        <w:tc>
          <w:tcPr>
            <w:tcW w:w="2244" w:type="dxa"/>
            <w:tcBorders>
              <w:top w:val="single" w:sz="4" w:space="0" w:color="auto"/>
              <w:bottom w:val="single" w:sz="8" w:space="0" w:color="00B0F0"/>
              <w:right w:val="single" w:sz="8" w:space="0" w:color="00B0F0"/>
            </w:tcBorders>
            <w:shd w:val="clear" w:color="auto" w:fill="D9D9D9" w:themeFill="background1" w:themeFillShade="D9"/>
          </w:tcPr>
          <w:p w14:paraId="6333BECA" w14:textId="77777777" w:rsidR="00DF60E7" w:rsidRPr="009450C0" w:rsidRDefault="00DF60E7" w:rsidP="00140420">
            <w:pPr>
              <w:spacing w:after="0" w:line="240" w:lineRule="auto"/>
              <w:jc w:val="left"/>
              <w:rPr>
                <w:rFonts w:eastAsia="Calibri" w:cs="Times New Roman"/>
                <w:color w:val="auto"/>
                <w:sz w:val="20"/>
                <w:szCs w:val="20"/>
                <w:lang w:val="en-US"/>
              </w:rPr>
            </w:pPr>
            <w:r>
              <w:rPr>
                <w:rFonts w:eastAsia="Calibri" w:cs="Times New Roman"/>
                <w:color w:val="auto"/>
                <w:sz w:val="20"/>
                <w:szCs w:val="20"/>
              </w:rPr>
              <w:t>3,9</w:t>
            </w:r>
            <w:r w:rsidRPr="009450C0">
              <w:rPr>
                <w:rFonts w:eastAsia="Calibri" w:cs="Times New Roman"/>
                <w:color w:val="auto"/>
                <w:sz w:val="20"/>
                <w:szCs w:val="20"/>
                <w:lang w:val="en-US"/>
              </w:rPr>
              <w:t>%</w:t>
            </w:r>
          </w:p>
        </w:tc>
      </w:tr>
    </w:tbl>
    <w:p w14:paraId="3BA6FD2B" w14:textId="77777777" w:rsidR="00DF60E7" w:rsidRDefault="00DF60E7" w:rsidP="00DF60E7">
      <w:pPr>
        <w:spacing w:after="0" w:line="240" w:lineRule="auto"/>
        <w:rPr>
          <w:color w:val="00B0F0"/>
          <w:sz w:val="16"/>
          <w:szCs w:val="16"/>
          <w:lang w:val="en-US"/>
        </w:rPr>
      </w:pPr>
      <w:r w:rsidRPr="002F5A77">
        <w:rPr>
          <w:rFonts w:eastAsia="Calibri" w:cs="Times New Roman"/>
          <w:b/>
          <w:color w:val="808080"/>
          <w:sz w:val="16"/>
          <w:szCs w:val="16"/>
        </w:rPr>
        <w:t>Πηγές</w:t>
      </w:r>
      <w:r w:rsidRPr="00232831">
        <w:rPr>
          <w:rFonts w:eastAsia="Calibri" w:cs="Times New Roman"/>
          <w:b/>
          <w:color w:val="808080"/>
          <w:sz w:val="16"/>
          <w:szCs w:val="16"/>
        </w:rPr>
        <w:t xml:space="preserve">:  </w:t>
      </w:r>
      <w:r w:rsidRPr="00232831">
        <w:rPr>
          <w:rFonts w:eastAsia="Calibri" w:cs="Calibri"/>
          <w:b/>
          <w:bCs/>
          <w:color w:val="00A3E0"/>
          <w:sz w:val="16"/>
          <w:szCs w:val="16"/>
        </w:rPr>
        <w:t xml:space="preserve">1) </w:t>
      </w:r>
      <w:r w:rsidRPr="002F5A77">
        <w:rPr>
          <w:rFonts w:eastAsia="Calibri" w:cs="Calibri"/>
          <w:color w:val="00A3E0"/>
          <w:sz w:val="16"/>
          <w:szCs w:val="16"/>
        </w:rPr>
        <w:t>Προσχέδιο</w:t>
      </w:r>
      <w:r w:rsidRPr="00232831">
        <w:rPr>
          <w:rFonts w:eastAsia="Calibri" w:cs="Calibri"/>
          <w:color w:val="00A3E0"/>
          <w:sz w:val="16"/>
          <w:szCs w:val="16"/>
        </w:rPr>
        <w:t xml:space="preserve"> </w:t>
      </w:r>
      <w:r w:rsidRPr="002F5A77">
        <w:rPr>
          <w:rFonts w:eastAsia="Calibri" w:cs="Calibri"/>
          <w:color w:val="00A3E0"/>
          <w:sz w:val="16"/>
          <w:szCs w:val="16"/>
        </w:rPr>
        <w:t>κρατικού</w:t>
      </w:r>
      <w:r w:rsidRPr="00232831">
        <w:rPr>
          <w:rFonts w:eastAsia="Calibri" w:cs="Calibri"/>
          <w:color w:val="00A3E0"/>
          <w:sz w:val="16"/>
          <w:szCs w:val="16"/>
        </w:rPr>
        <w:t xml:space="preserve"> </w:t>
      </w:r>
      <w:r w:rsidRPr="002F5A77">
        <w:rPr>
          <w:rFonts w:eastAsia="Calibri" w:cs="Calibri"/>
          <w:color w:val="00A3E0"/>
          <w:sz w:val="16"/>
          <w:szCs w:val="16"/>
        </w:rPr>
        <w:t>προϋπολογισμού 202</w:t>
      </w:r>
      <w:r>
        <w:rPr>
          <w:rFonts w:eastAsia="Calibri" w:cs="Calibri"/>
          <w:color w:val="00A3E0"/>
          <w:sz w:val="16"/>
          <w:szCs w:val="16"/>
        </w:rPr>
        <w:t>2, Υπουργείο Οικονομικών</w:t>
      </w:r>
      <w:r w:rsidRPr="002F5A77">
        <w:rPr>
          <w:rFonts w:eastAsia="Calibri" w:cs="Calibri"/>
          <w:color w:val="00A3E0"/>
          <w:sz w:val="16"/>
          <w:szCs w:val="16"/>
        </w:rPr>
        <w:t>, Οκτώβριος 20</w:t>
      </w:r>
      <w:r>
        <w:rPr>
          <w:rFonts w:eastAsia="Calibri" w:cs="Calibri"/>
          <w:color w:val="00A3E0"/>
          <w:sz w:val="16"/>
          <w:szCs w:val="16"/>
        </w:rPr>
        <w:t>21</w:t>
      </w:r>
      <w:r w:rsidRPr="002F5A77">
        <w:rPr>
          <w:rFonts w:eastAsia="Calibri" w:cs="Calibri"/>
          <w:color w:val="00A3E0"/>
          <w:sz w:val="16"/>
          <w:szCs w:val="16"/>
        </w:rPr>
        <w:t xml:space="preserve">. </w:t>
      </w:r>
      <w:r w:rsidRPr="002F5A77">
        <w:rPr>
          <w:rFonts w:eastAsia="Calibri" w:cs="Calibri"/>
          <w:b/>
          <w:bCs/>
          <w:color w:val="00A3E0"/>
          <w:sz w:val="16"/>
          <w:szCs w:val="16"/>
        </w:rPr>
        <w:t xml:space="preserve">2) </w:t>
      </w:r>
      <w:r w:rsidRPr="00FF0ED5">
        <w:rPr>
          <w:rFonts w:eastAsia="Calibri" w:cs="Calibri"/>
          <w:bCs/>
          <w:color w:val="00A3E0"/>
          <w:sz w:val="16"/>
          <w:szCs w:val="16"/>
        </w:rPr>
        <w:t>ΙΟΒΕ, «Η ελληνική οικονομία», Τριμηνιαία Έκθεση, Τεύχος 3/2021</w:t>
      </w:r>
      <w:r w:rsidRPr="002F5A77">
        <w:rPr>
          <w:rFonts w:eastAsia="Calibri" w:cs="Calibri"/>
          <w:bCs/>
          <w:color w:val="00A3E0"/>
          <w:sz w:val="16"/>
          <w:szCs w:val="16"/>
        </w:rPr>
        <w:t xml:space="preserve">. </w:t>
      </w:r>
      <w:r w:rsidRPr="005C341D">
        <w:rPr>
          <w:rFonts w:eastAsia="Calibri" w:cs="Calibri"/>
          <w:b/>
          <w:color w:val="00A3E0"/>
          <w:sz w:val="16"/>
          <w:szCs w:val="16"/>
        </w:rPr>
        <w:t>3)</w:t>
      </w:r>
      <w:r w:rsidRPr="005C341D">
        <w:rPr>
          <w:rFonts w:eastAsia="Calibri" w:cs="Calibri"/>
          <w:color w:val="00A3E0"/>
          <w:sz w:val="16"/>
          <w:szCs w:val="16"/>
        </w:rPr>
        <w:t xml:space="preserve"> </w:t>
      </w:r>
      <w:r w:rsidRPr="00FF0ED5">
        <w:rPr>
          <w:rFonts w:eastAsia="Calibri" w:cs="Calibri"/>
          <w:color w:val="00A3E0"/>
          <w:sz w:val="16"/>
          <w:szCs w:val="16"/>
        </w:rPr>
        <w:t>Τράπεζα</w:t>
      </w:r>
      <w:r w:rsidRPr="005C341D">
        <w:rPr>
          <w:rFonts w:eastAsia="Calibri" w:cs="Calibri"/>
          <w:color w:val="00A3E0"/>
          <w:sz w:val="16"/>
          <w:szCs w:val="16"/>
        </w:rPr>
        <w:t xml:space="preserve"> </w:t>
      </w:r>
      <w:r w:rsidRPr="00FF0ED5">
        <w:rPr>
          <w:rFonts w:eastAsia="Calibri" w:cs="Calibri"/>
          <w:color w:val="00A3E0"/>
          <w:sz w:val="16"/>
          <w:szCs w:val="16"/>
        </w:rPr>
        <w:t>της</w:t>
      </w:r>
      <w:r w:rsidRPr="005C341D">
        <w:rPr>
          <w:rFonts w:eastAsia="Calibri" w:cs="Calibri"/>
          <w:color w:val="00A3E0"/>
          <w:sz w:val="16"/>
          <w:szCs w:val="16"/>
        </w:rPr>
        <w:t xml:space="preserve"> </w:t>
      </w:r>
      <w:r w:rsidRPr="00FF0ED5">
        <w:rPr>
          <w:rFonts w:eastAsia="Calibri" w:cs="Calibri"/>
          <w:color w:val="00A3E0"/>
          <w:sz w:val="16"/>
          <w:szCs w:val="16"/>
        </w:rPr>
        <w:t>Ελλάδος</w:t>
      </w:r>
      <w:r w:rsidRPr="005C341D">
        <w:rPr>
          <w:rFonts w:eastAsia="Calibri" w:cs="Calibri"/>
          <w:color w:val="00A3E0"/>
          <w:sz w:val="16"/>
          <w:szCs w:val="16"/>
        </w:rPr>
        <w:t xml:space="preserve">, </w:t>
      </w:r>
      <w:r w:rsidRPr="00FF0ED5">
        <w:rPr>
          <w:rFonts w:eastAsia="Calibri" w:cs="Calibri"/>
          <w:color w:val="00A3E0"/>
          <w:sz w:val="16"/>
          <w:szCs w:val="16"/>
        </w:rPr>
        <w:t>Νομισματική</w:t>
      </w:r>
      <w:r w:rsidRPr="005C341D">
        <w:rPr>
          <w:rFonts w:eastAsia="Calibri" w:cs="Calibri"/>
          <w:color w:val="00A3E0"/>
          <w:sz w:val="16"/>
          <w:szCs w:val="16"/>
        </w:rPr>
        <w:t xml:space="preserve"> </w:t>
      </w:r>
      <w:r w:rsidRPr="00FF0ED5">
        <w:rPr>
          <w:rFonts w:eastAsia="Calibri" w:cs="Calibri"/>
          <w:color w:val="00A3E0"/>
          <w:sz w:val="16"/>
          <w:szCs w:val="16"/>
        </w:rPr>
        <w:t>Πολιτική</w:t>
      </w:r>
      <w:r w:rsidRPr="005C341D">
        <w:rPr>
          <w:rFonts w:eastAsia="Calibri" w:cs="Calibri"/>
          <w:color w:val="00A3E0"/>
          <w:sz w:val="16"/>
          <w:szCs w:val="16"/>
        </w:rPr>
        <w:t xml:space="preserve"> 2021-2022, </w:t>
      </w:r>
      <w:r w:rsidRPr="00FF0ED5">
        <w:rPr>
          <w:rFonts w:eastAsia="Calibri" w:cs="Calibri"/>
          <w:color w:val="00A3E0"/>
          <w:sz w:val="16"/>
          <w:szCs w:val="16"/>
        </w:rPr>
        <w:t>Ιούνιος</w:t>
      </w:r>
      <w:r w:rsidRPr="005C341D">
        <w:rPr>
          <w:rFonts w:eastAsia="Calibri" w:cs="Calibri"/>
          <w:color w:val="00A3E0"/>
          <w:sz w:val="16"/>
          <w:szCs w:val="16"/>
        </w:rPr>
        <w:t xml:space="preserve"> 2021. </w:t>
      </w:r>
      <w:r w:rsidRPr="002F5A77">
        <w:rPr>
          <w:rFonts w:eastAsia="Calibri" w:cs="Calibri"/>
          <w:b/>
          <w:color w:val="00A3E0"/>
          <w:sz w:val="16"/>
          <w:szCs w:val="16"/>
          <w:lang w:val="en-US"/>
        </w:rPr>
        <w:t>4</w:t>
      </w:r>
      <w:r w:rsidRPr="00BC1678">
        <w:rPr>
          <w:rFonts w:eastAsia="Calibri" w:cs="Calibri"/>
          <w:b/>
          <w:color w:val="00A3E0"/>
          <w:sz w:val="16"/>
          <w:szCs w:val="16"/>
          <w:lang w:val="en-US"/>
        </w:rPr>
        <w:t>)</w:t>
      </w:r>
      <w:r w:rsidRPr="00BC1678">
        <w:rPr>
          <w:rFonts w:eastAsia="Calibri" w:cs="Calibri"/>
          <w:color w:val="00A3E0"/>
          <w:sz w:val="16"/>
          <w:szCs w:val="16"/>
          <w:lang w:val="en-US"/>
        </w:rPr>
        <w:t xml:space="preserve"> European Commission, European Economic Forecast, Autumn 202</w:t>
      </w:r>
      <w:r w:rsidRPr="00FF0ED5">
        <w:rPr>
          <w:rFonts w:eastAsia="Calibri" w:cs="Calibri"/>
          <w:color w:val="00A3E0"/>
          <w:sz w:val="16"/>
          <w:szCs w:val="16"/>
          <w:lang w:val="en-US"/>
        </w:rPr>
        <w:t>1</w:t>
      </w:r>
      <w:r w:rsidRPr="00BC1678">
        <w:rPr>
          <w:rFonts w:eastAsia="Calibri" w:cs="Calibri"/>
          <w:color w:val="00A3E0"/>
          <w:sz w:val="16"/>
          <w:szCs w:val="16"/>
          <w:lang w:val="en-US"/>
        </w:rPr>
        <w:t xml:space="preserve">, </w:t>
      </w:r>
      <w:r w:rsidRPr="00BC1678">
        <w:rPr>
          <w:rFonts w:eastAsia="Calibri" w:cs="Calibri"/>
          <w:color w:val="00A3E0"/>
          <w:sz w:val="16"/>
          <w:szCs w:val="16"/>
        </w:rPr>
        <w:t>Νοέμβριος</w:t>
      </w:r>
      <w:r w:rsidRPr="00BC1678">
        <w:rPr>
          <w:rFonts w:eastAsia="Calibri" w:cs="Calibri"/>
          <w:color w:val="00A3E0"/>
          <w:sz w:val="16"/>
          <w:szCs w:val="16"/>
          <w:lang w:val="en-US"/>
        </w:rPr>
        <w:t xml:space="preserve"> 202</w:t>
      </w:r>
      <w:r w:rsidRPr="00FF0ED5">
        <w:rPr>
          <w:rFonts w:eastAsia="Calibri" w:cs="Calibri"/>
          <w:color w:val="00A3E0"/>
          <w:sz w:val="16"/>
          <w:szCs w:val="16"/>
          <w:lang w:val="en-US"/>
        </w:rPr>
        <w:t>1</w:t>
      </w:r>
      <w:r w:rsidRPr="00BC1678">
        <w:rPr>
          <w:rFonts w:eastAsia="Calibri" w:cs="Calibri"/>
          <w:color w:val="00A3E0"/>
          <w:sz w:val="16"/>
          <w:szCs w:val="16"/>
          <w:lang w:val="en-US"/>
        </w:rPr>
        <w:t xml:space="preserve">. </w:t>
      </w:r>
      <w:r w:rsidRPr="00BC1678">
        <w:rPr>
          <w:rFonts w:eastAsia="Calibri" w:cs="Calibri"/>
          <w:b/>
          <w:color w:val="00A3E0"/>
          <w:sz w:val="16"/>
          <w:szCs w:val="16"/>
          <w:lang w:val="en-US"/>
        </w:rPr>
        <w:t>5)</w:t>
      </w:r>
      <w:r w:rsidRPr="00BC1678">
        <w:rPr>
          <w:rFonts w:eastAsia="Calibri" w:cs="Calibri"/>
          <w:color w:val="00A3E0"/>
          <w:sz w:val="16"/>
          <w:szCs w:val="16"/>
          <w:lang w:val="en-US"/>
        </w:rPr>
        <w:t xml:space="preserve"> </w:t>
      </w:r>
      <w:r w:rsidRPr="00FF0ED5">
        <w:rPr>
          <w:rFonts w:eastAsia="Calibri" w:cs="Calibri"/>
          <w:color w:val="00A3E0"/>
          <w:sz w:val="16"/>
          <w:szCs w:val="16"/>
          <w:lang w:val="en-US"/>
        </w:rPr>
        <w:t>IMF, World Economic Outlook: Recovery during a pandemic, Οκτώβριος 2021</w:t>
      </w:r>
      <w:r w:rsidRPr="00BC1678">
        <w:rPr>
          <w:rFonts w:eastAsia="Calibri" w:cs="Calibri"/>
          <w:color w:val="00A3E0"/>
          <w:sz w:val="16"/>
          <w:szCs w:val="16"/>
          <w:lang w:val="en-US"/>
        </w:rPr>
        <w:t xml:space="preserve">. </w:t>
      </w:r>
      <w:r w:rsidRPr="00BC1678">
        <w:rPr>
          <w:rFonts w:eastAsia="Calibri" w:cs="Calibri"/>
          <w:b/>
          <w:color w:val="00A3E0"/>
          <w:sz w:val="16"/>
          <w:szCs w:val="16"/>
          <w:lang w:val="en-US"/>
        </w:rPr>
        <w:t>6)</w:t>
      </w:r>
      <w:r w:rsidRPr="00BC1678">
        <w:rPr>
          <w:rFonts w:eastAsia="Calibri" w:cs="Calibri"/>
          <w:color w:val="00A3E0"/>
          <w:sz w:val="16"/>
          <w:szCs w:val="16"/>
          <w:lang w:val="en-US"/>
        </w:rPr>
        <w:t xml:space="preserve"> </w:t>
      </w:r>
      <w:r w:rsidRPr="00FF0ED5">
        <w:rPr>
          <w:rFonts w:eastAsia="Calibri" w:cs="Calibri"/>
          <w:color w:val="00A3E0"/>
          <w:sz w:val="16"/>
          <w:szCs w:val="16"/>
          <w:lang w:val="en-US"/>
        </w:rPr>
        <w:t>OECD, “Economic Outlook No 109”, Μάϊος 2021</w:t>
      </w:r>
      <w:r w:rsidRPr="002F5A77">
        <w:rPr>
          <w:rFonts w:eastAsia="Calibri" w:cs="Calibri"/>
          <w:color w:val="00A3E0"/>
          <w:sz w:val="16"/>
          <w:szCs w:val="16"/>
          <w:lang w:val="en-US"/>
        </w:rPr>
        <w:t xml:space="preserve">. </w:t>
      </w:r>
      <w:r w:rsidRPr="002F5A77">
        <w:rPr>
          <w:rFonts w:eastAsia="Calibri" w:cs="Calibri"/>
          <w:b/>
          <w:color w:val="00A3E0"/>
          <w:sz w:val="16"/>
          <w:szCs w:val="16"/>
          <w:lang w:val="en-US"/>
        </w:rPr>
        <w:t>7)</w:t>
      </w:r>
      <w:r w:rsidRPr="002F5A77">
        <w:rPr>
          <w:rFonts w:eastAsia="Calibri" w:cs="Calibri"/>
          <w:color w:val="00A3E0"/>
          <w:sz w:val="16"/>
          <w:szCs w:val="16"/>
          <w:lang w:val="en-US"/>
        </w:rPr>
        <w:t xml:space="preserve"> </w:t>
      </w:r>
      <w:r w:rsidRPr="009F275B">
        <w:rPr>
          <w:color w:val="00B0F0"/>
          <w:sz w:val="16"/>
          <w:szCs w:val="16"/>
        </w:rPr>
        <w:t>Ευρωπαϊκή</w:t>
      </w:r>
      <w:r w:rsidRPr="00A75C02">
        <w:rPr>
          <w:color w:val="00B0F0"/>
          <w:sz w:val="16"/>
          <w:szCs w:val="16"/>
          <w:lang w:val="en-US"/>
        </w:rPr>
        <w:t xml:space="preserve"> </w:t>
      </w:r>
      <w:r w:rsidRPr="009F275B">
        <w:rPr>
          <w:color w:val="00B0F0"/>
          <w:sz w:val="16"/>
          <w:szCs w:val="16"/>
        </w:rPr>
        <w:t>Τράπεζα</w:t>
      </w:r>
      <w:r w:rsidRPr="00A75C02">
        <w:rPr>
          <w:color w:val="00B0F0"/>
          <w:sz w:val="16"/>
          <w:szCs w:val="16"/>
          <w:lang w:val="en-US"/>
        </w:rPr>
        <w:t xml:space="preserve"> </w:t>
      </w:r>
      <w:r w:rsidRPr="009F275B">
        <w:rPr>
          <w:color w:val="00B0F0"/>
          <w:sz w:val="16"/>
          <w:szCs w:val="16"/>
        </w:rPr>
        <w:t>Ανασυγκρότησης</w:t>
      </w:r>
      <w:r w:rsidRPr="00A75C02">
        <w:rPr>
          <w:color w:val="00B0F0"/>
          <w:sz w:val="16"/>
          <w:szCs w:val="16"/>
          <w:lang w:val="en-US"/>
        </w:rPr>
        <w:t xml:space="preserve"> </w:t>
      </w:r>
      <w:r w:rsidRPr="009F275B">
        <w:rPr>
          <w:color w:val="00B0F0"/>
          <w:sz w:val="16"/>
          <w:szCs w:val="16"/>
        </w:rPr>
        <w:t>και</w:t>
      </w:r>
      <w:r w:rsidRPr="00A75C02">
        <w:rPr>
          <w:color w:val="00B0F0"/>
          <w:sz w:val="16"/>
          <w:szCs w:val="16"/>
          <w:lang w:val="en-US"/>
        </w:rPr>
        <w:t xml:space="preserve"> </w:t>
      </w:r>
      <w:r w:rsidRPr="009F275B">
        <w:rPr>
          <w:color w:val="00B0F0"/>
          <w:sz w:val="16"/>
          <w:szCs w:val="16"/>
        </w:rPr>
        <w:t>Ανάπτυξης</w:t>
      </w:r>
      <w:r w:rsidRPr="00A75C02">
        <w:rPr>
          <w:color w:val="00B0F0"/>
          <w:sz w:val="16"/>
          <w:szCs w:val="16"/>
          <w:lang w:val="en-US"/>
        </w:rPr>
        <w:t xml:space="preserve">, </w:t>
      </w:r>
      <w:r w:rsidRPr="00054549">
        <w:rPr>
          <w:color w:val="00B0F0"/>
          <w:sz w:val="16"/>
          <w:szCs w:val="16"/>
          <w:lang w:val="en-US"/>
        </w:rPr>
        <w:t>Regional</w:t>
      </w:r>
      <w:r w:rsidRPr="00A75C02">
        <w:rPr>
          <w:color w:val="00B0F0"/>
          <w:sz w:val="16"/>
          <w:szCs w:val="16"/>
          <w:lang w:val="en-US"/>
        </w:rPr>
        <w:t xml:space="preserve"> </w:t>
      </w:r>
      <w:r w:rsidRPr="00054549">
        <w:rPr>
          <w:color w:val="00B0F0"/>
          <w:sz w:val="16"/>
          <w:szCs w:val="16"/>
          <w:lang w:val="en-US"/>
        </w:rPr>
        <w:t>Economic</w:t>
      </w:r>
      <w:r w:rsidRPr="00A75C02">
        <w:rPr>
          <w:color w:val="00B0F0"/>
          <w:sz w:val="16"/>
          <w:szCs w:val="16"/>
          <w:lang w:val="en-US"/>
        </w:rPr>
        <w:t xml:space="preserve"> </w:t>
      </w:r>
      <w:r w:rsidRPr="00054549">
        <w:rPr>
          <w:color w:val="00B0F0"/>
          <w:sz w:val="16"/>
          <w:szCs w:val="16"/>
          <w:lang w:val="en-US"/>
        </w:rPr>
        <w:t>Prospects</w:t>
      </w:r>
      <w:r w:rsidRPr="00A75C02">
        <w:rPr>
          <w:color w:val="00B0F0"/>
          <w:sz w:val="16"/>
          <w:szCs w:val="16"/>
          <w:lang w:val="en-US"/>
        </w:rPr>
        <w:t xml:space="preserve"> “Bittersweet  Recovery”, </w:t>
      </w:r>
      <w:r>
        <w:rPr>
          <w:color w:val="00B0F0"/>
          <w:sz w:val="16"/>
          <w:szCs w:val="16"/>
        </w:rPr>
        <w:t>Νοέμβριος</w:t>
      </w:r>
      <w:r w:rsidRPr="00A75C02">
        <w:rPr>
          <w:color w:val="00B0F0"/>
          <w:sz w:val="16"/>
          <w:szCs w:val="16"/>
          <w:lang w:val="en-US"/>
        </w:rPr>
        <w:t xml:space="preserve"> 2021</w:t>
      </w:r>
      <w:r w:rsidRPr="002F5A77">
        <w:rPr>
          <w:rFonts w:eastAsia="Calibri" w:cs="Calibri"/>
          <w:color w:val="00A3E0"/>
          <w:sz w:val="16"/>
          <w:szCs w:val="16"/>
          <w:lang w:val="en-US"/>
        </w:rPr>
        <w:t>.</w:t>
      </w:r>
      <w:r w:rsidRPr="00FF0ED5">
        <w:rPr>
          <w:color w:val="00B0F0"/>
          <w:sz w:val="16"/>
          <w:szCs w:val="16"/>
          <w:lang w:val="en-US"/>
        </w:rPr>
        <w:t xml:space="preserve"> </w:t>
      </w:r>
    </w:p>
    <w:p w14:paraId="104B2C72" w14:textId="77777777" w:rsidR="00DF60E7" w:rsidRDefault="00DF60E7" w:rsidP="00DF60E7">
      <w:pPr>
        <w:autoSpaceDE w:val="0"/>
        <w:autoSpaceDN w:val="0"/>
        <w:adjustRightInd w:val="0"/>
        <w:spacing w:after="0" w:line="240" w:lineRule="auto"/>
        <w:rPr>
          <w:rFonts w:eastAsia="Calibri" w:cs="Calibri"/>
          <w:color w:val="00A3E0"/>
          <w:sz w:val="16"/>
          <w:szCs w:val="16"/>
          <w:lang w:val="en-US"/>
        </w:rPr>
      </w:pPr>
    </w:p>
    <w:p w14:paraId="2EF4D261" w14:textId="77777777" w:rsidR="00DF60E7" w:rsidRDefault="00DF60E7" w:rsidP="00DF60E7">
      <w:pPr>
        <w:autoSpaceDE w:val="0"/>
        <w:autoSpaceDN w:val="0"/>
        <w:adjustRightInd w:val="0"/>
        <w:spacing w:after="0" w:line="240" w:lineRule="auto"/>
        <w:rPr>
          <w:rFonts w:eastAsia="Calibri" w:cs="Calibri"/>
          <w:color w:val="00A3E0"/>
          <w:sz w:val="16"/>
          <w:szCs w:val="16"/>
          <w:lang w:val="en-US"/>
        </w:rPr>
      </w:pPr>
    </w:p>
    <w:p w14:paraId="0137993A" w14:textId="77777777" w:rsidR="00DF60E7" w:rsidRDefault="00DF60E7" w:rsidP="00DF60E7">
      <w:pPr>
        <w:autoSpaceDE w:val="0"/>
        <w:autoSpaceDN w:val="0"/>
        <w:adjustRightInd w:val="0"/>
        <w:spacing w:after="0" w:line="240" w:lineRule="auto"/>
        <w:rPr>
          <w:rFonts w:eastAsia="Calibri" w:cs="Calibri"/>
          <w:color w:val="00A3E0"/>
          <w:sz w:val="16"/>
          <w:szCs w:val="16"/>
          <w:lang w:val="en-US"/>
        </w:rPr>
      </w:pPr>
    </w:p>
    <w:p w14:paraId="7268354A" w14:textId="769ECCDA" w:rsidR="00DF60E7" w:rsidRDefault="00DF60E7" w:rsidP="00DF60E7">
      <w:pPr>
        <w:shd w:val="clear" w:color="auto" w:fill="FFFFFF"/>
        <w:rPr>
          <w:rFonts w:eastAsia="Calibri" w:cs="Times New Roman"/>
          <w:color w:val="auto"/>
          <w:shd w:val="clear" w:color="auto" w:fill="FFFFFF"/>
        </w:rPr>
      </w:pPr>
      <w:r w:rsidRPr="00914254">
        <w:rPr>
          <w:rFonts w:eastAsia="Calibri" w:cs="Times New Roman"/>
          <w:color w:val="auto"/>
          <w:shd w:val="clear" w:color="auto" w:fill="FFFFFF"/>
        </w:rPr>
        <w:t>Σύμφωνα με το Υπουργείο Οικονομικών οι κύριοι πυλώνες της μεγέθυνσης για το 202</w:t>
      </w:r>
      <w:r>
        <w:rPr>
          <w:rFonts w:eastAsia="Calibri" w:cs="Times New Roman"/>
          <w:color w:val="auto"/>
          <w:shd w:val="clear" w:color="auto" w:fill="FFFFFF"/>
        </w:rPr>
        <w:t>2</w:t>
      </w:r>
      <w:r w:rsidRPr="00914254">
        <w:rPr>
          <w:rFonts w:eastAsia="Calibri" w:cs="Times New Roman"/>
          <w:color w:val="auto"/>
          <w:shd w:val="clear" w:color="auto" w:fill="FFFFFF"/>
        </w:rPr>
        <w:t xml:space="preserve"> αναμένεται να είναι η ιδιωτική κατανάλωση (+</w:t>
      </w:r>
      <w:r>
        <w:rPr>
          <w:rFonts w:eastAsia="Calibri" w:cs="Times New Roman"/>
          <w:color w:val="auto"/>
          <w:shd w:val="clear" w:color="auto" w:fill="FFFFFF"/>
        </w:rPr>
        <w:t>2</w:t>
      </w:r>
      <w:r w:rsidRPr="00914254">
        <w:rPr>
          <w:rFonts w:eastAsia="Calibri" w:cs="Times New Roman"/>
          <w:color w:val="auto"/>
          <w:shd w:val="clear" w:color="auto" w:fill="FFFFFF"/>
        </w:rPr>
        <w:t>,</w:t>
      </w:r>
      <w:r>
        <w:rPr>
          <w:rFonts w:eastAsia="Calibri" w:cs="Times New Roman"/>
          <w:color w:val="auto"/>
          <w:shd w:val="clear" w:color="auto" w:fill="FFFFFF"/>
        </w:rPr>
        <w:t>9</w:t>
      </w:r>
      <w:r w:rsidRPr="00914254">
        <w:rPr>
          <w:rFonts w:eastAsia="Calibri" w:cs="Times New Roman"/>
          <w:color w:val="auto"/>
          <w:shd w:val="clear" w:color="auto" w:fill="FFFFFF"/>
        </w:rPr>
        <w:t>%), λόγω του υψηλού ποσοστού συμμετοχής της στη διάρθρωση του ΑΕΠ (περίπου 70%), καθώς και οι επενδύσεις για τις οποίες προβλέπετα</w:t>
      </w:r>
      <w:r>
        <w:rPr>
          <w:rFonts w:eastAsia="Calibri" w:cs="Times New Roman"/>
          <w:color w:val="auto"/>
          <w:shd w:val="clear" w:color="auto" w:fill="FFFFFF"/>
        </w:rPr>
        <w:t>ι ισχυρή αύξηση της τάξης του +23</w:t>
      </w:r>
      <w:r w:rsidRPr="00914254">
        <w:rPr>
          <w:rFonts w:eastAsia="Calibri" w:cs="Times New Roman"/>
          <w:color w:val="auto"/>
          <w:shd w:val="clear" w:color="auto" w:fill="FFFFFF"/>
        </w:rPr>
        <w:t>,</w:t>
      </w:r>
      <w:r>
        <w:rPr>
          <w:rFonts w:eastAsia="Calibri" w:cs="Times New Roman"/>
          <w:color w:val="auto"/>
          <w:shd w:val="clear" w:color="auto" w:fill="FFFFFF"/>
        </w:rPr>
        <w:t>4</w:t>
      </w:r>
      <w:r w:rsidRPr="00914254">
        <w:rPr>
          <w:rFonts w:eastAsia="Calibri" w:cs="Times New Roman"/>
          <w:color w:val="auto"/>
          <w:shd w:val="clear" w:color="auto" w:fill="FFFFFF"/>
        </w:rPr>
        <w:t>% (</w:t>
      </w:r>
      <w:r w:rsidR="00E11634">
        <w:rPr>
          <w:rFonts w:eastAsia="Calibri" w:cs="Times New Roman"/>
          <w:color w:val="auto"/>
          <w:shd w:val="clear" w:color="auto" w:fill="FFFFFF"/>
        </w:rPr>
        <w:fldChar w:fldCharType="begin"/>
      </w:r>
      <w:r w:rsidR="00E11634">
        <w:rPr>
          <w:rFonts w:eastAsia="Calibri" w:cs="Times New Roman"/>
          <w:color w:val="auto"/>
          <w:shd w:val="clear" w:color="auto" w:fill="FFFFFF"/>
        </w:rPr>
        <w:instrText xml:space="preserve"> REF _Ref87899379 \h </w:instrText>
      </w:r>
      <w:r w:rsidR="00E11634">
        <w:rPr>
          <w:rFonts w:eastAsia="Calibri" w:cs="Times New Roman"/>
          <w:color w:val="auto"/>
          <w:shd w:val="clear" w:color="auto" w:fill="FFFFFF"/>
        </w:rPr>
      </w:r>
      <w:r w:rsidR="00E11634">
        <w:rPr>
          <w:rFonts w:eastAsia="Calibri" w:cs="Times New Roman"/>
          <w:color w:val="auto"/>
          <w:shd w:val="clear" w:color="auto" w:fill="FFFFFF"/>
        </w:rPr>
        <w:fldChar w:fldCharType="separate"/>
      </w:r>
      <w:r w:rsidR="0038196B" w:rsidRPr="002F5A77">
        <w:rPr>
          <w:b/>
          <w:sz w:val="20"/>
          <w:szCs w:val="20"/>
        </w:rPr>
        <w:t xml:space="preserve">Πίνακας </w:t>
      </w:r>
      <w:r w:rsidR="0038196B">
        <w:rPr>
          <w:b/>
          <w:noProof/>
          <w:sz w:val="20"/>
          <w:szCs w:val="20"/>
        </w:rPr>
        <w:t>5</w:t>
      </w:r>
      <w:r w:rsidR="00E11634">
        <w:rPr>
          <w:rFonts w:eastAsia="Calibri" w:cs="Times New Roman"/>
          <w:color w:val="auto"/>
          <w:shd w:val="clear" w:color="auto" w:fill="FFFFFF"/>
        </w:rPr>
        <w:fldChar w:fldCharType="end"/>
      </w:r>
      <w:r w:rsidRPr="00914254">
        <w:rPr>
          <w:rFonts w:eastAsia="Calibri" w:cs="Times New Roman"/>
          <w:color w:val="auto"/>
          <w:shd w:val="clear" w:color="auto" w:fill="FFFFFF"/>
        </w:rPr>
        <w:t>). Αναφορικά με την</w:t>
      </w:r>
      <w:r>
        <w:rPr>
          <w:rFonts w:eastAsia="Calibri" w:cs="Times New Roman"/>
          <w:color w:val="auto"/>
          <w:shd w:val="clear" w:color="auto" w:fill="FFFFFF"/>
        </w:rPr>
        <w:t xml:space="preserve"> αύξηση της</w:t>
      </w:r>
      <w:r w:rsidRPr="00914254">
        <w:rPr>
          <w:rFonts w:eastAsia="Calibri" w:cs="Times New Roman"/>
          <w:color w:val="auto"/>
          <w:shd w:val="clear" w:color="auto" w:fill="FFFFFF"/>
        </w:rPr>
        <w:t xml:space="preserve"> ιδιωτική</w:t>
      </w:r>
      <w:r>
        <w:rPr>
          <w:rFonts w:eastAsia="Calibri" w:cs="Times New Roman"/>
          <w:color w:val="auto"/>
          <w:shd w:val="clear" w:color="auto" w:fill="FFFFFF"/>
        </w:rPr>
        <w:t>ς</w:t>
      </w:r>
      <w:r w:rsidRPr="00914254">
        <w:rPr>
          <w:rFonts w:eastAsia="Calibri" w:cs="Times New Roman"/>
          <w:color w:val="auto"/>
          <w:shd w:val="clear" w:color="auto" w:fill="FFFFFF"/>
        </w:rPr>
        <w:t xml:space="preserve"> κατανάλωση</w:t>
      </w:r>
      <w:r>
        <w:rPr>
          <w:rFonts w:eastAsia="Calibri" w:cs="Times New Roman"/>
          <w:color w:val="auto"/>
          <w:shd w:val="clear" w:color="auto" w:fill="FFFFFF"/>
        </w:rPr>
        <w:t xml:space="preserve">ς, </w:t>
      </w:r>
      <w:r w:rsidRPr="00914254">
        <w:rPr>
          <w:rFonts w:eastAsia="Calibri" w:cs="Times New Roman"/>
          <w:color w:val="auto"/>
          <w:shd w:val="clear" w:color="auto" w:fill="FFFFFF"/>
        </w:rPr>
        <w:t xml:space="preserve">το </w:t>
      </w:r>
      <w:r>
        <w:rPr>
          <w:rFonts w:eastAsia="Calibri" w:cs="Times New Roman"/>
          <w:color w:val="auto"/>
          <w:shd w:val="clear" w:color="auto" w:fill="FFFFFF"/>
        </w:rPr>
        <w:t>Υπουργείο Οικονομικών</w:t>
      </w:r>
      <w:r w:rsidRPr="00914254">
        <w:rPr>
          <w:rFonts w:eastAsia="Calibri" w:cs="Times New Roman"/>
          <w:color w:val="auto"/>
          <w:shd w:val="clear" w:color="auto" w:fill="FFFFFF"/>
        </w:rPr>
        <w:t xml:space="preserve"> στηρίζει τις εκτιμήσεις </w:t>
      </w:r>
      <w:r w:rsidR="00770552">
        <w:rPr>
          <w:rFonts w:eastAsia="Calibri" w:cs="Times New Roman"/>
          <w:color w:val="auto"/>
          <w:shd w:val="clear" w:color="auto" w:fill="FFFFFF"/>
        </w:rPr>
        <w:t xml:space="preserve">του </w:t>
      </w:r>
      <w:r w:rsidRPr="00914254">
        <w:rPr>
          <w:rFonts w:eastAsia="Calibri" w:cs="Times New Roman"/>
          <w:color w:val="auto"/>
          <w:shd w:val="clear" w:color="auto" w:fill="FFFFFF"/>
        </w:rPr>
        <w:t>στην</w:t>
      </w:r>
      <w:r>
        <w:rPr>
          <w:rFonts w:eastAsia="Calibri" w:cs="Times New Roman"/>
          <w:color w:val="auto"/>
          <w:shd w:val="clear" w:color="auto" w:fill="FFFFFF"/>
        </w:rPr>
        <w:t xml:space="preserve"> εκτιμώμενη</w:t>
      </w:r>
      <w:r w:rsidRPr="00914254">
        <w:rPr>
          <w:rFonts w:eastAsia="Calibri" w:cs="Times New Roman"/>
          <w:color w:val="auto"/>
          <w:shd w:val="clear" w:color="auto" w:fill="FFFFFF"/>
        </w:rPr>
        <w:t xml:space="preserve"> </w:t>
      </w:r>
      <w:r>
        <w:rPr>
          <w:rFonts w:eastAsia="Calibri" w:cs="Times New Roman"/>
          <w:color w:val="auto"/>
          <w:shd w:val="clear" w:color="auto" w:fill="FFFFFF"/>
        </w:rPr>
        <w:t>πτώση της ανεργίας στο 14,3%, στην αποκλιμάκωση της πανδημίας, καθώς και</w:t>
      </w:r>
      <w:r w:rsidRPr="00784FD9">
        <w:t xml:space="preserve"> </w:t>
      </w:r>
      <w:r w:rsidR="00E11634">
        <w:rPr>
          <w:rFonts w:eastAsia="Calibri" w:cs="Times New Roman"/>
          <w:color w:val="auto"/>
          <w:shd w:val="clear" w:color="auto" w:fill="FFFFFF"/>
        </w:rPr>
        <w:t>στην</w:t>
      </w:r>
      <w:r>
        <w:rPr>
          <w:rFonts w:eastAsia="Calibri" w:cs="Times New Roman"/>
          <w:color w:val="auto"/>
          <w:shd w:val="clear" w:color="auto" w:fill="FFFFFF"/>
        </w:rPr>
        <w:t xml:space="preserve"> επίδρα</w:t>
      </w:r>
      <w:r w:rsidR="00E11634">
        <w:rPr>
          <w:rFonts w:eastAsia="Calibri" w:cs="Times New Roman"/>
          <w:color w:val="auto"/>
          <w:shd w:val="clear" w:color="auto" w:fill="FFFFFF"/>
        </w:rPr>
        <w:t>ση</w:t>
      </w:r>
      <w:r w:rsidRPr="00784FD9">
        <w:rPr>
          <w:rFonts w:eastAsia="Calibri" w:cs="Times New Roman"/>
          <w:color w:val="auto"/>
          <w:shd w:val="clear" w:color="auto" w:fill="FFFFFF"/>
        </w:rPr>
        <w:t xml:space="preserve"> της συμπιεσμένης εγχώριας ζήτησης που δεν είχε ικανοποιηθεί λόγω της πανδημίας</w:t>
      </w:r>
      <w:r>
        <w:rPr>
          <w:rFonts w:eastAsia="Calibri" w:cs="Times New Roman"/>
          <w:color w:val="auto"/>
          <w:shd w:val="clear" w:color="auto" w:fill="FFFFFF"/>
        </w:rPr>
        <w:t xml:space="preserve">. Όσον αφορά στις επενδύσεις, μείζονα ρόλο </w:t>
      </w:r>
      <w:r w:rsidRPr="00454E6C">
        <w:rPr>
          <w:rFonts w:eastAsia="Calibri" w:cs="Times New Roman"/>
          <w:color w:val="auto"/>
          <w:shd w:val="clear" w:color="auto" w:fill="FFFFFF"/>
        </w:rPr>
        <w:t xml:space="preserve">αναμένεται να παίξουν οι ευρωπαϊκοί </w:t>
      </w:r>
      <w:r w:rsidR="00E11634">
        <w:rPr>
          <w:rFonts w:eastAsia="Calibri" w:cs="Times New Roman"/>
          <w:color w:val="auto"/>
          <w:shd w:val="clear" w:color="auto" w:fill="FFFFFF"/>
        </w:rPr>
        <w:t>«</w:t>
      </w:r>
      <w:r w:rsidRPr="00454E6C">
        <w:rPr>
          <w:rFonts w:eastAsia="Calibri" w:cs="Times New Roman"/>
          <w:color w:val="auto"/>
          <w:shd w:val="clear" w:color="auto" w:fill="FFFFFF"/>
        </w:rPr>
        <w:t>πόροι</w:t>
      </w:r>
      <w:r w:rsidR="00E11634">
        <w:rPr>
          <w:rFonts w:eastAsia="Calibri" w:cs="Times New Roman"/>
          <w:color w:val="auto"/>
          <w:shd w:val="clear" w:color="auto" w:fill="FFFFFF"/>
        </w:rPr>
        <w:t>»</w:t>
      </w:r>
      <w:r w:rsidRPr="00454E6C">
        <w:rPr>
          <w:rFonts w:eastAsia="Calibri" w:cs="Times New Roman"/>
          <w:color w:val="auto"/>
          <w:shd w:val="clear" w:color="auto" w:fill="FFFFFF"/>
        </w:rPr>
        <w:t xml:space="preserve">, οι οποίοι θα χρηματοδοτήσουν </w:t>
      </w:r>
      <w:r>
        <w:rPr>
          <w:rFonts w:eastAsia="Calibri" w:cs="Times New Roman"/>
          <w:color w:val="auto"/>
          <w:shd w:val="clear" w:color="auto" w:fill="FFFFFF"/>
        </w:rPr>
        <w:t xml:space="preserve">και θα κινητοποιήσουν </w:t>
      </w:r>
      <w:r w:rsidRPr="00454E6C">
        <w:rPr>
          <w:rFonts w:eastAsia="Calibri" w:cs="Times New Roman"/>
          <w:color w:val="auto"/>
          <w:shd w:val="clear" w:color="auto" w:fill="FFFFFF"/>
        </w:rPr>
        <w:t xml:space="preserve">δημόσιες και ιδιωτικές επενδύσεις με κύριους στόχους την πράσινη </w:t>
      </w:r>
      <w:r>
        <w:rPr>
          <w:rFonts w:eastAsia="Calibri" w:cs="Times New Roman"/>
          <w:color w:val="auto"/>
          <w:shd w:val="clear" w:color="auto" w:fill="FFFFFF"/>
        </w:rPr>
        <w:t xml:space="preserve">ανάπτυξη </w:t>
      </w:r>
      <w:r w:rsidRPr="00454E6C">
        <w:rPr>
          <w:rFonts w:eastAsia="Calibri" w:cs="Times New Roman"/>
          <w:color w:val="auto"/>
          <w:shd w:val="clear" w:color="auto" w:fill="FFFFFF"/>
        </w:rPr>
        <w:t>και την ψηφιακή μετάβαση</w:t>
      </w:r>
      <w:r>
        <w:rPr>
          <w:rFonts w:eastAsia="Calibri" w:cs="Times New Roman"/>
          <w:color w:val="auto"/>
          <w:shd w:val="clear" w:color="auto" w:fill="FFFFFF"/>
        </w:rPr>
        <w:t xml:space="preserve"> </w:t>
      </w:r>
      <w:r w:rsidRPr="00454E6C">
        <w:rPr>
          <w:rFonts w:eastAsia="Calibri" w:cs="Times New Roman"/>
          <w:color w:val="auto"/>
          <w:shd w:val="clear" w:color="auto" w:fill="FFFFFF"/>
        </w:rPr>
        <w:t>της οικονομίας.</w:t>
      </w:r>
      <w:r w:rsidRPr="00914254">
        <w:rPr>
          <w:rFonts w:eastAsia="Calibri" w:cs="Times New Roman"/>
          <w:color w:val="auto"/>
          <w:shd w:val="clear" w:color="auto" w:fill="FFFFFF"/>
        </w:rPr>
        <w:t xml:space="preserve"> </w:t>
      </w:r>
    </w:p>
    <w:p w14:paraId="130D42A5" w14:textId="77777777" w:rsidR="009B400F" w:rsidRDefault="009B400F" w:rsidP="00DF60E7">
      <w:pPr>
        <w:shd w:val="clear" w:color="auto" w:fill="FFFFFF"/>
        <w:rPr>
          <w:rFonts w:eastAsia="Calibri" w:cs="Times New Roman"/>
          <w:color w:val="auto"/>
          <w:shd w:val="clear" w:color="auto" w:fill="FFFFFF"/>
        </w:rPr>
      </w:pPr>
    </w:p>
    <w:p w14:paraId="22D142E2" w14:textId="2D91D3CE" w:rsidR="00DF60E7" w:rsidRPr="00F41ED1" w:rsidRDefault="00DF60E7" w:rsidP="00DF60E7">
      <w:pPr>
        <w:spacing w:after="0" w:line="240" w:lineRule="auto"/>
        <w:ind w:left="1276" w:hanging="1276"/>
        <w:rPr>
          <w:rFonts w:eastAsia="Calibri" w:cs="Times New Roman"/>
          <w:i/>
          <w:color w:val="00A3E0"/>
          <w:sz w:val="20"/>
          <w:szCs w:val="20"/>
        </w:rPr>
      </w:pPr>
      <w:bookmarkStart w:id="104" w:name="_Ref87899379"/>
      <w:bookmarkStart w:id="105" w:name="_Toc89172850"/>
      <w:bookmarkStart w:id="106" w:name="_Toc464740949"/>
      <w:bookmarkStart w:id="107" w:name="_Toc514585707"/>
      <w:bookmarkStart w:id="108" w:name="_Toc515538907"/>
      <w:bookmarkStart w:id="109" w:name="_Toc25065295"/>
      <w:r w:rsidRPr="002F5A77">
        <w:rPr>
          <w:b/>
          <w:sz w:val="20"/>
          <w:szCs w:val="20"/>
        </w:rPr>
        <w:lastRenderedPageBreak/>
        <w:t xml:space="preserve">Πίνακας </w:t>
      </w:r>
      <w:r w:rsidRPr="002F5A77">
        <w:rPr>
          <w:b/>
          <w:i/>
          <w:sz w:val="20"/>
          <w:szCs w:val="20"/>
        </w:rPr>
        <w:fldChar w:fldCharType="begin"/>
      </w:r>
      <w:r w:rsidRPr="002F5A77">
        <w:rPr>
          <w:b/>
          <w:sz w:val="20"/>
          <w:szCs w:val="20"/>
        </w:rPr>
        <w:instrText xml:space="preserve"> SEQ Πίνακας \* ARABIC </w:instrText>
      </w:r>
      <w:r w:rsidRPr="002F5A77">
        <w:rPr>
          <w:b/>
          <w:i/>
          <w:sz w:val="20"/>
          <w:szCs w:val="20"/>
        </w:rPr>
        <w:fldChar w:fldCharType="separate"/>
      </w:r>
      <w:r w:rsidR="0038196B">
        <w:rPr>
          <w:b/>
          <w:noProof/>
          <w:sz w:val="20"/>
          <w:szCs w:val="20"/>
        </w:rPr>
        <w:t>5</w:t>
      </w:r>
      <w:r w:rsidRPr="002F5A77">
        <w:rPr>
          <w:b/>
          <w:i/>
          <w:sz w:val="20"/>
          <w:szCs w:val="20"/>
        </w:rPr>
        <w:fldChar w:fldCharType="end"/>
      </w:r>
      <w:bookmarkEnd w:id="104"/>
      <w:r w:rsidRPr="002F5A77">
        <w:rPr>
          <w:b/>
          <w:sz w:val="20"/>
          <w:szCs w:val="20"/>
        </w:rPr>
        <w:t>:</w:t>
      </w:r>
      <w:r w:rsidRPr="002F5A77">
        <w:rPr>
          <w:b/>
          <w:iCs/>
          <w:color w:val="00B0F0"/>
        </w:rPr>
        <w:t xml:space="preserve"> </w:t>
      </w:r>
      <w:r w:rsidRPr="009E221B">
        <w:rPr>
          <w:rFonts w:eastAsia="Calibri" w:cs="Times New Roman"/>
          <w:iCs/>
          <w:color w:val="00A3E0"/>
          <w:sz w:val="20"/>
          <w:szCs w:val="20"/>
        </w:rPr>
        <w:t>Προβλέψεις για ετήσια μεταβολή των συνιστωσών του ΑΕΠ σε σταθερές τιμές 201</w:t>
      </w:r>
      <w:r>
        <w:rPr>
          <w:rFonts w:eastAsia="Calibri" w:cs="Times New Roman"/>
          <w:iCs/>
          <w:color w:val="00A3E0"/>
          <w:sz w:val="20"/>
          <w:szCs w:val="20"/>
        </w:rPr>
        <w:t>5</w:t>
      </w:r>
      <w:bookmarkEnd w:id="105"/>
      <w:r w:rsidRPr="009E221B">
        <w:rPr>
          <w:rFonts w:eastAsia="Calibri" w:cs="Times New Roman"/>
          <w:iCs/>
          <w:color w:val="00A3E0"/>
          <w:sz w:val="20"/>
          <w:szCs w:val="20"/>
        </w:rPr>
        <w:t xml:space="preserve"> </w:t>
      </w:r>
      <w:bookmarkEnd w:id="106"/>
      <w:bookmarkEnd w:id="107"/>
      <w:bookmarkEnd w:id="108"/>
      <w:bookmarkEnd w:id="109"/>
    </w:p>
    <w:tbl>
      <w:tblPr>
        <w:tblW w:w="8292" w:type="dxa"/>
        <w:tblBorders>
          <w:top w:val="single" w:sz="24" w:space="0" w:color="676A6E"/>
          <w:bottom w:val="single" w:sz="24" w:space="0" w:color="676A6E"/>
        </w:tblBorders>
        <w:tblLook w:val="04A0" w:firstRow="1" w:lastRow="0" w:firstColumn="1" w:lastColumn="0" w:noHBand="0" w:noVBand="1"/>
      </w:tblPr>
      <w:tblGrid>
        <w:gridCol w:w="5497"/>
        <w:gridCol w:w="1439"/>
        <w:gridCol w:w="1356"/>
      </w:tblGrid>
      <w:tr w:rsidR="00DF60E7" w:rsidRPr="002F5A77" w14:paraId="119FFD50" w14:textId="77777777" w:rsidTr="00140420">
        <w:trPr>
          <w:trHeight w:val="326"/>
        </w:trPr>
        <w:tc>
          <w:tcPr>
            <w:tcW w:w="5497" w:type="dxa"/>
            <w:tcBorders>
              <w:top w:val="single" w:sz="8" w:space="0" w:color="00B0F0"/>
              <w:left w:val="single" w:sz="8" w:space="0" w:color="00B0F0"/>
              <w:bottom w:val="single" w:sz="4" w:space="0" w:color="auto"/>
            </w:tcBorders>
            <w:shd w:val="clear" w:color="auto" w:fill="BDD6EE" w:themeFill="accent1" w:themeFillTint="66"/>
            <w:noWrap/>
          </w:tcPr>
          <w:p w14:paraId="50FF9A43" w14:textId="77777777" w:rsidR="00DF60E7" w:rsidRPr="00E11634" w:rsidRDefault="00DF60E7" w:rsidP="00140420">
            <w:pPr>
              <w:spacing w:after="0" w:line="240" w:lineRule="auto"/>
              <w:rPr>
                <w:rFonts w:eastAsia="Calibri" w:cs="Times New Roman"/>
                <w:b/>
                <w:color w:val="auto"/>
                <w:sz w:val="20"/>
                <w:szCs w:val="20"/>
              </w:rPr>
            </w:pPr>
            <w:r w:rsidRPr="00E11634">
              <w:rPr>
                <w:rFonts w:eastAsia="Calibri" w:cs="Times New Roman"/>
                <w:b/>
                <w:color w:val="auto"/>
                <w:sz w:val="20"/>
                <w:szCs w:val="20"/>
              </w:rPr>
              <w:t>Συνιστώσες ΑΕΠ</w:t>
            </w:r>
          </w:p>
        </w:tc>
        <w:tc>
          <w:tcPr>
            <w:tcW w:w="1439" w:type="dxa"/>
            <w:tcBorders>
              <w:top w:val="single" w:sz="8" w:space="0" w:color="00B0F0"/>
              <w:bottom w:val="single" w:sz="4" w:space="0" w:color="auto"/>
              <w:right w:val="nil"/>
            </w:tcBorders>
            <w:shd w:val="clear" w:color="auto" w:fill="BDD6EE" w:themeFill="accent1" w:themeFillTint="66"/>
            <w:noWrap/>
          </w:tcPr>
          <w:p w14:paraId="78CDE516" w14:textId="77777777" w:rsidR="00DF60E7" w:rsidRPr="00E11634" w:rsidRDefault="00DF60E7" w:rsidP="00140420">
            <w:pPr>
              <w:spacing w:after="0" w:line="240" w:lineRule="auto"/>
              <w:jc w:val="center"/>
              <w:rPr>
                <w:rFonts w:eastAsia="Calibri" w:cs="Times New Roman"/>
                <w:b/>
                <w:i/>
                <w:color w:val="auto"/>
                <w:sz w:val="20"/>
                <w:szCs w:val="20"/>
                <w:lang w:val="en-US"/>
              </w:rPr>
            </w:pPr>
          </w:p>
        </w:tc>
        <w:tc>
          <w:tcPr>
            <w:tcW w:w="1356" w:type="dxa"/>
            <w:tcBorders>
              <w:top w:val="single" w:sz="8" w:space="0" w:color="00B0F0"/>
              <w:left w:val="nil"/>
              <w:bottom w:val="single" w:sz="4" w:space="0" w:color="auto"/>
              <w:right w:val="single" w:sz="8" w:space="0" w:color="00B0F0"/>
            </w:tcBorders>
            <w:shd w:val="clear" w:color="auto" w:fill="BDD6EE" w:themeFill="accent1" w:themeFillTint="66"/>
          </w:tcPr>
          <w:p w14:paraId="0DDA7AA6" w14:textId="77777777" w:rsidR="00DF60E7" w:rsidRPr="00E11634" w:rsidRDefault="00DF60E7" w:rsidP="00140420">
            <w:pPr>
              <w:spacing w:after="0" w:line="240" w:lineRule="auto"/>
              <w:jc w:val="center"/>
              <w:rPr>
                <w:rFonts w:eastAsia="Calibri" w:cs="Times New Roman"/>
                <w:b/>
                <w:i/>
                <w:color w:val="auto"/>
                <w:sz w:val="20"/>
                <w:szCs w:val="20"/>
                <w:lang w:val="en-US"/>
              </w:rPr>
            </w:pPr>
            <w:r w:rsidRPr="00E11634">
              <w:rPr>
                <w:rFonts w:eastAsia="Calibri" w:cs="Times New Roman"/>
                <w:b/>
                <w:i/>
                <w:color w:val="auto"/>
                <w:sz w:val="20"/>
                <w:szCs w:val="20"/>
              </w:rPr>
              <w:t>202</w:t>
            </w:r>
            <w:r w:rsidRPr="00E11634">
              <w:rPr>
                <w:rFonts w:eastAsia="Calibri" w:cs="Times New Roman"/>
                <w:b/>
                <w:i/>
                <w:color w:val="auto"/>
                <w:sz w:val="20"/>
                <w:szCs w:val="20"/>
                <w:lang w:val="en-US"/>
              </w:rPr>
              <w:t>2</w:t>
            </w:r>
          </w:p>
        </w:tc>
      </w:tr>
      <w:tr w:rsidR="00DF60E7" w:rsidRPr="002F5A77" w14:paraId="579A88D8" w14:textId="77777777" w:rsidTr="00140420">
        <w:trPr>
          <w:trHeight w:val="326"/>
        </w:trPr>
        <w:tc>
          <w:tcPr>
            <w:tcW w:w="5497" w:type="dxa"/>
            <w:tcBorders>
              <w:top w:val="single" w:sz="4" w:space="0" w:color="auto"/>
              <w:left w:val="single" w:sz="8" w:space="0" w:color="00B0F0"/>
              <w:bottom w:val="single" w:sz="4" w:space="0" w:color="auto"/>
            </w:tcBorders>
            <w:shd w:val="clear" w:color="auto" w:fill="F2F2F2" w:themeFill="background1" w:themeFillShade="F2"/>
            <w:noWrap/>
          </w:tcPr>
          <w:p w14:paraId="41C592B8" w14:textId="77777777" w:rsidR="00DF60E7" w:rsidRPr="00E11634" w:rsidRDefault="00DF60E7" w:rsidP="00140420">
            <w:pPr>
              <w:spacing w:after="0" w:line="240" w:lineRule="auto"/>
              <w:rPr>
                <w:rFonts w:eastAsia="Calibri" w:cs="Times New Roman"/>
                <w:b/>
                <w:color w:val="auto"/>
                <w:sz w:val="20"/>
                <w:szCs w:val="20"/>
              </w:rPr>
            </w:pPr>
            <w:r w:rsidRPr="00E11634">
              <w:rPr>
                <w:rFonts w:eastAsia="Calibri" w:cs="Times New Roman"/>
                <w:b/>
                <w:color w:val="auto"/>
                <w:sz w:val="20"/>
                <w:szCs w:val="20"/>
              </w:rPr>
              <w:t xml:space="preserve">Ιδιωτική κατανάλωση  </w:t>
            </w:r>
          </w:p>
        </w:tc>
        <w:tc>
          <w:tcPr>
            <w:tcW w:w="1439" w:type="dxa"/>
            <w:tcBorders>
              <w:top w:val="single" w:sz="4" w:space="0" w:color="auto"/>
              <w:bottom w:val="single" w:sz="4" w:space="0" w:color="auto"/>
              <w:right w:val="nil"/>
            </w:tcBorders>
            <w:shd w:val="clear" w:color="auto" w:fill="F2F2F2" w:themeFill="background1" w:themeFillShade="F2"/>
            <w:noWrap/>
          </w:tcPr>
          <w:p w14:paraId="539A8093" w14:textId="77777777" w:rsidR="00DF60E7" w:rsidRPr="00E11634" w:rsidRDefault="00DF60E7" w:rsidP="00140420">
            <w:pPr>
              <w:spacing w:after="0" w:line="240" w:lineRule="auto"/>
              <w:jc w:val="center"/>
              <w:rPr>
                <w:rFonts w:eastAsia="Calibri" w:cs="Times New Roman"/>
                <w:i/>
                <w:color w:val="auto"/>
                <w:sz w:val="20"/>
                <w:szCs w:val="20"/>
              </w:rPr>
            </w:pPr>
          </w:p>
        </w:tc>
        <w:tc>
          <w:tcPr>
            <w:tcW w:w="1356" w:type="dxa"/>
            <w:tcBorders>
              <w:top w:val="single" w:sz="4" w:space="0" w:color="auto"/>
              <w:left w:val="nil"/>
              <w:bottom w:val="single" w:sz="4" w:space="0" w:color="auto"/>
              <w:right w:val="single" w:sz="8" w:space="0" w:color="00B0F0"/>
            </w:tcBorders>
            <w:shd w:val="clear" w:color="auto" w:fill="F2F2F2" w:themeFill="background1" w:themeFillShade="F2"/>
          </w:tcPr>
          <w:p w14:paraId="6943582C" w14:textId="77777777" w:rsidR="00DF60E7" w:rsidRPr="00E11634" w:rsidRDefault="00DF60E7" w:rsidP="00140420">
            <w:pPr>
              <w:spacing w:after="0" w:line="240" w:lineRule="auto"/>
              <w:jc w:val="center"/>
              <w:rPr>
                <w:rFonts w:eastAsia="Calibri" w:cs="Times New Roman"/>
                <w:i/>
                <w:color w:val="auto"/>
                <w:sz w:val="20"/>
                <w:szCs w:val="20"/>
              </w:rPr>
            </w:pPr>
          </w:p>
        </w:tc>
      </w:tr>
      <w:tr w:rsidR="00DF60E7" w:rsidRPr="002F5A77" w14:paraId="69F4E3B9" w14:textId="77777777" w:rsidTr="00140420">
        <w:trPr>
          <w:trHeight w:val="326"/>
        </w:trPr>
        <w:tc>
          <w:tcPr>
            <w:tcW w:w="5497" w:type="dxa"/>
            <w:tcBorders>
              <w:top w:val="single" w:sz="4" w:space="0" w:color="auto"/>
              <w:left w:val="single" w:sz="8" w:space="0" w:color="00B0F0"/>
              <w:bottom w:val="single" w:sz="4" w:space="0" w:color="auto"/>
            </w:tcBorders>
            <w:shd w:val="clear" w:color="auto" w:fill="auto"/>
            <w:noWrap/>
          </w:tcPr>
          <w:p w14:paraId="5E809FC8" w14:textId="77777777" w:rsidR="00DF60E7" w:rsidRPr="00E11634" w:rsidRDefault="00DF60E7" w:rsidP="00140420">
            <w:pPr>
              <w:spacing w:after="0" w:line="240" w:lineRule="auto"/>
              <w:rPr>
                <w:rFonts w:eastAsia="Calibri" w:cs="Times New Roman"/>
                <w:color w:val="auto"/>
                <w:sz w:val="20"/>
                <w:szCs w:val="20"/>
              </w:rPr>
            </w:pPr>
            <w:r w:rsidRPr="00E11634">
              <w:rPr>
                <w:rFonts w:eastAsia="Calibri" w:cs="Times New Roman"/>
                <w:color w:val="auto"/>
                <w:sz w:val="20"/>
                <w:szCs w:val="20"/>
              </w:rPr>
              <w:t>Υπ. Οικονομικών</w:t>
            </w:r>
            <w:r w:rsidRPr="00E11634">
              <w:rPr>
                <w:rFonts w:eastAsia="Calibri" w:cs="Times New Roman"/>
                <w:color w:val="auto"/>
                <w:sz w:val="20"/>
                <w:szCs w:val="20"/>
                <w:vertAlign w:val="superscript"/>
              </w:rPr>
              <w:t>1</w:t>
            </w:r>
            <w:r w:rsidRPr="00E11634">
              <w:rPr>
                <w:rFonts w:eastAsia="Calibri" w:cs="Times New Roman"/>
                <w:b/>
                <w:color w:val="auto"/>
                <w:sz w:val="20"/>
                <w:szCs w:val="20"/>
                <w:vertAlign w:val="superscript"/>
              </w:rPr>
              <w:t xml:space="preserve"> </w:t>
            </w:r>
            <w:r w:rsidRPr="00E11634">
              <w:rPr>
                <w:rFonts w:eastAsia="Calibri" w:cs="Times New Roman"/>
                <w:color w:val="auto"/>
                <w:sz w:val="20"/>
                <w:szCs w:val="20"/>
              </w:rPr>
              <w:t>(Οκτώβριος 20</w:t>
            </w:r>
            <w:r w:rsidRPr="00E11634">
              <w:rPr>
                <w:rFonts w:eastAsia="Calibri" w:cs="Times New Roman"/>
                <w:color w:val="auto"/>
                <w:sz w:val="20"/>
                <w:szCs w:val="20"/>
                <w:lang w:val="en-US"/>
              </w:rPr>
              <w:t>2</w:t>
            </w:r>
            <w:r w:rsidRPr="00E11634">
              <w:rPr>
                <w:rFonts w:eastAsia="Calibri" w:cs="Times New Roman"/>
                <w:color w:val="auto"/>
                <w:sz w:val="20"/>
                <w:szCs w:val="20"/>
              </w:rPr>
              <w:t>1)</w:t>
            </w:r>
          </w:p>
        </w:tc>
        <w:tc>
          <w:tcPr>
            <w:tcW w:w="1439" w:type="dxa"/>
            <w:tcBorders>
              <w:top w:val="single" w:sz="4" w:space="0" w:color="auto"/>
              <w:bottom w:val="single" w:sz="4" w:space="0" w:color="auto"/>
              <w:right w:val="nil"/>
            </w:tcBorders>
            <w:shd w:val="clear" w:color="auto" w:fill="auto"/>
            <w:noWrap/>
          </w:tcPr>
          <w:p w14:paraId="077EA948" w14:textId="77777777" w:rsidR="00DF60E7" w:rsidRPr="00E11634" w:rsidRDefault="00DF60E7" w:rsidP="00140420">
            <w:pPr>
              <w:spacing w:after="0" w:line="240" w:lineRule="auto"/>
              <w:jc w:val="center"/>
              <w:rPr>
                <w:rFonts w:eastAsia="Calibri" w:cs="Times New Roman"/>
                <w:i/>
                <w:color w:val="auto"/>
                <w:sz w:val="20"/>
                <w:szCs w:val="20"/>
              </w:rPr>
            </w:pPr>
          </w:p>
        </w:tc>
        <w:tc>
          <w:tcPr>
            <w:tcW w:w="1356" w:type="dxa"/>
            <w:tcBorders>
              <w:top w:val="single" w:sz="4" w:space="0" w:color="auto"/>
              <w:left w:val="nil"/>
              <w:bottom w:val="single" w:sz="4" w:space="0" w:color="auto"/>
              <w:right w:val="single" w:sz="8" w:space="0" w:color="00B0F0"/>
            </w:tcBorders>
          </w:tcPr>
          <w:p w14:paraId="2130D8AB" w14:textId="77777777" w:rsidR="00DF60E7" w:rsidRPr="00E11634" w:rsidRDefault="00DF60E7" w:rsidP="00140420">
            <w:pPr>
              <w:spacing w:after="0" w:line="240" w:lineRule="auto"/>
              <w:jc w:val="center"/>
              <w:rPr>
                <w:rFonts w:eastAsia="Calibri" w:cs="Times New Roman"/>
                <w:i/>
                <w:color w:val="auto"/>
                <w:sz w:val="20"/>
                <w:szCs w:val="20"/>
              </w:rPr>
            </w:pPr>
            <w:r w:rsidRPr="00E11634">
              <w:rPr>
                <w:rFonts w:eastAsia="Calibri" w:cs="Times New Roman"/>
                <w:i/>
                <w:color w:val="auto"/>
                <w:sz w:val="20"/>
                <w:szCs w:val="20"/>
              </w:rPr>
              <w:t>2,9%</w:t>
            </w:r>
          </w:p>
        </w:tc>
      </w:tr>
      <w:tr w:rsidR="00DF60E7" w:rsidRPr="002F5A77" w14:paraId="0D0ADA4C" w14:textId="77777777" w:rsidTr="00140420">
        <w:trPr>
          <w:trHeight w:val="326"/>
        </w:trPr>
        <w:tc>
          <w:tcPr>
            <w:tcW w:w="5497" w:type="dxa"/>
            <w:tcBorders>
              <w:top w:val="single" w:sz="4" w:space="0" w:color="auto"/>
              <w:left w:val="single" w:sz="8" w:space="0" w:color="00B0F0"/>
              <w:bottom w:val="single" w:sz="4" w:space="0" w:color="auto"/>
            </w:tcBorders>
            <w:shd w:val="clear" w:color="auto" w:fill="auto"/>
            <w:noWrap/>
          </w:tcPr>
          <w:p w14:paraId="72D1149C" w14:textId="77777777" w:rsidR="00DF60E7" w:rsidRPr="00E11634" w:rsidRDefault="00DF60E7" w:rsidP="00140420">
            <w:pPr>
              <w:spacing w:after="0" w:line="240" w:lineRule="auto"/>
              <w:rPr>
                <w:rFonts w:eastAsia="Calibri" w:cs="Times New Roman"/>
                <w:color w:val="auto"/>
                <w:sz w:val="20"/>
                <w:szCs w:val="20"/>
              </w:rPr>
            </w:pPr>
            <w:r w:rsidRPr="00E11634">
              <w:rPr>
                <w:rFonts w:eastAsia="Calibri" w:cs="Times New Roman"/>
                <w:color w:val="auto"/>
                <w:sz w:val="20"/>
                <w:szCs w:val="20"/>
              </w:rPr>
              <w:t>Ευρωπαϊκή Επιτροπή</w:t>
            </w:r>
            <w:r w:rsidRPr="00E11634">
              <w:rPr>
                <w:rFonts w:eastAsia="Calibri" w:cs="Times New Roman"/>
                <w:color w:val="auto"/>
                <w:sz w:val="20"/>
                <w:szCs w:val="20"/>
                <w:vertAlign w:val="superscript"/>
              </w:rPr>
              <w:t>2</w:t>
            </w:r>
            <w:r w:rsidRPr="00E11634">
              <w:rPr>
                <w:rFonts w:eastAsia="Calibri" w:cs="Times New Roman"/>
                <w:b/>
                <w:color w:val="auto"/>
                <w:sz w:val="20"/>
                <w:szCs w:val="20"/>
                <w:vertAlign w:val="superscript"/>
              </w:rPr>
              <w:t xml:space="preserve"> </w:t>
            </w:r>
            <w:r w:rsidRPr="00E11634">
              <w:rPr>
                <w:rFonts w:eastAsia="Calibri" w:cs="Times New Roman"/>
                <w:color w:val="auto"/>
                <w:sz w:val="20"/>
                <w:szCs w:val="20"/>
              </w:rPr>
              <w:t>(Νοέμβριος 2021)</w:t>
            </w:r>
          </w:p>
        </w:tc>
        <w:tc>
          <w:tcPr>
            <w:tcW w:w="1439" w:type="dxa"/>
            <w:tcBorders>
              <w:top w:val="single" w:sz="4" w:space="0" w:color="auto"/>
              <w:bottom w:val="single" w:sz="4" w:space="0" w:color="auto"/>
              <w:right w:val="nil"/>
            </w:tcBorders>
            <w:shd w:val="clear" w:color="auto" w:fill="auto"/>
            <w:noWrap/>
          </w:tcPr>
          <w:p w14:paraId="5A108DCC" w14:textId="77777777" w:rsidR="00DF60E7" w:rsidRPr="00E11634" w:rsidRDefault="00DF60E7" w:rsidP="00140420">
            <w:pPr>
              <w:spacing w:after="0" w:line="240" w:lineRule="auto"/>
              <w:jc w:val="center"/>
              <w:rPr>
                <w:rFonts w:eastAsia="Calibri" w:cs="Times New Roman"/>
                <w:i/>
                <w:color w:val="auto"/>
                <w:sz w:val="20"/>
                <w:szCs w:val="20"/>
              </w:rPr>
            </w:pPr>
          </w:p>
        </w:tc>
        <w:tc>
          <w:tcPr>
            <w:tcW w:w="1356" w:type="dxa"/>
            <w:tcBorders>
              <w:top w:val="single" w:sz="4" w:space="0" w:color="auto"/>
              <w:left w:val="nil"/>
              <w:bottom w:val="single" w:sz="4" w:space="0" w:color="auto"/>
              <w:right w:val="single" w:sz="8" w:space="0" w:color="00B0F0"/>
            </w:tcBorders>
          </w:tcPr>
          <w:p w14:paraId="481C9EF4" w14:textId="77777777" w:rsidR="00DF60E7" w:rsidRPr="00E11634" w:rsidRDefault="00DF60E7" w:rsidP="00140420">
            <w:pPr>
              <w:spacing w:after="0" w:line="240" w:lineRule="auto"/>
              <w:jc w:val="center"/>
              <w:rPr>
                <w:rFonts w:eastAsia="Calibri" w:cs="Times New Roman"/>
                <w:i/>
                <w:color w:val="auto"/>
                <w:sz w:val="20"/>
                <w:szCs w:val="20"/>
              </w:rPr>
            </w:pPr>
            <w:r w:rsidRPr="00E11634">
              <w:rPr>
                <w:rFonts w:eastAsia="Calibri" w:cs="Times New Roman"/>
                <w:i/>
                <w:color w:val="auto"/>
                <w:sz w:val="20"/>
                <w:szCs w:val="20"/>
              </w:rPr>
              <w:t>2,5%</w:t>
            </w:r>
          </w:p>
        </w:tc>
      </w:tr>
      <w:tr w:rsidR="00DF60E7" w:rsidRPr="002F5A77" w14:paraId="59383587" w14:textId="77777777" w:rsidTr="00140420">
        <w:trPr>
          <w:trHeight w:val="326"/>
        </w:trPr>
        <w:tc>
          <w:tcPr>
            <w:tcW w:w="5497" w:type="dxa"/>
            <w:tcBorders>
              <w:top w:val="single" w:sz="4" w:space="0" w:color="auto"/>
              <w:left w:val="single" w:sz="8" w:space="0" w:color="00B0F0"/>
              <w:bottom w:val="single" w:sz="4" w:space="0" w:color="auto"/>
            </w:tcBorders>
            <w:shd w:val="clear" w:color="auto" w:fill="auto"/>
            <w:noWrap/>
          </w:tcPr>
          <w:p w14:paraId="74655F69" w14:textId="77777777" w:rsidR="00DF60E7" w:rsidRPr="00E11634" w:rsidRDefault="00DF60E7" w:rsidP="00140420">
            <w:pPr>
              <w:spacing w:after="0" w:line="240" w:lineRule="auto"/>
              <w:rPr>
                <w:rFonts w:eastAsia="Calibri" w:cs="Times New Roman"/>
                <w:color w:val="auto"/>
                <w:sz w:val="20"/>
                <w:szCs w:val="20"/>
                <w:lang w:val="en-US"/>
              </w:rPr>
            </w:pPr>
            <w:r w:rsidRPr="00E11634">
              <w:rPr>
                <w:rFonts w:eastAsia="Calibri" w:cs="Times New Roman"/>
                <w:color w:val="auto"/>
                <w:sz w:val="20"/>
                <w:szCs w:val="20"/>
              </w:rPr>
              <w:t>ΟΟΣΑ</w:t>
            </w:r>
            <w:r w:rsidRPr="00E11634">
              <w:rPr>
                <w:rFonts w:eastAsia="Calibri" w:cs="Times New Roman"/>
                <w:color w:val="auto"/>
                <w:sz w:val="20"/>
                <w:szCs w:val="20"/>
                <w:vertAlign w:val="superscript"/>
                <w:lang w:val="en-US"/>
              </w:rPr>
              <w:t xml:space="preserve">3 </w:t>
            </w:r>
            <w:r w:rsidRPr="00E11634">
              <w:rPr>
                <w:rFonts w:eastAsia="Calibri" w:cs="Times New Roman"/>
                <w:color w:val="auto"/>
                <w:sz w:val="20"/>
                <w:szCs w:val="20"/>
                <w:lang w:val="en-US"/>
              </w:rPr>
              <w:t>(</w:t>
            </w:r>
            <w:r w:rsidRPr="00E11634">
              <w:rPr>
                <w:rFonts w:eastAsia="Calibri" w:cs="Times New Roman"/>
                <w:color w:val="auto"/>
                <w:sz w:val="20"/>
                <w:szCs w:val="20"/>
              </w:rPr>
              <w:t xml:space="preserve">Μάϊος </w:t>
            </w:r>
            <w:r w:rsidRPr="00E11634">
              <w:rPr>
                <w:rFonts w:eastAsia="Calibri" w:cs="Times New Roman"/>
                <w:color w:val="auto"/>
                <w:sz w:val="20"/>
                <w:szCs w:val="20"/>
                <w:lang w:val="en-US"/>
              </w:rPr>
              <w:t xml:space="preserve">2021) </w:t>
            </w:r>
          </w:p>
        </w:tc>
        <w:tc>
          <w:tcPr>
            <w:tcW w:w="1439" w:type="dxa"/>
            <w:tcBorders>
              <w:top w:val="single" w:sz="4" w:space="0" w:color="auto"/>
              <w:bottom w:val="single" w:sz="4" w:space="0" w:color="auto"/>
              <w:right w:val="nil"/>
            </w:tcBorders>
            <w:shd w:val="clear" w:color="auto" w:fill="auto"/>
            <w:noWrap/>
          </w:tcPr>
          <w:p w14:paraId="700A3C1F" w14:textId="77777777" w:rsidR="00DF60E7" w:rsidRPr="00E11634" w:rsidRDefault="00DF60E7" w:rsidP="00140420">
            <w:pPr>
              <w:spacing w:after="0" w:line="240" w:lineRule="auto"/>
              <w:jc w:val="center"/>
              <w:rPr>
                <w:rFonts w:eastAsia="Calibri" w:cs="Times New Roman"/>
                <w:i/>
                <w:color w:val="auto"/>
                <w:sz w:val="20"/>
                <w:szCs w:val="20"/>
              </w:rPr>
            </w:pPr>
          </w:p>
        </w:tc>
        <w:tc>
          <w:tcPr>
            <w:tcW w:w="1356" w:type="dxa"/>
            <w:tcBorders>
              <w:top w:val="single" w:sz="4" w:space="0" w:color="auto"/>
              <w:left w:val="nil"/>
              <w:bottom w:val="single" w:sz="4" w:space="0" w:color="auto"/>
              <w:right w:val="single" w:sz="8" w:space="0" w:color="00B0F0"/>
            </w:tcBorders>
          </w:tcPr>
          <w:p w14:paraId="53B17090" w14:textId="77777777" w:rsidR="00DF60E7" w:rsidRPr="00E11634" w:rsidRDefault="00DF60E7" w:rsidP="00140420">
            <w:pPr>
              <w:spacing w:after="0" w:line="240" w:lineRule="auto"/>
              <w:jc w:val="center"/>
              <w:rPr>
                <w:rFonts w:eastAsia="Calibri" w:cs="Times New Roman"/>
                <w:i/>
                <w:color w:val="auto"/>
                <w:sz w:val="20"/>
                <w:szCs w:val="20"/>
              </w:rPr>
            </w:pPr>
            <w:r w:rsidRPr="00E11634">
              <w:rPr>
                <w:rFonts w:eastAsia="Calibri" w:cs="Times New Roman"/>
                <w:i/>
                <w:color w:val="auto"/>
                <w:sz w:val="20"/>
                <w:szCs w:val="20"/>
              </w:rPr>
              <w:t>3,</w:t>
            </w:r>
            <w:r w:rsidRPr="00E11634">
              <w:rPr>
                <w:rFonts w:eastAsia="Calibri" w:cs="Times New Roman"/>
                <w:i/>
                <w:color w:val="auto"/>
                <w:sz w:val="20"/>
                <w:szCs w:val="20"/>
                <w:lang w:val="en-US"/>
              </w:rPr>
              <w:t>0</w:t>
            </w:r>
            <w:r w:rsidRPr="00E11634">
              <w:rPr>
                <w:rFonts w:eastAsia="Calibri" w:cs="Times New Roman"/>
                <w:i/>
                <w:color w:val="auto"/>
                <w:sz w:val="20"/>
                <w:szCs w:val="20"/>
              </w:rPr>
              <w:t>%</w:t>
            </w:r>
          </w:p>
        </w:tc>
      </w:tr>
      <w:tr w:rsidR="00DF60E7" w:rsidRPr="002F5A77" w14:paraId="1EFB09A1" w14:textId="77777777" w:rsidTr="00140420">
        <w:trPr>
          <w:trHeight w:val="326"/>
        </w:trPr>
        <w:tc>
          <w:tcPr>
            <w:tcW w:w="6936" w:type="dxa"/>
            <w:gridSpan w:val="2"/>
            <w:tcBorders>
              <w:top w:val="single" w:sz="4" w:space="0" w:color="auto"/>
              <w:left w:val="single" w:sz="8" w:space="0" w:color="00B0F0"/>
              <w:bottom w:val="single" w:sz="4" w:space="0" w:color="auto"/>
              <w:right w:val="nil"/>
            </w:tcBorders>
            <w:shd w:val="clear" w:color="auto" w:fill="F2F2F2" w:themeFill="background1" w:themeFillShade="F2"/>
            <w:noWrap/>
          </w:tcPr>
          <w:p w14:paraId="5C6A677D" w14:textId="77777777" w:rsidR="00DF60E7" w:rsidRPr="00E11634" w:rsidRDefault="00DF60E7" w:rsidP="00140420">
            <w:pPr>
              <w:spacing w:after="0" w:line="240" w:lineRule="auto"/>
              <w:rPr>
                <w:rFonts w:eastAsia="Calibri" w:cs="Times New Roman"/>
                <w:b/>
                <w:color w:val="auto"/>
                <w:sz w:val="20"/>
                <w:szCs w:val="20"/>
              </w:rPr>
            </w:pPr>
            <w:r w:rsidRPr="00E11634">
              <w:rPr>
                <w:rFonts w:eastAsia="Calibri" w:cs="Times New Roman"/>
                <w:b/>
                <w:color w:val="auto"/>
                <w:sz w:val="20"/>
                <w:szCs w:val="20"/>
              </w:rPr>
              <w:t>Δημόσια κατανάλωση</w:t>
            </w:r>
          </w:p>
        </w:tc>
        <w:tc>
          <w:tcPr>
            <w:tcW w:w="1356" w:type="dxa"/>
            <w:tcBorders>
              <w:top w:val="single" w:sz="4" w:space="0" w:color="auto"/>
              <w:left w:val="nil"/>
              <w:bottom w:val="single" w:sz="4" w:space="0" w:color="auto"/>
              <w:right w:val="single" w:sz="8" w:space="0" w:color="00B0F0"/>
            </w:tcBorders>
            <w:shd w:val="clear" w:color="auto" w:fill="F2F2F2" w:themeFill="background1" w:themeFillShade="F2"/>
          </w:tcPr>
          <w:p w14:paraId="79111261" w14:textId="77777777" w:rsidR="00DF60E7" w:rsidRPr="00E11634" w:rsidRDefault="00DF60E7" w:rsidP="00140420">
            <w:pPr>
              <w:spacing w:after="0" w:line="240" w:lineRule="auto"/>
              <w:rPr>
                <w:rFonts w:eastAsia="Calibri" w:cs="Times New Roman"/>
                <w:b/>
                <w:color w:val="auto"/>
                <w:sz w:val="20"/>
                <w:szCs w:val="20"/>
              </w:rPr>
            </w:pPr>
          </w:p>
        </w:tc>
      </w:tr>
      <w:tr w:rsidR="00DF60E7" w:rsidRPr="002F5A77" w14:paraId="4A736F9D" w14:textId="77777777" w:rsidTr="00140420">
        <w:trPr>
          <w:trHeight w:val="326"/>
        </w:trPr>
        <w:tc>
          <w:tcPr>
            <w:tcW w:w="5497" w:type="dxa"/>
            <w:tcBorders>
              <w:top w:val="single" w:sz="4" w:space="0" w:color="auto"/>
              <w:left w:val="single" w:sz="8" w:space="0" w:color="00B0F0"/>
              <w:bottom w:val="single" w:sz="4" w:space="0" w:color="auto"/>
            </w:tcBorders>
            <w:shd w:val="clear" w:color="auto" w:fill="auto"/>
            <w:noWrap/>
          </w:tcPr>
          <w:p w14:paraId="1FAD18AB" w14:textId="77777777" w:rsidR="00DF60E7" w:rsidRPr="00E11634" w:rsidRDefault="00DF60E7" w:rsidP="00140420">
            <w:pPr>
              <w:spacing w:after="0" w:line="240" w:lineRule="auto"/>
              <w:rPr>
                <w:rFonts w:eastAsia="Calibri" w:cs="Times New Roman"/>
                <w:color w:val="auto"/>
                <w:sz w:val="20"/>
                <w:szCs w:val="20"/>
              </w:rPr>
            </w:pPr>
            <w:r w:rsidRPr="00E11634">
              <w:rPr>
                <w:rFonts w:eastAsia="Calibri" w:cs="Times New Roman"/>
                <w:color w:val="auto"/>
                <w:sz w:val="20"/>
                <w:szCs w:val="20"/>
              </w:rPr>
              <w:t>Υπ. Οικονομικών</w:t>
            </w:r>
          </w:p>
        </w:tc>
        <w:tc>
          <w:tcPr>
            <w:tcW w:w="1439" w:type="dxa"/>
            <w:tcBorders>
              <w:top w:val="single" w:sz="4" w:space="0" w:color="auto"/>
              <w:bottom w:val="single" w:sz="4" w:space="0" w:color="auto"/>
              <w:right w:val="nil"/>
            </w:tcBorders>
            <w:shd w:val="clear" w:color="auto" w:fill="auto"/>
            <w:noWrap/>
          </w:tcPr>
          <w:p w14:paraId="4E980DEB" w14:textId="77777777" w:rsidR="00DF60E7" w:rsidRPr="00E11634" w:rsidRDefault="00DF60E7" w:rsidP="00140420">
            <w:pPr>
              <w:spacing w:after="0" w:line="240" w:lineRule="auto"/>
              <w:jc w:val="center"/>
              <w:rPr>
                <w:rFonts w:eastAsia="Calibri" w:cs="Times New Roman"/>
                <w:i/>
                <w:color w:val="auto"/>
                <w:sz w:val="20"/>
                <w:szCs w:val="20"/>
              </w:rPr>
            </w:pPr>
          </w:p>
        </w:tc>
        <w:tc>
          <w:tcPr>
            <w:tcW w:w="1356" w:type="dxa"/>
            <w:tcBorders>
              <w:top w:val="single" w:sz="4" w:space="0" w:color="auto"/>
              <w:left w:val="nil"/>
              <w:bottom w:val="single" w:sz="4" w:space="0" w:color="auto"/>
              <w:right w:val="single" w:sz="8" w:space="0" w:color="00B0F0"/>
            </w:tcBorders>
          </w:tcPr>
          <w:p w14:paraId="3A5ADA3F" w14:textId="77777777" w:rsidR="00DF60E7" w:rsidRPr="00E11634" w:rsidRDefault="00DF60E7" w:rsidP="00140420">
            <w:pPr>
              <w:spacing w:after="0" w:line="240" w:lineRule="auto"/>
              <w:jc w:val="center"/>
              <w:rPr>
                <w:rFonts w:eastAsia="Calibri" w:cs="Times New Roman"/>
                <w:i/>
                <w:color w:val="auto"/>
                <w:sz w:val="20"/>
                <w:szCs w:val="20"/>
              </w:rPr>
            </w:pPr>
            <w:r w:rsidRPr="00E11634">
              <w:rPr>
                <w:rFonts w:eastAsia="Calibri" w:cs="Times New Roman"/>
                <w:i/>
                <w:color w:val="auto"/>
                <w:sz w:val="20"/>
                <w:szCs w:val="20"/>
              </w:rPr>
              <w:t>-2,8%</w:t>
            </w:r>
          </w:p>
        </w:tc>
      </w:tr>
      <w:tr w:rsidR="00DF60E7" w:rsidRPr="002F5A77" w14:paraId="3C18BEFA" w14:textId="77777777" w:rsidTr="00140420">
        <w:trPr>
          <w:trHeight w:val="326"/>
        </w:trPr>
        <w:tc>
          <w:tcPr>
            <w:tcW w:w="5497" w:type="dxa"/>
            <w:tcBorders>
              <w:top w:val="single" w:sz="4" w:space="0" w:color="auto"/>
              <w:left w:val="single" w:sz="8" w:space="0" w:color="00B0F0"/>
              <w:bottom w:val="single" w:sz="4" w:space="0" w:color="auto"/>
            </w:tcBorders>
            <w:shd w:val="clear" w:color="auto" w:fill="auto"/>
            <w:noWrap/>
          </w:tcPr>
          <w:p w14:paraId="498DB3E0" w14:textId="77777777" w:rsidR="00DF60E7" w:rsidRPr="00E11634" w:rsidRDefault="00DF60E7" w:rsidP="00140420">
            <w:pPr>
              <w:spacing w:after="0" w:line="240" w:lineRule="auto"/>
              <w:rPr>
                <w:rFonts w:eastAsia="Calibri" w:cs="Times New Roman"/>
                <w:color w:val="auto"/>
                <w:sz w:val="20"/>
                <w:szCs w:val="20"/>
              </w:rPr>
            </w:pPr>
            <w:r w:rsidRPr="00E11634">
              <w:rPr>
                <w:rFonts w:eastAsia="Calibri" w:cs="Times New Roman"/>
                <w:color w:val="auto"/>
                <w:sz w:val="20"/>
                <w:szCs w:val="20"/>
              </w:rPr>
              <w:t>Ευρωπαϊκή Επιτροπή</w:t>
            </w:r>
          </w:p>
        </w:tc>
        <w:tc>
          <w:tcPr>
            <w:tcW w:w="1439" w:type="dxa"/>
            <w:tcBorders>
              <w:top w:val="single" w:sz="4" w:space="0" w:color="auto"/>
              <w:bottom w:val="single" w:sz="4" w:space="0" w:color="auto"/>
              <w:right w:val="nil"/>
            </w:tcBorders>
            <w:shd w:val="clear" w:color="auto" w:fill="auto"/>
            <w:noWrap/>
          </w:tcPr>
          <w:p w14:paraId="5C3A6A0C" w14:textId="77777777" w:rsidR="00DF60E7" w:rsidRPr="00E11634" w:rsidRDefault="00DF60E7" w:rsidP="00140420">
            <w:pPr>
              <w:spacing w:after="0" w:line="240" w:lineRule="auto"/>
              <w:jc w:val="center"/>
              <w:rPr>
                <w:rFonts w:eastAsia="Calibri" w:cs="Times New Roman"/>
                <w:i/>
                <w:color w:val="auto"/>
                <w:sz w:val="20"/>
                <w:szCs w:val="20"/>
              </w:rPr>
            </w:pPr>
          </w:p>
        </w:tc>
        <w:tc>
          <w:tcPr>
            <w:tcW w:w="1356" w:type="dxa"/>
            <w:tcBorders>
              <w:top w:val="single" w:sz="4" w:space="0" w:color="auto"/>
              <w:left w:val="nil"/>
              <w:bottom w:val="single" w:sz="4" w:space="0" w:color="auto"/>
              <w:right w:val="single" w:sz="8" w:space="0" w:color="00B0F0"/>
            </w:tcBorders>
          </w:tcPr>
          <w:p w14:paraId="480327C0" w14:textId="77777777" w:rsidR="00DF60E7" w:rsidRPr="00E11634" w:rsidRDefault="00DF60E7" w:rsidP="00140420">
            <w:pPr>
              <w:spacing w:after="0" w:line="240" w:lineRule="auto"/>
              <w:jc w:val="center"/>
              <w:rPr>
                <w:rFonts w:eastAsia="Calibri" w:cs="Times New Roman"/>
                <w:i/>
                <w:color w:val="auto"/>
                <w:sz w:val="20"/>
                <w:szCs w:val="20"/>
              </w:rPr>
            </w:pPr>
            <w:r w:rsidRPr="00E11634">
              <w:rPr>
                <w:rFonts w:eastAsia="Calibri" w:cs="Times New Roman"/>
                <w:i/>
                <w:color w:val="auto"/>
                <w:sz w:val="20"/>
                <w:szCs w:val="20"/>
              </w:rPr>
              <w:t>-3,5%</w:t>
            </w:r>
          </w:p>
        </w:tc>
      </w:tr>
      <w:tr w:rsidR="00DF60E7" w:rsidRPr="002F5A77" w14:paraId="6D120EC7" w14:textId="77777777" w:rsidTr="00140420">
        <w:trPr>
          <w:trHeight w:val="326"/>
        </w:trPr>
        <w:tc>
          <w:tcPr>
            <w:tcW w:w="5497" w:type="dxa"/>
            <w:tcBorders>
              <w:top w:val="single" w:sz="4" w:space="0" w:color="auto"/>
              <w:left w:val="single" w:sz="8" w:space="0" w:color="00B0F0"/>
              <w:bottom w:val="single" w:sz="4" w:space="0" w:color="auto"/>
            </w:tcBorders>
            <w:shd w:val="clear" w:color="auto" w:fill="auto"/>
            <w:noWrap/>
          </w:tcPr>
          <w:p w14:paraId="1C634893" w14:textId="77777777" w:rsidR="00DF60E7" w:rsidRPr="00E11634" w:rsidRDefault="00DF60E7" w:rsidP="00140420">
            <w:pPr>
              <w:spacing w:after="0" w:line="240" w:lineRule="auto"/>
              <w:rPr>
                <w:rFonts w:eastAsia="Calibri" w:cs="Times New Roman"/>
                <w:color w:val="auto"/>
                <w:sz w:val="20"/>
                <w:szCs w:val="20"/>
                <w:lang w:val="en-US"/>
              </w:rPr>
            </w:pPr>
            <w:r w:rsidRPr="00E11634">
              <w:rPr>
                <w:rFonts w:eastAsia="Calibri" w:cs="Times New Roman"/>
                <w:color w:val="auto"/>
                <w:sz w:val="20"/>
                <w:szCs w:val="20"/>
              </w:rPr>
              <w:t>ΟΟΣΑ</w:t>
            </w:r>
            <w:r w:rsidRPr="00E11634">
              <w:rPr>
                <w:rFonts w:eastAsia="Calibri" w:cs="Times New Roman"/>
                <w:color w:val="auto"/>
                <w:sz w:val="20"/>
                <w:szCs w:val="20"/>
                <w:lang w:val="en-US"/>
              </w:rPr>
              <w:t xml:space="preserve"> </w:t>
            </w:r>
          </w:p>
        </w:tc>
        <w:tc>
          <w:tcPr>
            <w:tcW w:w="1439" w:type="dxa"/>
            <w:tcBorders>
              <w:top w:val="single" w:sz="4" w:space="0" w:color="auto"/>
              <w:bottom w:val="single" w:sz="4" w:space="0" w:color="auto"/>
              <w:right w:val="nil"/>
            </w:tcBorders>
            <w:shd w:val="clear" w:color="auto" w:fill="auto"/>
            <w:noWrap/>
          </w:tcPr>
          <w:p w14:paraId="27E3FB62" w14:textId="77777777" w:rsidR="00DF60E7" w:rsidRPr="00E11634" w:rsidRDefault="00DF60E7" w:rsidP="00140420">
            <w:pPr>
              <w:spacing w:after="0" w:line="240" w:lineRule="auto"/>
              <w:jc w:val="center"/>
              <w:rPr>
                <w:rFonts w:eastAsia="Calibri" w:cs="Times New Roman"/>
                <w:i/>
                <w:color w:val="auto"/>
                <w:sz w:val="20"/>
                <w:szCs w:val="20"/>
              </w:rPr>
            </w:pPr>
          </w:p>
        </w:tc>
        <w:tc>
          <w:tcPr>
            <w:tcW w:w="1356" w:type="dxa"/>
            <w:tcBorders>
              <w:top w:val="single" w:sz="4" w:space="0" w:color="auto"/>
              <w:left w:val="nil"/>
              <w:bottom w:val="single" w:sz="4" w:space="0" w:color="auto"/>
              <w:right w:val="single" w:sz="8" w:space="0" w:color="00B0F0"/>
            </w:tcBorders>
          </w:tcPr>
          <w:p w14:paraId="702F991E" w14:textId="77777777" w:rsidR="00DF60E7" w:rsidRPr="00E11634" w:rsidRDefault="00DF60E7" w:rsidP="00140420">
            <w:pPr>
              <w:spacing w:after="0" w:line="240" w:lineRule="auto"/>
              <w:jc w:val="center"/>
              <w:rPr>
                <w:rFonts w:eastAsia="Calibri" w:cs="Times New Roman"/>
                <w:i/>
                <w:color w:val="auto"/>
                <w:sz w:val="20"/>
                <w:szCs w:val="20"/>
              </w:rPr>
            </w:pPr>
            <w:r w:rsidRPr="00E11634">
              <w:rPr>
                <w:rFonts w:eastAsia="Calibri" w:cs="Times New Roman"/>
                <w:i/>
                <w:color w:val="auto"/>
                <w:sz w:val="20"/>
                <w:szCs w:val="20"/>
                <w:lang w:val="en-US"/>
              </w:rPr>
              <w:t>-1,4</w:t>
            </w:r>
            <w:r w:rsidRPr="00E11634">
              <w:rPr>
                <w:rFonts w:eastAsia="Calibri" w:cs="Times New Roman"/>
                <w:i/>
                <w:color w:val="auto"/>
                <w:sz w:val="20"/>
                <w:szCs w:val="20"/>
              </w:rPr>
              <w:t>%</w:t>
            </w:r>
          </w:p>
        </w:tc>
      </w:tr>
      <w:tr w:rsidR="00DF60E7" w:rsidRPr="002F5A77" w14:paraId="76829194" w14:textId="77777777" w:rsidTr="00140420">
        <w:trPr>
          <w:trHeight w:val="326"/>
        </w:trPr>
        <w:tc>
          <w:tcPr>
            <w:tcW w:w="6936" w:type="dxa"/>
            <w:gridSpan w:val="2"/>
            <w:tcBorders>
              <w:top w:val="single" w:sz="4" w:space="0" w:color="auto"/>
              <w:left w:val="single" w:sz="8" w:space="0" w:color="00B0F0"/>
              <w:bottom w:val="single" w:sz="4" w:space="0" w:color="auto"/>
              <w:right w:val="nil"/>
            </w:tcBorders>
            <w:shd w:val="clear" w:color="auto" w:fill="F2F2F2" w:themeFill="background1" w:themeFillShade="F2"/>
            <w:noWrap/>
          </w:tcPr>
          <w:p w14:paraId="68CDE44C" w14:textId="77777777" w:rsidR="00DF60E7" w:rsidRPr="00E11634" w:rsidRDefault="00DF60E7" w:rsidP="00140420">
            <w:pPr>
              <w:spacing w:after="0" w:line="240" w:lineRule="auto"/>
              <w:jc w:val="left"/>
              <w:rPr>
                <w:rFonts w:eastAsia="Calibri" w:cs="Times New Roman"/>
                <w:i/>
                <w:color w:val="auto"/>
                <w:sz w:val="20"/>
                <w:szCs w:val="20"/>
              </w:rPr>
            </w:pPr>
            <w:r w:rsidRPr="00E11634">
              <w:rPr>
                <w:rFonts w:eastAsia="Calibri" w:cs="Times New Roman"/>
                <w:b/>
                <w:color w:val="auto"/>
                <w:sz w:val="20"/>
                <w:szCs w:val="20"/>
              </w:rPr>
              <w:t>Ακαθάριστος σχηματισμός παγίου κεφαλαίου</w:t>
            </w:r>
          </w:p>
        </w:tc>
        <w:tc>
          <w:tcPr>
            <w:tcW w:w="1356" w:type="dxa"/>
            <w:tcBorders>
              <w:top w:val="single" w:sz="4" w:space="0" w:color="auto"/>
              <w:left w:val="nil"/>
              <w:bottom w:val="single" w:sz="4" w:space="0" w:color="auto"/>
              <w:right w:val="single" w:sz="8" w:space="0" w:color="00B0F0"/>
            </w:tcBorders>
            <w:shd w:val="clear" w:color="auto" w:fill="F2F2F2" w:themeFill="background1" w:themeFillShade="F2"/>
          </w:tcPr>
          <w:p w14:paraId="3DBC2920" w14:textId="77777777" w:rsidR="00DF60E7" w:rsidRPr="00E11634" w:rsidRDefault="00DF60E7" w:rsidP="00140420">
            <w:pPr>
              <w:spacing w:after="0" w:line="240" w:lineRule="auto"/>
              <w:jc w:val="left"/>
              <w:rPr>
                <w:rFonts w:eastAsia="Calibri" w:cs="Times New Roman"/>
                <w:b/>
                <w:color w:val="auto"/>
                <w:sz w:val="20"/>
                <w:szCs w:val="20"/>
              </w:rPr>
            </w:pPr>
          </w:p>
        </w:tc>
      </w:tr>
      <w:tr w:rsidR="00DF60E7" w:rsidRPr="002F5A77" w14:paraId="7CF390CB" w14:textId="77777777" w:rsidTr="00140420">
        <w:trPr>
          <w:trHeight w:val="326"/>
        </w:trPr>
        <w:tc>
          <w:tcPr>
            <w:tcW w:w="5497" w:type="dxa"/>
            <w:tcBorders>
              <w:top w:val="single" w:sz="4" w:space="0" w:color="auto"/>
              <w:left w:val="single" w:sz="8" w:space="0" w:color="00B0F0"/>
              <w:bottom w:val="single" w:sz="4" w:space="0" w:color="auto"/>
            </w:tcBorders>
            <w:shd w:val="clear" w:color="auto" w:fill="auto"/>
            <w:noWrap/>
          </w:tcPr>
          <w:p w14:paraId="0A17DC9F" w14:textId="77777777" w:rsidR="00DF60E7" w:rsidRPr="00E11634" w:rsidRDefault="00DF60E7" w:rsidP="00140420">
            <w:pPr>
              <w:spacing w:after="0" w:line="240" w:lineRule="auto"/>
              <w:rPr>
                <w:rFonts w:eastAsia="Calibri" w:cs="Times New Roman"/>
                <w:color w:val="auto"/>
                <w:sz w:val="20"/>
                <w:szCs w:val="20"/>
              </w:rPr>
            </w:pPr>
            <w:r w:rsidRPr="00E11634">
              <w:rPr>
                <w:rFonts w:eastAsia="Calibri" w:cs="Times New Roman"/>
                <w:color w:val="auto"/>
                <w:sz w:val="20"/>
                <w:szCs w:val="20"/>
              </w:rPr>
              <w:t>Υπ. Οικονομικών</w:t>
            </w:r>
          </w:p>
        </w:tc>
        <w:tc>
          <w:tcPr>
            <w:tcW w:w="1439" w:type="dxa"/>
            <w:tcBorders>
              <w:top w:val="single" w:sz="4" w:space="0" w:color="auto"/>
              <w:bottom w:val="single" w:sz="4" w:space="0" w:color="auto"/>
              <w:right w:val="nil"/>
            </w:tcBorders>
            <w:shd w:val="clear" w:color="auto" w:fill="auto"/>
            <w:noWrap/>
          </w:tcPr>
          <w:p w14:paraId="50776AFF" w14:textId="77777777" w:rsidR="00DF60E7" w:rsidRPr="00E11634" w:rsidRDefault="00DF60E7" w:rsidP="00140420">
            <w:pPr>
              <w:spacing w:after="0" w:line="240" w:lineRule="auto"/>
              <w:jc w:val="center"/>
              <w:rPr>
                <w:rFonts w:eastAsia="Calibri" w:cs="Times New Roman"/>
                <w:i/>
                <w:color w:val="auto"/>
                <w:sz w:val="20"/>
                <w:szCs w:val="20"/>
              </w:rPr>
            </w:pPr>
          </w:p>
        </w:tc>
        <w:tc>
          <w:tcPr>
            <w:tcW w:w="1356" w:type="dxa"/>
            <w:tcBorders>
              <w:top w:val="single" w:sz="4" w:space="0" w:color="auto"/>
              <w:left w:val="nil"/>
              <w:bottom w:val="single" w:sz="4" w:space="0" w:color="auto"/>
              <w:right w:val="single" w:sz="8" w:space="0" w:color="00B0F0"/>
            </w:tcBorders>
          </w:tcPr>
          <w:p w14:paraId="10508B10" w14:textId="77777777" w:rsidR="00DF60E7" w:rsidRPr="00E11634" w:rsidRDefault="00DF60E7" w:rsidP="00140420">
            <w:pPr>
              <w:spacing w:after="0" w:line="240" w:lineRule="auto"/>
              <w:jc w:val="center"/>
              <w:rPr>
                <w:rFonts w:eastAsia="Calibri" w:cs="Times New Roman"/>
                <w:i/>
                <w:color w:val="auto"/>
                <w:sz w:val="20"/>
                <w:szCs w:val="20"/>
              </w:rPr>
            </w:pPr>
            <w:r w:rsidRPr="00E11634">
              <w:rPr>
                <w:rFonts w:eastAsia="Calibri" w:cs="Times New Roman"/>
                <w:i/>
                <w:color w:val="auto"/>
                <w:sz w:val="20"/>
                <w:szCs w:val="20"/>
              </w:rPr>
              <w:t>23,4%</w:t>
            </w:r>
          </w:p>
        </w:tc>
      </w:tr>
      <w:tr w:rsidR="00DF60E7" w:rsidRPr="002F5A77" w14:paraId="09721BFF" w14:textId="77777777" w:rsidTr="00140420">
        <w:trPr>
          <w:trHeight w:val="326"/>
        </w:trPr>
        <w:tc>
          <w:tcPr>
            <w:tcW w:w="5497" w:type="dxa"/>
            <w:tcBorders>
              <w:top w:val="single" w:sz="4" w:space="0" w:color="auto"/>
              <w:left w:val="single" w:sz="8" w:space="0" w:color="00B0F0"/>
              <w:bottom w:val="single" w:sz="4" w:space="0" w:color="auto"/>
            </w:tcBorders>
            <w:shd w:val="clear" w:color="auto" w:fill="auto"/>
            <w:noWrap/>
          </w:tcPr>
          <w:p w14:paraId="2706AD7D" w14:textId="77777777" w:rsidR="00DF60E7" w:rsidRPr="00E11634" w:rsidRDefault="00DF60E7" w:rsidP="00140420">
            <w:pPr>
              <w:spacing w:after="0" w:line="240" w:lineRule="auto"/>
              <w:rPr>
                <w:rFonts w:eastAsia="Calibri" w:cs="Times New Roman"/>
                <w:color w:val="auto"/>
                <w:sz w:val="20"/>
                <w:szCs w:val="20"/>
              </w:rPr>
            </w:pPr>
            <w:r w:rsidRPr="00E11634">
              <w:rPr>
                <w:rFonts w:eastAsia="Calibri" w:cs="Times New Roman"/>
                <w:color w:val="auto"/>
                <w:sz w:val="20"/>
                <w:szCs w:val="20"/>
              </w:rPr>
              <w:t>Ευρωπαϊκή Επιτροπή</w:t>
            </w:r>
            <w:r w:rsidRPr="00E11634">
              <w:rPr>
                <w:rFonts w:eastAsia="Calibri" w:cs="Times New Roman"/>
                <w:b/>
                <w:color w:val="auto"/>
                <w:sz w:val="20"/>
                <w:szCs w:val="20"/>
                <w:vertAlign w:val="superscript"/>
              </w:rPr>
              <w:t xml:space="preserve"> </w:t>
            </w:r>
          </w:p>
        </w:tc>
        <w:tc>
          <w:tcPr>
            <w:tcW w:w="1439" w:type="dxa"/>
            <w:tcBorders>
              <w:top w:val="single" w:sz="4" w:space="0" w:color="auto"/>
              <w:bottom w:val="single" w:sz="4" w:space="0" w:color="auto"/>
              <w:right w:val="nil"/>
            </w:tcBorders>
            <w:shd w:val="clear" w:color="auto" w:fill="auto"/>
            <w:noWrap/>
          </w:tcPr>
          <w:p w14:paraId="463A640F" w14:textId="77777777" w:rsidR="00DF60E7" w:rsidRPr="00E11634" w:rsidRDefault="00DF60E7" w:rsidP="00140420">
            <w:pPr>
              <w:spacing w:after="0" w:line="240" w:lineRule="auto"/>
              <w:jc w:val="center"/>
              <w:rPr>
                <w:rFonts w:eastAsia="Calibri" w:cs="Times New Roman"/>
                <w:i/>
                <w:color w:val="auto"/>
                <w:sz w:val="20"/>
                <w:szCs w:val="20"/>
              </w:rPr>
            </w:pPr>
          </w:p>
        </w:tc>
        <w:tc>
          <w:tcPr>
            <w:tcW w:w="1356" w:type="dxa"/>
            <w:tcBorders>
              <w:top w:val="single" w:sz="4" w:space="0" w:color="auto"/>
              <w:left w:val="nil"/>
              <w:bottom w:val="single" w:sz="4" w:space="0" w:color="auto"/>
              <w:right w:val="single" w:sz="8" w:space="0" w:color="00B0F0"/>
            </w:tcBorders>
          </w:tcPr>
          <w:p w14:paraId="491D7083" w14:textId="77777777" w:rsidR="00DF60E7" w:rsidRPr="00E11634" w:rsidRDefault="00DF60E7" w:rsidP="00140420">
            <w:pPr>
              <w:spacing w:after="0" w:line="240" w:lineRule="auto"/>
              <w:jc w:val="center"/>
              <w:rPr>
                <w:rFonts w:eastAsia="Calibri" w:cs="Times New Roman"/>
                <w:i/>
                <w:color w:val="auto"/>
                <w:sz w:val="20"/>
                <w:szCs w:val="20"/>
              </w:rPr>
            </w:pPr>
            <w:r w:rsidRPr="00E11634">
              <w:rPr>
                <w:rFonts w:eastAsia="Calibri" w:cs="Times New Roman"/>
                <w:i/>
                <w:color w:val="auto"/>
                <w:sz w:val="20"/>
                <w:szCs w:val="20"/>
              </w:rPr>
              <w:t>13,4%</w:t>
            </w:r>
          </w:p>
        </w:tc>
      </w:tr>
      <w:tr w:rsidR="00DF60E7" w:rsidRPr="002F5A77" w14:paraId="6558975C" w14:textId="77777777" w:rsidTr="00140420">
        <w:trPr>
          <w:trHeight w:val="326"/>
        </w:trPr>
        <w:tc>
          <w:tcPr>
            <w:tcW w:w="5497" w:type="dxa"/>
            <w:tcBorders>
              <w:top w:val="single" w:sz="4" w:space="0" w:color="auto"/>
              <w:left w:val="single" w:sz="8" w:space="0" w:color="00B0F0"/>
              <w:bottom w:val="single" w:sz="4" w:space="0" w:color="auto"/>
            </w:tcBorders>
            <w:shd w:val="clear" w:color="auto" w:fill="auto"/>
            <w:noWrap/>
          </w:tcPr>
          <w:p w14:paraId="79A8C745" w14:textId="77777777" w:rsidR="00DF60E7" w:rsidRPr="00E11634" w:rsidRDefault="00DF60E7" w:rsidP="00140420">
            <w:pPr>
              <w:spacing w:after="0" w:line="240" w:lineRule="auto"/>
              <w:rPr>
                <w:rFonts w:eastAsia="Calibri" w:cs="Times New Roman"/>
                <w:color w:val="auto"/>
                <w:sz w:val="20"/>
                <w:szCs w:val="20"/>
              </w:rPr>
            </w:pPr>
            <w:r w:rsidRPr="00E11634">
              <w:rPr>
                <w:rFonts w:eastAsia="Calibri" w:cs="Times New Roman"/>
                <w:color w:val="auto"/>
                <w:sz w:val="20"/>
                <w:szCs w:val="20"/>
              </w:rPr>
              <w:t xml:space="preserve">ΟΟΣΑ </w:t>
            </w:r>
          </w:p>
        </w:tc>
        <w:tc>
          <w:tcPr>
            <w:tcW w:w="1439" w:type="dxa"/>
            <w:tcBorders>
              <w:top w:val="single" w:sz="4" w:space="0" w:color="auto"/>
              <w:bottom w:val="single" w:sz="4" w:space="0" w:color="auto"/>
              <w:right w:val="nil"/>
            </w:tcBorders>
            <w:shd w:val="clear" w:color="auto" w:fill="auto"/>
            <w:noWrap/>
          </w:tcPr>
          <w:p w14:paraId="5AF1A6C3" w14:textId="77777777" w:rsidR="00DF60E7" w:rsidRPr="00E11634" w:rsidRDefault="00DF60E7" w:rsidP="00140420">
            <w:pPr>
              <w:spacing w:after="0" w:line="240" w:lineRule="auto"/>
              <w:jc w:val="center"/>
              <w:rPr>
                <w:rFonts w:eastAsia="Calibri" w:cs="Times New Roman"/>
                <w:i/>
                <w:color w:val="auto"/>
                <w:sz w:val="20"/>
                <w:szCs w:val="20"/>
              </w:rPr>
            </w:pPr>
          </w:p>
        </w:tc>
        <w:tc>
          <w:tcPr>
            <w:tcW w:w="1356" w:type="dxa"/>
            <w:tcBorders>
              <w:top w:val="single" w:sz="4" w:space="0" w:color="auto"/>
              <w:left w:val="nil"/>
              <w:bottom w:val="single" w:sz="4" w:space="0" w:color="auto"/>
              <w:right w:val="single" w:sz="8" w:space="0" w:color="00B0F0"/>
            </w:tcBorders>
          </w:tcPr>
          <w:p w14:paraId="03977B0F" w14:textId="77777777" w:rsidR="00DF60E7" w:rsidRPr="00E11634" w:rsidRDefault="00DF60E7" w:rsidP="00140420">
            <w:pPr>
              <w:spacing w:after="0" w:line="240" w:lineRule="auto"/>
              <w:jc w:val="center"/>
              <w:rPr>
                <w:rFonts w:eastAsia="Calibri" w:cs="Times New Roman"/>
                <w:i/>
                <w:color w:val="auto"/>
                <w:sz w:val="20"/>
                <w:szCs w:val="20"/>
              </w:rPr>
            </w:pPr>
            <w:r w:rsidRPr="00E11634">
              <w:rPr>
                <w:rFonts w:eastAsia="Calibri" w:cs="Times New Roman"/>
                <w:i/>
                <w:color w:val="auto"/>
                <w:sz w:val="20"/>
                <w:szCs w:val="20"/>
                <w:lang w:val="en-US"/>
              </w:rPr>
              <w:t>20,0</w:t>
            </w:r>
            <w:r w:rsidRPr="00E11634">
              <w:rPr>
                <w:rFonts w:eastAsia="Calibri" w:cs="Times New Roman"/>
                <w:i/>
                <w:color w:val="auto"/>
                <w:sz w:val="20"/>
                <w:szCs w:val="20"/>
              </w:rPr>
              <w:t>%</w:t>
            </w:r>
          </w:p>
        </w:tc>
      </w:tr>
      <w:tr w:rsidR="00DF60E7" w:rsidRPr="002F5A77" w14:paraId="50B860A3" w14:textId="77777777" w:rsidTr="00140420">
        <w:trPr>
          <w:trHeight w:val="326"/>
        </w:trPr>
        <w:tc>
          <w:tcPr>
            <w:tcW w:w="6936" w:type="dxa"/>
            <w:gridSpan w:val="2"/>
            <w:tcBorders>
              <w:top w:val="single" w:sz="4" w:space="0" w:color="auto"/>
              <w:left w:val="single" w:sz="8" w:space="0" w:color="00B0F0"/>
              <w:bottom w:val="single" w:sz="4" w:space="0" w:color="auto"/>
              <w:right w:val="nil"/>
            </w:tcBorders>
            <w:shd w:val="clear" w:color="auto" w:fill="F2F2F2" w:themeFill="background1" w:themeFillShade="F2"/>
            <w:noWrap/>
          </w:tcPr>
          <w:p w14:paraId="12B38502" w14:textId="77777777" w:rsidR="00DF60E7" w:rsidRPr="00E11634" w:rsidRDefault="00DF60E7" w:rsidP="00140420">
            <w:pPr>
              <w:spacing w:after="0" w:line="240" w:lineRule="auto"/>
              <w:jc w:val="left"/>
              <w:rPr>
                <w:rFonts w:eastAsia="Calibri" w:cs="Times New Roman"/>
                <w:i/>
                <w:color w:val="auto"/>
                <w:sz w:val="20"/>
                <w:szCs w:val="20"/>
              </w:rPr>
            </w:pPr>
            <w:r w:rsidRPr="00E11634">
              <w:rPr>
                <w:rFonts w:eastAsia="Calibri" w:cs="Times New Roman"/>
                <w:b/>
                <w:color w:val="auto"/>
                <w:sz w:val="20"/>
                <w:szCs w:val="20"/>
              </w:rPr>
              <w:t>Εξαγωγές (αγαθών &amp; υπηρεσιών)</w:t>
            </w:r>
          </w:p>
        </w:tc>
        <w:tc>
          <w:tcPr>
            <w:tcW w:w="1356" w:type="dxa"/>
            <w:tcBorders>
              <w:top w:val="single" w:sz="4" w:space="0" w:color="auto"/>
              <w:left w:val="nil"/>
              <w:bottom w:val="single" w:sz="4" w:space="0" w:color="auto"/>
              <w:right w:val="single" w:sz="8" w:space="0" w:color="00B0F0"/>
            </w:tcBorders>
            <w:shd w:val="clear" w:color="auto" w:fill="F2F2F2" w:themeFill="background1" w:themeFillShade="F2"/>
          </w:tcPr>
          <w:p w14:paraId="0C025660" w14:textId="77777777" w:rsidR="00DF60E7" w:rsidRPr="00E11634" w:rsidRDefault="00DF60E7" w:rsidP="00140420">
            <w:pPr>
              <w:spacing w:after="0" w:line="240" w:lineRule="auto"/>
              <w:jc w:val="left"/>
              <w:rPr>
                <w:rFonts w:eastAsia="Calibri" w:cs="Times New Roman"/>
                <w:b/>
                <w:color w:val="auto"/>
                <w:sz w:val="20"/>
                <w:szCs w:val="20"/>
              </w:rPr>
            </w:pPr>
          </w:p>
        </w:tc>
      </w:tr>
      <w:tr w:rsidR="00DF60E7" w:rsidRPr="002F5A77" w14:paraId="180B5AB1" w14:textId="77777777" w:rsidTr="00140420">
        <w:trPr>
          <w:trHeight w:val="326"/>
        </w:trPr>
        <w:tc>
          <w:tcPr>
            <w:tcW w:w="5497" w:type="dxa"/>
            <w:tcBorders>
              <w:top w:val="single" w:sz="4" w:space="0" w:color="auto"/>
              <w:left w:val="single" w:sz="8" w:space="0" w:color="00B0F0"/>
              <w:bottom w:val="single" w:sz="4" w:space="0" w:color="auto"/>
            </w:tcBorders>
            <w:shd w:val="clear" w:color="auto" w:fill="auto"/>
            <w:noWrap/>
          </w:tcPr>
          <w:p w14:paraId="4C603D28" w14:textId="77777777" w:rsidR="00DF60E7" w:rsidRPr="00E11634" w:rsidRDefault="00DF60E7" w:rsidP="00140420">
            <w:pPr>
              <w:spacing w:after="0" w:line="240" w:lineRule="auto"/>
              <w:rPr>
                <w:rFonts w:eastAsia="Calibri" w:cs="Times New Roman"/>
                <w:color w:val="auto"/>
                <w:sz w:val="20"/>
                <w:szCs w:val="20"/>
              </w:rPr>
            </w:pPr>
            <w:r w:rsidRPr="00E11634">
              <w:rPr>
                <w:rFonts w:eastAsia="Calibri" w:cs="Times New Roman"/>
                <w:color w:val="auto"/>
                <w:sz w:val="20"/>
                <w:szCs w:val="20"/>
              </w:rPr>
              <w:t>Υπ. Οικονομικών</w:t>
            </w:r>
          </w:p>
        </w:tc>
        <w:tc>
          <w:tcPr>
            <w:tcW w:w="1439" w:type="dxa"/>
            <w:tcBorders>
              <w:top w:val="single" w:sz="4" w:space="0" w:color="auto"/>
              <w:bottom w:val="single" w:sz="4" w:space="0" w:color="auto"/>
              <w:right w:val="nil"/>
            </w:tcBorders>
            <w:shd w:val="clear" w:color="auto" w:fill="auto"/>
            <w:noWrap/>
          </w:tcPr>
          <w:p w14:paraId="23170F9C" w14:textId="77777777" w:rsidR="00DF60E7" w:rsidRPr="00E11634" w:rsidRDefault="00DF60E7" w:rsidP="00140420">
            <w:pPr>
              <w:spacing w:after="0" w:line="240" w:lineRule="auto"/>
              <w:jc w:val="center"/>
              <w:rPr>
                <w:rFonts w:eastAsia="Calibri" w:cs="Times New Roman"/>
                <w:i/>
                <w:color w:val="auto"/>
                <w:sz w:val="20"/>
                <w:szCs w:val="20"/>
              </w:rPr>
            </w:pPr>
          </w:p>
        </w:tc>
        <w:tc>
          <w:tcPr>
            <w:tcW w:w="1356" w:type="dxa"/>
            <w:tcBorders>
              <w:top w:val="single" w:sz="4" w:space="0" w:color="auto"/>
              <w:left w:val="nil"/>
              <w:bottom w:val="single" w:sz="4" w:space="0" w:color="auto"/>
              <w:right w:val="single" w:sz="8" w:space="0" w:color="00B0F0"/>
            </w:tcBorders>
          </w:tcPr>
          <w:p w14:paraId="46BE929D" w14:textId="77777777" w:rsidR="00DF60E7" w:rsidRPr="00E11634" w:rsidRDefault="00DF60E7" w:rsidP="00140420">
            <w:pPr>
              <w:spacing w:after="0" w:line="240" w:lineRule="auto"/>
              <w:jc w:val="center"/>
              <w:rPr>
                <w:rFonts w:eastAsia="Calibri" w:cs="Times New Roman"/>
                <w:i/>
                <w:color w:val="auto"/>
                <w:sz w:val="20"/>
                <w:szCs w:val="20"/>
              </w:rPr>
            </w:pPr>
            <w:r w:rsidRPr="00E11634">
              <w:rPr>
                <w:rFonts w:eastAsia="Calibri" w:cs="Times New Roman"/>
                <w:i/>
                <w:color w:val="auto"/>
                <w:sz w:val="20"/>
                <w:szCs w:val="20"/>
              </w:rPr>
              <w:t>11,1%</w:t>
            </w:r>
          </w:p>
        </w:tc>
      </w:tr>
      <w:tr w:rsidR="00DF60E7" w:rsidRPr="002F5A77" w14:paraId="0DF0F7E0" w14:textId="77777777" w:rsidTr="00140420">
        <w:trPr>
          <w:trHeight w:val="326"/>
        </w:trPr>
        <w:tc>
          <w:tcPr>
            <w:tcW w:w="5497" w:type="dxa"/>
            <w:tcBorders>
              <w:top w:val="single" w:sz="4" w:space="0" w:color="auto"/>
              <w:left w:val="single" w:sz="8" w:space="0" w:color="00B0F0"/>
              <w:bottom w:val="single" w:sz="4" w:space="0" w:color="auto"/>
            </w:tcBorders>
            <w:shd w:val="clear" w:color="auto" w:fill="auto"/>
            <w:noWrap/>
          </w:tcPr>
          <w:p w14:paraId="06A300FC" w14:textId="77777777" w:rsidR="00DF60E7" w:rsidRPr="00E11634" w:rsidRDefault="00DF60E7" w:rsidP="00140420">
            <w:pPr>
              <w:spacing w:after="0" w:line="240" w:lineRule="auto"/>
              <w:rPr>
                <w:rFonts w:eastAsia="Calibri" w:cs="Times New Roman"/>
                <w:color w:val="auto"/>
                <w:sz w:val="20"/>
                <w:szCs w:val="20"/>
              </w:rPr>
            </w:pPr>
            <w:r w:rsidRPr="00E11634">
              <w:rPr>
                <w:rFonts w:eastAsia="Calibri" w:cs="Times New Roman"/>
                <w:color w:val="auto"/>
                <w:sz w:val="20"/>
                <w:szCs w:val="20"/>
              </w:rPr>
              <w:t>Ευρωπαϊκή Επιτροπή</w:t>
            </w:r>
            <w:r w:rsidRPr="00E11634">
              <w:rPr>
                <w:rFonts w:eastAsia="Calibri" w:cs="Times New Roman"/>
                <w:b/>
                <w:color w:val="auto"/>
                <w:sz w:val="20"/>
                <w:szCs w:val="20"/>
                <w:vertAlign w:val="superscript"/>
              </w:rPr>
              <w:t xml:space="preserve"> </w:t>
            </w:r>
          </w:p>
        </w:tc>
        <w:tc>
          <w:tcPr>
            <w:tcW w:w="1439" w:type="dxa"/>
            <w:tcBorders>
              <w:top w:val="single" w:sz="4" w:space="0" w:color="auto"/>
              <w:bottom w:val="single" w:sz="4" w:space="0" w:color="auto"/>
              <w:right w:val="nil"/>
            </w:tcBorders>
            <w:shd w:val="clear" w:color="auto" w:fill="auto"/>
            <w:noWrap/>
          </w:tcPr>
          <w:p w14:paraId="36697E5E" w14:textId="77777777" w:rsidR="00DF60E7" w:rsidRPr="00E11634" w:rsidRDefault="00DF60E7" w:rsidP="00140420">
            <w:pPr>
              <w:spacing w:after="0" w:line="240" w:lineRule="auto"/>
              <w:jc w:val="center"/>
              <w:rPr>
                <w:rFonts w:eastAsia="Calibri" w:cs="Times New Roman"/>
                <w:i/>
                <w:color w:val="auto"/>
                <w:sz w:val="20"/>
                <w:szCs w:val="20"/>
              </w:rPr>
            </w:pPr>
          </w:p>
        </w:tc>
        <w:tc>
          <w:tcPr>
            <w:tcW w:w="1356" w:type="dxa"/>
            <w:tcBorders>
              <w:top w:val="single" w:sz="4" w:space="0" w:color="auto"/>
              <w:left w:val="nil"/>
              <w:bottom w:val="single" w:sz="4" w:space="0" w:color="auto"/>
              <w:right w:val="single" w:sz="8" w:space="0" w:color="00B0F0"/>
            </w:tcBorders>
          </w:tcPr>
          <w:p w14:paraId="0821A62E" w14:textId="77777777" w:rsidR="00DF60E7" w:rsidRPr="00E11634" w:rsidRDefault="00DF60E7" w:rsidP="00140420">
            <w:pPr>
              <w:spacing w:after="0" w:line="240" w:lineRule="auto"/>
              <w:jc w:val="center"/>
              <w:rPr>
                <w:rFonts w:eastAsia="Calibri" w:cs="Times New Roman"/>
                <w:i/>
                <w:color w:val="auto"/>
                <w:sz w:val="20"/>
                <w:szCs w:val="20"/>
              </w:rPr>
            </w:pPr>
            <w:r w:rsidRPr="00E11634">
              <w:rPr>
                <w:rFonts w:eastAsia="Calibri" w:cs="Times New Roman"/>
                <w:i/>
                <w:color w:val="auto"/>
                <w:sz w:val="20"/>
                <w:szCs w:val="20"/>
              </w:rPr>
              <w:t>15,0%</w:t>
            </w:r>
          </w:p>
        </w:tc>
      </w:tr>
      <w:tr w:rsidR="00DF60E7" w:rsidRPr="002F5A77" w14:paraId="68E6F6E9" w14:textId="77777777" w:rsidTr="00140420">
        <w:trPr>
          <w:trHeight w:val="326"/>
        </w:trPr>
        <w:tc>
          <w:tcPr>
            <w:tcW w:w="5497" w:type="dxa"/>
            <w:tcBorders>
              <w:top w:val="single" w:sz="4" w:space="0" w:color="auto"/>
              <w:left w:val="single" w:sz="8" w:space="0" w:color="00B0F0"/>
              <w:bottom w:val="single" w:sz="4" w:space="0" w:color="auto"/>
            </w:tcBorders>
            <w:shd w:val="clear" w:color="auto" w:fill="auto"/>
            <w:noWrap/>
          </w:tcPr>
          <w:p w14:paraId="7061F296" w14:textId="77777777" w:rsidR="00DF60E7" w:rsidRPr="00E11634" w:rsidRDefault="00DF60E7" w:rsidP="00140420">
            <w:pPr>
              <w:spacing w:after="0" w:line="240" w:lineRule="auto"/>
              <w:rPr>
                <w:rFonts w:eastAsia="Calibri" w:cs="Times New Roman"/>
                <w:color w:val="auto"/>
                <w:sz w:val="20"/>
                <w:szCs w:val="20"/>
              </w:rPr>
            </w:pPr>
            <w:r w:rsidRPr="00E11634">
              <w:rPr>
                <w:rFonts w:eastAsia="Calibri" w:cs="Times New Roman"/>
                <w:color w:val="auto"/>
                <w:sz w:val="20"/>
                <w:szCs w:val="20"/>
              </w:rPr>
              <w:t xml:space="preserve">ΟΟΣΑ </w:t>
            </w:r>
          </w:p>
        </w:tc>
        <w:tc>
          <w:tcPr>
            <w:tcW w:w="1439" w:type="dxa"/>
            <w:tcBorders>
              <w:top w:val="single" w:sz="4" w:space="0" w:color="auto"/>
              <w:bottom w:val="single" w:sz="4" w:space="0" w:color="auto"/>
              <w:right w:val="nil"/>
            </w:tcBorders>
            <w:shd w:val="clear" w:color="auto" w:fill="auto"/>
            <w:noWrap/>
          </w:tcPr>
          <w:p w14:paraId="78A456C1" w14:textId="77777777" w:rsidR="00DF60E7" w:rsidRPr="00E11634" w:rsidRDefault="00DF60E7" w:rsidP="00140420">
            <w:pPr>
              <w:spacing w:after="0" w:line="240" w:lineRule="auto"/>
              <w:jc w:val="center"/>
              <w:rPr>
                <w:rFonts w:eastAsia="Calibri" w:cs="Times New Roman"/>
                <w:i/>
                <w:color w:val="auto"/>
                <w:sz w:val="20"/>
                <w:szCs w:val="20"/>
              </w:rPr>
            </w:pPr>
          </w:p>
        </w:tc>
        <w:tc>
          <w:tcPr>
            <w:tcW w:w="1356" w:type="dxa"/>
            <w:tcBorders>
              <w:top w:val="single" w:sz="4" w:space="0" w:color="auto"/>
              <w:left w:val="nil"/>
              <w:bottom w:val="single" w:sz="4" w:space="0" w:color="auto"/>
              <w:right w:val="single" w:sz="8" w:space="0" w:color="00B0F0"/>
            </w:tcBorders>
          </w:tcPr>
          <w:p w14:paraId="53A12A77" w14:textId="77777777" w:rsidR="00DF60E7" w:rsidRPr="00E11634" w:rsidRDefault="00DF60E7" w:rsidP="00140420">
            <w:pPr>
              <w:spacing w:after="0" w:line="240" w:lineRule="auto"/>
              <w:jc w:val="center"/>
              <w:rPr>
                <w:rFonts w:eastAsia="Calibri" w:cs="Times New Roman"/>
                <w:i/>
                <w:color w:val="auto"/>
                <w:sz w:val="20"/>
                <w:szCs w:val="20"/>
              </w:rPr>
            </w:pPr>
            <w:r w:rsidRPr="00E11634">
              <w:rPr>
                <w:rFonts w:eastAsia="Calibri" w:cs="Times New Roman"/>
                <w:i/>
                <w:color w:val="auto"/>
                <w:sz w:val="20"/>
                <w:szCs w:val="20"/>
                <w:lang w:val="en-US"/>
              </w:rPr>
              <w:t>13</w:t>
            </w:r>
            <w:r w:rsidRPr="00E11634">
              <w:rPr>
                <w:rFonts w:eastAsia="Calibri" w:cs="Times New Roman"/>
                <w:i/>
                <w:color w:val="auto"/>
                <w:sz w:val="20"/>
                <w:szCs w:val="20"/>
              </w:rPr>
              <w:t>,3%</w:t>
            </w:r>
          </w:p>
        </w:tc>
      </w:tr>
      <w:tr w:rsidR="00DF60E7" w:rsidRPr="002F5A77" w14:paraId="1021DB0D" w14:textId="77777777" w:rsidTr="00140420">
        <w:trPr>
          <w:trHeight w:val="326"/>
        </w:trPr>
        <w:tc>
          <w:tcPr>
            <w:tcW w:w="5497" w:type="dxa"/>
            <w:tcBorders>
              <w:top w:val="single" w:sz="4" w:space="0" w:color="auto"/>
              <w:left w:val="single" w:sz="8" w:space="0" w:color="00B0F0"/>
              <w:bottom w:val="single" w:sz="4" w:space="0" w:color="auto"/>
            </w:tcBorders>
            <w:shd w:val="clear" w:color="auto" w:fill="F2F2F2" w:themeFill="background1" w:themeFillShade="F2"/>
            <w:noWrap/>
          </w:tcPr>
          <w:p w14:paraId="7F9B471F" w14:textId="77777777" w:rsidR="00DF60E7" w:rsidRPr="00E11634" w:rsidRDefault="00DF60E7" w:rsidP="00140420">
            <w:pPr>
              <w:spacing w:after="0" w:line="240" w:lineRule="auto"/>
              <w:rPr>
                <w:rFonts w:eastAsia="Calibri" w:cs="Times New Roman"/>
                <w:color w:val="auto"/>
                <w:sz w:val="20"/>
                <w:szCs w:val="20"/>
              </w:rPr>
            </w:pPr>
            <w:r w:rsidRPr="00E11634">
              <w:rPr>
                <w:rFonts w:eastAsia="Calibri" w:cs="Times New Roman"/>
                <w:b/>
                <w:color w:val="auto"/>
                <w:sz w:val="20"/>
                <w:szCs w:val="20"/>
              </w:rPr>
              <w:t>Εισαγωγές (αγαθών &amp; υπηρεσιών)</w:t>
            </w:r>
          </w:p>
        </w:tc>
        <w:tc>
          <w:tcPr>
            <w:tcW w:w="1439" w:type="dxa"/>
            <w:tcBorders>
              <w:top w:val="single" w:sz="4" w:space="0" w:color="auto"/>
              <w:bottom w:val="single" w:sz="4" w:space="0" w:color="auto"/>
              <w:right w:val="nil"/>
            </w:tcBorders>
            <w:shd w:val="clear" w:color="auto" w:fill="F2F2F2" w:themeFill="background1" w:themeFillShade="F2"/>
            <w:noWrap/>
          </w:tcPr>
          <w:p w14:paraId="0304617B" w14:textId="77777777" w:rsidR="00DF60E7" w:rsidRPr="00E11634" w:rsidRDefault="00DF60E7" w:rsidP="00140420">
            <w:pPr>
              <w:spacing w:after="0" w:line="240" w:lineRule="auto"/>
              <w:jc w:val="center"/>
              <w:rPr>
                <w:rFonts w:eastAsia="Calibri" w:cs="Times New Roman"/>
                <w:i/>
                <w:color w:val="auto"/>
                <w:sz w:val="20"/>
                <w:szCs w:val="20"/>
              </w:rPr>
            </w:pPr>
          </w:p>
        </w:tc>
        <w:tc>
          <w:tcPr>
            <w:tcW w:w="1356" w:type="dxa"/>
            <w:tcBorders>
              <w:top w:val="single" w:sz="4" w:space="0" w:color="auto"/>
              <w:left w:val="nil"/>
              <w:bottom w:val="single" w:sz="4" w:space="0" w:color="auto"/>
              <w:right w:val="single" w:sz="8" w:space="0" w:color="00B0F0"/>
            </w:tcBorders>
            <w:shd w:val="clear" w:color="auto" w:fill="F2F2F2" w:themeFill="background1" w:themeFillShade="F2"/>
          </w:tcPr>
          <w:p w14:paraId="5A1C70D7" w14:textId="77777777" w:rsidR="00DF60E7" w:rsidRPr="00E11634" w:rsidRDefault="00DF60E7" w:rsidP="00140420">
            <w:pPr>
              <w:spacing w:after="0" w:line="240" w:lineRule="auto"/>
              <w:jc w:val="center"/>
              <w:rPr>
                <w:rFonts w:eastAsia="Calibri" w:cs="Times New Roman"/>
                <w:i/>
                <w:color w:val="auto"/>
                <w:sz w:val="20"/>
                <w:szCs w:val="20"/>
              </w:rPr>
            </w:pPr>
          </w:p>
        </w:tc>
      </w:tr>
      <w:tr w:rsidR="00DF60E7" w:rsidRPr="002F5A77" w14:paraId="692CE600" w14:textId="77777777" w:rsidTr="00140420">
        <w:trPr>
          <w:trHeight w:val="326"/>
        </w:trPr>
        <w:tc>
          <w:tcPr>
            <w:tcW w:w="5497" w:type="dxa"/>
            <w:tcBorders>
              <w:top w:val="single" w:sz="4" w:space="0" w:color="auto"/>
              <w:left w:val="single" w:sz="8" w:space="0" w:color="00B0F0"/>
              <w:bottom w:val="single" w:sz="4" w:space="0" w:color="auto"/>
            </w:tcBorders>
            <w:shd w:val="clear" w:color="auto" w:fill="auto"/>
            <w:noWrap/>
          </w:tcPr>
          <w:p w14:paraId="7DDD3E43" w14:textId="77777777" w:rsidR="00DF60E7" w:rsidRPr="00E11634" w:rsidRDefault="00DF60E7" w:rsidP="00140420">
            <w:pPr>
              <w:spacing w:after="0" w:line="240" w:lineRule="auto"/>
              <w:rPr>
                <w:rFonts w:eastAsia="Calibri" w:cs="Times New Roman"/>
                <w:color w:val="auto"/>
                <w:sz w:val="20"/>
                <w:szCs w:val="20"/>
              </w:rPr>
            </w:pPr>
            <w:r w:rsidRPr="00E11634">
              <w:rPr>
                <w:rFonts w:eastAsia="Calibri" w:cs="Times New Roman"/>
                <w:color w:val="auto"/>
                <w:sz w:val="20"/>
                <w:szCs w:val="20"/>
              </w:rPr>
              <w:t>Υπ. Οικονομικών</w:t>
            </w:r>
          </w:p>
        </w:tc>
        <w:tc>
          <w:tcPr>
            <w:tcW w:w="1439" w:type="dxa"/>
            <w:tcBorders>
              <w:top w:val="single" w:sz="4" w:space="0" w:color="auto"/>
              <w:bottom w:val="single" w:sz="4" w:space="0" w:color="auto"/>
              <w:right w:val="nil"/>
            </w:tcBorders>
            <w:shd w:val="clear" w:color="auto" w:fill="auto"/>
            <w:noWrap/>
          </w:tcPr>
          <w:p w14:paraId="2BAA878D" w14:textId="77777777" w:rsidR="00DF60E7" w:rsidRPr="00E11634" w:rsidRDefault="00DF60E7" w:rsidP="00140420">
            <w:pPr>
              <w:spacing w:after="0" w:line="240" w:lineRule="auto"/>
              <w:jc w:val="center"/>
              <w:rPr>
                <w:rFonts w:eastAsia="Calibri" w:cs="Times New Roman"/>
                <w:i/>
                <w:color w:val="auto"/>
                <w:sz w:val="20"/>
                <w:szCs w:val="20"/>
              </w:rPr>
            </w:pPr>
          </w:p>
        </w:tc>
        <w:tc>
          <w:tcPr>
            <w:tcW w:w="1356" w:type="dxa"/>
            <w:tcBorders>
              <w:top w:val="single" w:sz="4" w:space="0" w:color="auto"/>
              <w:left w:val="nil"/>
              <w:bottom w:val="single" w:sz="4" w:space="0" w:color="auto"/>
              <w:right w:val="single" w:sz="8" w:space="0" w:color="00B0F0"/>
            </w:tcBorders>
          </w:tcPr>
          <w:p w14:paraId="481F05C3" w14:textId="77777777" w:rsidR="00DF60E7" w:rsidRPr="00E11634" w:rsidRDefault="00DF60E7" w:rsidP="00140420">
            <w:pPr>
              <w:spacing w:after="0" w:line="240" w:lineRule="auto"/>
              <w:jc w:val="center"/>
              <w:rPr>
                <w:rFonts w:eastAsia="Calibri" w:cs="Times New Roman"/>
                <w:i/>
                <w:color w:val="auto"/>
                <w:sz w:val="20"/>
                <w:szCs w:val="20"/>
              </w:rPr>
            </w:pPr>
            <w:r w:rsidRPr="00E11634">
              <w:rPr>
                <w:rFonts w:eastAsia="Calibri" w:cs="Times New Roman"/>
                <w:i/>
                <w:color w:val="auto"/>
                <w:sz w:val="20"/>
                <w:szCs w:val="20"/>
              </w:rPr>
              <w:t>8,9%</w:t>
            </w:r>
          </w:p>
        </w:tc>
      </w:tr>
      <w:tr w:rsidR="00DF60E7" w:rsidRPr="002F5A77" w14:paraId="77CF4630" w14:textId="77777777" w:rsidTr="00140420">
        <w:trPr>
          <w:trHeight w:val="326"/>
        </w:trPr>
        <w:tc>
          <w:tcPr>
            <w:tcW w:w="5497" w:type="dxa"/>
            <w:tcBorders>
              <w:top w:val="single" w:sz="4" w:space="0" w:color="auto"/>
              <w:left w:val="single" w:sz="8" w:space="0" w:color="00B0F0"/>
              <w:bottom w:val="single" w:sz="4" w:space="0" w:color="auto"/>
            </w:tcBorders>
            <w:shd w:val="clear" w:color="auto" w:fill="auto"/>
            <w:noWrap/>
          </w:tcPr>
          <w:p w14:paraId="7A8077DF" w14:textId="77777777" w:rsidR="00DF60E7" w:rsidRPr="00E11634" w:rsidRDefault="00DF60E7" w:rsidP="00140420">
            <w:pPr>
              <w:spacing w:after="0" w:line="240" w:lineRule="auto"/>
              <w:rPr>
                <w:rFonts w:eastAsia="Calibri" w:cs="Times New Roman"/>
                <w:color w:val="auto"/>
                <w:sz w:val="20"/>
                <w:szCs w:val="20"/>
              </w:rPr>
            </w:pPr>
            <w:r w:rsidRPr="00E11634">
              <w:rPr>
                <w:rFonts w:eastAsia="Calibri" w:cs="Times New Roman"/>
                <w:color w:val="auto"/>
                <w:sz w:val="20"/>
                <w:szCs w:val="20"/>
              </w:rPr>
              <w:t>Ευρωπαϊκή Επιτροπή</w:t>
            </w:r>
            <w:r w:rsidRPr="00E11634">
              <w:rPr>
                <w:rFonts w:eastAsia="Calibri" w:cs="Times New Roman"/>
                <w:b/>
                <w:color w:val="auto"/>
                <w:sz w:val="20"/>
                <w:szCs w:val="20"/>
                <w:vertAlign w:val="superscript"/>
              </w:rPr>
              <w:t xml:space="preserve"> </w:t>
            </w:r>
          </w:p>
        </w:tc>
        <w:tc>
          <w:tcPr>
            <w:tcW w:w="1439" w:type="dxa"/>
            <w:tcBorders>
              <w:top w:val="single" w:sz="4" w:space="0" w:color="auto"/>
              <w:bottom w:val="single" w:sz="4" w:space="0" w:color="auto"/>
              <w:right w:val="nil"/>
            </w:tcBorders>
            <w:shd w:val="clear" w:color="auto" w:fill="auto"/>
            <w:noWrap/>
          </w:tcPr>
          <w:p w14:paraId="2D83991A" w14:textId="77777777" w:rsidR="00DF60E7" w:rsidRPr="00E11634" w:rsidRDefault="00DF60E7" w:rsidP="00140420">
            <w:pPr>
              <w:spacing w:after="0" w:line="240" w:lineRule="auto"/>
              <w:jc w:val="center"/>
              <w:rPr>
                <w:rFonts w:eastAsia="Calibri" w:cs="Times New Roman"/>
                <w:i/>
                <w:color w:val="auto"/>
                <w:sz w:val="20"/>
                <w:szCs w:val="20"/>
              </w:rPr>
            </w:pPr>
          </w:p>
        </w:tc>
        <w:tc>
          <w:tcPr>
            <w:tcW w:w="1356" w:type="dxa"/>
            <w:tcBorders>
              <w:top w:val="single" w:sz="4" w:space="0" w:color="auto"/>
              <w:left w:val="nil"/>
              <w:bottom w:val="single" w:sz="4" w:space="0" w:color="auto"/>
              <w:right w:val="single" w:sz="8" w:space="0" w:color="00B0F0"/>
            </w:tcBorders>
          </w:tcPr>
          <w:p w14:paraId="2C955449" w14:textId="77777777" w:rsidR="00DF60E7" w:rsidRPr="00E11634" w:rsidRDefault="00DF60E7" w:rsidP="00140420">
            <w:pPr>
              <w:spacing w:after="0" w:line="240" w:lineRule="auto"/>
              <w:jc w:val="center"/>
              <w:rPr>
                <w:rFonts w:eastAsia="Calibri" w:cs="Times New Roman"/>
                <w:i/>
                <w:color w:val="auto"/>
                <w:sz w:val="20"/>
                <w:szCs w:val="20"/>
              </w:rPr>
            </w:pPr>
            <w:r w:rsidRPr="00E11634">
              <w:rPr>
                <w:rFonts w:eastAsia="Calibri" w:cs="Times New Roman"/>
                <w:i/>
                <w:color w:val="auto"/>
                <w:sz w:val="20"/>
                <w:szCs w:val="20"/>
              </w:rPr>
              <w:t>6,9%</w:t>
            </w:r>
          </w:p>
        </w:tc>
      </w:tr>
      <w:tr w:rsidR="00DF60E7" w:rsidRPr="002F5A77" w14:paraId="0E65027B" w14:textId="77777777" w:rsidTr="00140420">
        <w:trPr>
          <w:trHeight w:val="326"/>
        </w:trPr>
        <w:tc>
          <w:tcPr>
            <w:tcW w:w="5497" w:type="dxa"/>
            <w:tcBorders>
              <w:top w:val="single" w:sz="4" w:space="0" w:color="auto"/>
              <w:left w:val="single" w:sz="8" w:space="0" w:color="00B0F0"/>
              <w:bottom w:val="single" w:sz="4" w:space="0" w:color="auto"/>
            </w:tcBorders>
            <w:shd w:val="clear" w:color="auto" w:fill="auto"/>
            <w:noWrap/>
          </w:tcPr>
          <w:p w14:paraId="65C49F30" w14:textId="77777777" w:rsidR="00DF60E7" w:rsidRPr="00E11634" w:rsidRDefault="00DF60E7" w:rsidP="00140420">
            <w:pPr>
              <w:spacing w:after="0" w:line="240" w:lineRule="auto"/>
              <w:rPr>
                <w:rFonts w:eastAsia="Calibri" w:cs="Times New Roman"/>
                <w:color w:val="auto"/>
                <w:sz w:val="20"/>
                <w:szCs w:val="20"/>
              </w:rPr>
            </w:pPr>
            <w:r w:rsidRPr="00E11634">
              <w:rPr>
                <w:rFonts w:eastAsia="Calibri" w:cs="Times New Roman"/>
                <w:color w:val="auto"/>
                <w:sz w:val="20"/>
                <w:szCs w:val="20"/>
              </w:rPr>
              <w:t xml:space="preserve">ΟΟΣΑ </w:t>
            </w:r>
          </w:p>
        </w:tc>
        <w:tc>
          <w:tcPr>
            <w:tcW w:w="1439" w:type="dxa"/>
            <w:tcBorders>
              <w:top w:val="single" w:sz="4" w:space="0" w:color="auto"/>
              <w:bottom w:val="single" w:sz="4" w:space="0" w:color="auto"/>
              <w:right w:val="nil"/>
            </w:tcBorders>
            <w:shd w:val="clear" w:color="auto" w:fill="auto"/>
            <w:noWrap/>
          </w:tcPr>
          <w:p w14:paraId="431BE91A" w14:textId="77777777" w:rsidR="00DF60E7" w:rsidRPr="00E11634" w:rsidRDefault="00DF60E7" w:rsidP="00140420">
            <w:pPr>
              <w:spacing w:after="0" w:line="240" w:lineRule="auto"/>
              <w:jc w:val="center"/>
              <w:rPr>
                <w:rFonts w:eastAsia="Calibri" w:cs="Times New Roman"/>
                <w:i/>
                <w:color w:val="auto"/>
                <w:sz w:val="20"/>
                <w:szCs w:val="20"/>
              </w:rPr>
            </w:pPr>
          </w:p>
        </w:tc>
        <w:tc>
          <w:tcPr>
            <w:tcW w:w="1356" w:type="dxa"/>
            <w:tcBorders>
              <w:top w:val="single" w:sz="4" w:space="0" w:color="auto"/>
              <w:left w:val="nil"/>
              <w:bottom w:val="single" w:sz="4" w:space="0" w:color="auto"/>
              <w:right w:val="single" w:sz="8" w:space="0" w:color="00B0F0"/>
            </w:tcBorders>
          </w:tcPr>
          <w:p w14:paraId="20CA5D2B" w14:textId="77777777" w:rsidR="00DF60E7" w:rsidRPr="00E11634" w:rsidRDefault="00DF60E7" w:rsidP="00140420">
            <w:pPr>
              <w:spacing w:after="0" w:line="240" w:lineRule="auto"/>
              <w:jc w:val="center"/>
              <w:rPr>
                <w:rFonts w:eastAsia="Calibri" w:cs="Times New Roman"/>
                <w:i/>
                <w:color w:val="auto"/>
                <w:sz w:val="20"/>
                <w:szCs w:val="20"/>
              </w:rPr>
            </w:pPr>
            <w:r w:rsidRPr="00E11634">
              <w:rPr>
                <w:rFonts w:eastAsia="Calibri" w:cs="Times New Roman"/>
                <w:i/>
                <w:color w:val="auto"/>
                <w:sz w:val="20"/>
                <w:szCs w:val="20"/>
              </w:rPr>
              <w:t>9,1%</w:t>
            </w:r>
          </w:p>
        </w:tc>
      </w:tr>
    </w:tbl>
    <w:p w14:paraId="541CE394" w14:textId="77777777" w:rsidR="00DF60E7" w:rsidRPr="002F5A77" w:rsidRDefault="00DF60E7" w:rsidP="00DF60E7">
      <w:pPr>
        <w:tabs>
          <w:tab w:val="left" w:pos="1113"/>
        </w:tabs>
        <w:spacing w:after="0" w:line="240" w:lineRule="auto"/>
        <w:ind w:left="142" w:hanging="142"/>
        <w:rPr>
          <w:rFonts w:eastAsia="Calibri" w:cs="Times New Roman"/>
          <w:b/>
          <w:sz w:val="16"/>
          <w:szCs w:val="16"/>
        </w:rPr>
      </w:pPr>
      <w:r w:rsidRPr="002F5A77">
        <w:rPr>
          <w:rFonts w:eastAsia="Calibri" w:cs="Times New Roman"/>
          <w:b/>
          <w:sz w:val="16"/>
          <w:szCs w:val="16"/>
        </w:rPr>
        <w:t xml:space="preserve">Πηγές:  </w:t>
      </w:r>
    </w:p>
    <w:p w14:paraId="735375C3" w14:textId="77777777" w:rsidR="00DF60E7" w:rsidRPr="00291D9A" w:rsidRDefault="00DF60E7" w:rsidP="00DF60E7">
      <w:pPr>
        <w:spacing w:after="0" w:line="240" w:lineRule="auto"/>
        <w:rPr>
          <w:rFonts w:eastAsia="Calibri" w:cs="Times New Roman"/>
          <w:color w:val="00A3E0"/>
          <w:sz w:val="16"/>
          <w:szCs w:val="16"/>
        </w:rPr>
      </w:pPr>
      <w:r w:rsidRPr="00291D9A">
        <w:rPr>
          <w:rFonts w:eastAsia="Calibri" w:cs="Times New Roman"/>
          <w:b/>
          <w:color w:val="00A3E0"/>
          <w:sz w:val="16"/>
          <w:szCs w:val="16"/>
        </w:rPr>
        <w:t>1.</w:t>
      </w:r>
      <w:r w:rsidRPr="00291D9A">
        <w:rPr>
          <w:rFonts w:eastAsia="Calibri" w:cs="Times New Roman"/>
          <w:color w:val="00A3E0"/>
          <w:sz w:val="16"/>
          <w:szCs w:val="16"/>
        </w:rPr>
        <w:t xml:space="preserve"> </w:t>
      </w:r>
      <w:r>
        <w:rPr>
          <w:rFonts w:eastAsia="Calibri" w:cs="Calibri"/>
          <w:color w:val="00A3E0"/>
          <w:sz w:val="16"/>
          <w:szCs w:val="16"/>
        </w:rPr>
        <w:t>Υπουργείο Οικονομικών</w:t>
      </w:r>
      <w:r w:rsidRPr="002F5A77">
        <w:rPr>
          <w:rFonts w:eastAsia="Calibri" w:cs="Calibri"/>
          <w:color w:val="00A3E0"/>
          <w:sz w:val="16"/>
          <w:szCs w:val="16"/>
        </w:rPr>
        <w:t>,</w:t>
      </w:r>
      <w:r>
        <w:rPr>
          <w:rFonts w:eastAsia="Calibri" w:cs="Calibri"/>
          <w:color w:val="00A3E0"/>
          <w:sz w:val="16"/>
          <w:szCs w:val="16"/>
        </w:rPr>
        <w:t xml:space="preserve"> </w:t>
      </w:r>
      <w:r w:rsidRPr="002F5A77">
        <w:rPr>
          <w:rFonts w:eastAsia="Calibri" w:cs="Calibri"/>
          <w:color w:val="00A3E0"/>
          <w:sz w:val="16"/>
          <w:szCs w:val="16"/>
        </w:rPr>
        <w:t>Προσχέ</w:t>
      </w:r>
      <w:r>
        <w:rPr>
          <w:rFonts w:eastAsia="Calibri" w:cs="Calibri"/>
          <w:color w:val="00A3E0"/>
          <w:sz w:val="16"/>
          <w:szCs w:val="16"/>
        </w:rPr>
        <w:t>διο κρατικού προϋπολογισμού 2022</w:t>
      </w:r>
      <w:r w:rsidRPr="002F5A77">
        <w:rPr>
          <w:rFonts w:eastAsia="Calibri" w:cs="Calibri"/>
          <w:color w:val="00A3E0"/>
          <w:sz w:val="16"/>
          <w:szCs w:val="16"/>
        </w:rPr>
        <w:t>, Οκτώβριος 20</w:t>
      </w:r>
      <w:r>
        <w:rPr>
          <w:rFonts w:eastAsia="Calibri" w:cs="Calibri"/>
          <w:color w:val="00A3E0"/>
          <w:sz w:val="16"/>
          <w:szCs w:val="16"/>
        </w:rPr>
        <w:t>21</w:t>
      </w:r>
      <w:r w:rsidRPr="002F5A77">
        <w:rPr>
          <w:rFonts w:eastAsia="Calibri" w:cs="Calibri"/>
          <w:color w:val="00A3E0"/>
          <w:sz w:val="16"/>
          <w:szCs w:val="16"/>
        </w:rPr>
        <w:t>.</w:t>
      </w:r>
    </w:p>
    <w:p w14:paraId="63D9A13D" w14:textId="77777777" w:rsidR="00DF60E7" w:rsidRPr="002F5A77" w:rsidRDefault="00DF60E7" w:rsidP="00DF60E7">
      <w:pPr>
        <w:spacing w:after="0" w:line="240" w:lineRule="auto"/>
        <w:rPr>
          <w:rFonts w:eastAsia="Calibri" w:cs="Times New Roman"/>
          <w:color w:val="00A3E0"/>
          <w:sz w:val="16"/>
          <w:szCs w:val="16"/>
          <w:lang w:val="en-US"/>
        </w:rPr>
      </w:pPr>
      <w:r w:rsidRPr="002F5A77">
        <w:rPr>
          <w:rFonts w:eastAsia="Calibri" w:cs="Times New Roman"/>
          <w:b/>
          <w:color w:val="00A3E0"/>
          <w:sz w:val="16"/>
          <w:szCs w:val="16"/>
          <w:lang w:val="en-US"/>
        </w:rPr>
        <w:t>2.</w:t>
      </w:r>
      <w:r w:rsidRPr="002F5A77">
        <w:rPr>
          <w:rFonts w:eastAsia="Calibri" w:cs="Times New Roman"/>
          <w:color w:val="00A3E0"/>
          <w:sz w:val="16"/>
          <w:szCs w:val="16"/>
          <w:lang w:val="en-US"/>
        </w:rPr>
        <w:t xml:space="preserve"> </w:t>
      </w:r>
      <w:r w:rsidRPr="00BC1678">
        <w:rPr>
          <w:rFonts w:eastAsia="Calibri" w:cs="Calibri"/>
          <w:color w:val="00A3E0"/>
          <w:sz w:val="16"/>
          <w:szCs w:val="16"/>
          <w:lang w:val="en-US"/>
        </w:rPr>
        <w:t>European Commission,</w:t>
      </w:r>
      <w:r w:rsidRPr="00BC1678">
        <w:rPr>
          <w:rFonts w:eastAsia="Calibri" w:cs="Calibri"/>
          <w:color w:val="00A3E0"/>
          <w:sz w:val="16"/>
          <w:szCs w:val="16"/>
          <w:lang w:val="en-GB"/>
        </w:rPr>
        <w:t xml:space="preserve"> </w:t>
      </w:r>
      <w:r w:rsidRPr="00BC1678">
        <w:rPr>
          <w:rFonts w:eastAsia="Calibri" w:cs="Calibri"/>
          <w:color w:val="00A3E0"/>
          <w:sz w:val="16"/>
          <w:szCs w:val="16"/>
          <w:lang w:val="en-US"/>
        </w:rPr>
        <w:t>European Economic Forecast, Autumn 202</w:t>
      </w:r>
      <w:r w:rsidRPr="007F05E5">
        <w:rPr>
          <w:rFonts w:eastAsia="Calibri" w:cs="Calibri"/>
          <w:color w:val="00A3E0"/>
          <w:sz w:val="16"/>
          <w:szCs w:val="16"/>
          <w:lang w:val="en-US"/>
        </w:rPr>
        <w:t>1</w:t>
      </w:r>
      <w:r w:rsidRPr="00BC1678">
        <w:rPr>
          <w:rFonts w:eastAsia="Calibri" w:cs="Calibri"/>
          <w:color w:val="00A3E0"/>
          <w:sz w:val="16"/>
          <w:szCs w:val="16"/>
          <w:lang w:val="en-US"/>
        </w:rPr>
        <w:t xml:space="preserve">, </w:t>
      </w:r>
      <w:r w:rsidRPr="00BC1678">
        <w:rPr>
          <w:rFonts w:eastAsia="Calibri" w:cs="Calibri"/>
          <w:color w:val="00A3E0"/>
          <w:sz w:val="16"/>
          <w:szCs w:val="16"/>
        </w:rPr>
        <w:t>Νοέμβριος</w:t>
      </w:r>
      <w:r w:rsidRPr="00BC1678">
        <w:rPr>
          <w:rFonts w:eastAsia="Calibri" w:cs="Calibri"/>
          <w:color w:val="00A3E0"/>
          <w:sz w:val="16"/>
          <w:szCs w:val="16"/>
          <w:lang w:val="en-US"/>
        </w:rPr>
        <w:t xml:space="preserve"> 202</w:t>
      </w:r>
      <w:r w:rsidRPr="007F05E5">
        <w:rPr>
          <w:rFonts w:eastAsia="Calibri" w:cs="Calibri"/>
          <w:color w:val="00A3E0"/>
          <w:sz w:val="16"/>
          <w:szCs w:val="16"/>
          <w:lang w:val="en-US"/>
        </w:rPr>
        <w:t>1</w:t>
      </w:r>
      <w:r w:rsidRPr="00BC1678">
        <w:rPr>
          <w:rFonts w:eastAsia="Calibri" w:cs="Calibri"/>
          <w:color w:val="00A3E0"/>
          <w:sz w:val="16"/>
          <w:szCs w:val="16"/>
          <w:lang w:val="en-US"/>
        </w:rPr>
        <w:t>.</w:t>
      </w:r>
    </w:p>
    <w:p w14:paraId="2F0B947A" w14:textId="77777777" w:rsidR="00DF60E7" w:rsidRPr="00291D9A" w:rsidRDefault="00DF60E7" w:rsidP="00DF60E7">
      <w:pPr>
        <w:spacing w:after="0" w:line="240" w:lineRule="auto"/>
        <w:rPr>
          <w:rFonts w:eastAsia="Calibri" w:cs="Calibri"/>
          <w:color w:val="00A3E0"/>
          <w:sz w:val="16"/>
          <w:szCs w:val="16"/>
          <w:lang w:val="en-US"/>
        </w:rPr>
      </w:pPr>
      <w:r w:rsidRPr="00291D9A">
        <w:rPr>
          <w:rFonts w:eastAsia="Calibri" w:cs="Times New Roman"/>
          <w:b/>
          <w:color w:val="00A3E0"/>
          <w:sz w:val="16"/>
          <w:szCs w:val="16"/>
          <w:lang w:val="en-US"/>
        </w:rPr>
        <w:t>3.</w:t>
      </w:r>
      <w:r w:rsidRPr="00291D9A">
        <w:rPr>
          <w:rFonts w:eastAsia="Calibri" w:cs="Times New Roman"/>
          <w:color w:val="00A3E0"/>
          <w:sz w:val="16"/>
          <w:szCs w:val="16"/>
          <w:lang w:val="en-US"/>
        </w:rPr>
        <w:t xml:space="preserve"> </w:t>
      </w:r>
      <w:r w:rsidRPr="00FF0ED5">
        <w:rPr>
          <w:rFonts w:eastAsia="Calibri" w:cs="Calibri"/>
          <w:color w:val="00A3E0"/>
          <w:sz w:val="16"/>
          <w:szCs w:val="16"/>
          <w:lang w:val="en-US"/>
        </w:rPr>
        <w:t>OECD, “Economic Outlook No 109”, Μάϊος 2021</w:t>
      </w:r>
      <w:r w:rsidRPr="002F5A77">
        <w:rPr>
          <w:rFonts w:eastAsia="Calibri" w:cs="Calibri"/>
          <w:color w:val="00A3E0"/>
          <w:sz w:val="16"/>
          <w:szCs w:val="16"/>
          <w:lang w:val="en-US"/>
        </w:rPr>
        <w:t>.</w:t>
      </w:r>
    </w:p>
    <w:p w14:paraId="6A4BD4B3" w14:textId="77777777" w:rsidR="00DF60E7" w:rsidRPr="00066EF7" w:rsidRDefault="00DF60E7" w:rsidP="00DF60E7">
      <w:pPr>
        <w:spacing w:after="160" w:line="259" w:lineRule="auto"/>
        <w:rPr>
          <w:rFonts w:eastAsia="Calibri" w:cs="Times New Roman"/>
          <w:bCs/>
          <w:color w:val="auto"/>
          <w:lang w:val="en-US"/>
        </w:rPr>
      </w:pPr>
    </w:p>
    <w:p w14:paraId="7FB1BD78" w14:textId="697F79E6" w:rsidR="00770552" w:rsidRDefault="00770552" w:rsidP="00E11634">
      <w:pPr>
        <w:spacing w:after="160"/>
        <w:rPr>
          <w:rFonts w:eastAsia="Calibri" w:cs="Times New Roman"/>
          <w:bCs/>
          <w:color w:val="auto"/>
        </w:rPr>
      </w:pPr>
      <w:r w:rsidRPr="00770552">
        <w:rPr>
          <w:rFonts w:eastAsia="Calibri" w:cs="Times New Roman"/>
          <w:bCs/>
          <w:color w:val="auto"/>
        </w:rPr>
        <w:t xml:space="preserve">Οι προβλέψεις των διεθνών οργανισμών για τις επιμέρους συνιστώσες του ΑΕΠ το 2022, συγκλίνουν ως προς την ιδιωτική κατανάλωση. Η Ευρωπαϊκή Επιτροπή κάνει ελαφρώς πιο συντηρητική εκτίμηση κατά 0,4 ποσοστιαίες μονάδες, ενώ η πρόβλεψη του ΟΟΣΑ είναι οριακά υψηλότερη από αυτή του Υπουργείου Οικονομικών (+0,1 ποσοστιαία μονάδα). Σχετικά διευρυμένες είναι οι αποκλίσεις των προβλέψεων που αφορούν στη δημόσια κατανάλωση., Εν προκειμένω  Ευρωπαϊκή Επιτροπή προβαίνει σε μία πιο απαισιόδοξη πρόβλεψη σε σχέση </w:t>
      </w:r>
      <w:r w:rsidR="00E04F6F">
        <w:rPr>
          <w:rFonts w:eastAsia="Calibri" w:cs="Times New Roman"/>
          <w:bCs/>
          <w:color w:val="auto"/>
        </w:rPr>
        <w:t xml:space="preserve">με αυτή του </w:t>
      </w:r>
      <w:r w:rsidRPr="00770552">
        <w:rPr>
          <w:rFonts w:eastAsia="Calibri" w:cs="Times New Roman"/>
          <w:bCs/>
          <w:color w:val="auto"/>
        </w:rPr>
        <w:t xml:space="preserve">Υπουργείου Οικονομικών (-3,5% έναντι -2,8%), ενώ πιο αισιόδοξη από αυτή του Υπουργείου Οικονομικών είναι η πρόβλεψη του ΟΟΣΑ (-1,4%). </w:t>
      </w:r>
    </w:p>
    <w:p w14:paraId="6D8C1983" w14:textId="222EE2BA" w:rsidR="00220B88" w:rsidRDefault="00770552" w:rsidP="00E11634">
      <w:pPr>
        <w:spacing w:after="160"/>
        <w:rPr>
          <w:rFonts w:eastAsia="Calibri" w:cs="Times New Roman"/>
          <w:bCs/>
          <w:color w:val="auto"/>
        </w:rPr>
      </w:pPr>
      <w:r w:rsidRPr="00770552">
        <w:rPr>
          <w:rFonts w:eastAsia="Calibri" w:cs="Times New Roman"/>
          <w:bCs/>
          <w:color w:val="auto"/>
        </w:rPr>
        <w:t xml:space="preserve">Απόκλιση </w:t>
      </w:r>
      <w:r w:rsidR="00E04F6F">
        <w:rPr>
          <w:rFonts w:eastAsia="Calibri" w:cs="Times New Roman"/>
          <w:bCs/>
          <w:color w:val="auto"/>
        </w:rPr>
        <w:t>από</w:t>
      </w:r>
      <w:r w:rsidRPr="00770552">
        <w:rPr>
          <w:rFonts w:eastAsia="Calibri" w:cs="Times New Roman"/>
          <w:bCs/>
          <w:color w:val="auto"/>
        </w:rPr>
        <w:t xml:space="preserve"> τις προβλέψεις των δύο διεθνών οργανισμών παρατηρείται στις επενδύσεις, όπου η πρόβλεψη του προσχεδίου είναι σημαντικά υψηλότερη κατά 10,0% και κατά 3,4% σε σχέση με τις προβλέψεις της Ευρωπαϊκής Επιτροπής και εκείνες του ΟΟΣΑ, αντιστοίχως. Τέλος αναφορικά με το εξωτερικό ισοζύγιο οι προβλέψεις του Υπουργείου Οικονομικών είναι πιο συντηρητικές από αυτές της Ευρωπαϊκής Επιτροπής και του ΟΟΣΑ. </w:t>
      </w:r>
    </w:p>
    <w:p w14:paraId="2781B23F" w14:textId="31733406" w:rsidR="00E11634" w:rsidRDefault="00770552" w:rsidP="00E11634">
      <w:pPr>
        <w:spacing w:after="160"/>
        <w:rPr>
          <w:rFonts w:eastAsia="Calibri" w:cs="Times New Roman"/>
          <w:bCs/>
          <w:color w:val="auto"/>
        </w:rPr>
      </w:pPr>
      <w:r w:rsidRPr="00770552">
        <w:rPr>
          <w:rFonts w:eastAsia="Calibri" w:cs="Times New Roman"/>
          <w:bCs/>
          <w:color w:val="auto"/>
        </w:rPr>
        <w:t xml:space="preserve">Δοθέντος ότι οι προβλέψεις του 2022 τόσο της Ευρωπαϊκής Επιτροπής όσο και του ΟΟΣΑ για την μεγέθυνση είναι πιο αισιόδοξες από το σενάριο του Υπουργείου </w:t>
      </w:r>
      <w:r w:rsidRPr="00770552">
        <w:rPr>
          <w:rFonts w:eastAsia="Calibri" w:cs="Times New Roman"/>
          <w:bCs/>
          <w:color w:val="auto"/>
        </w:rPr>
        <w:lastRenderedPageBreak/>
        <w:t>Οικονομικών, οι δύο διεθνείς οργανισμοί οδηγούνται στο συμπέρασμα ότι η βελτίωση στο εξωτερικό ισοζύγιο θα είναι πιο ισχυρή από αυτήν που περιμένει το Υπουργείο Οικονομικών και η οποία θα υπερκαλύψει</w:t>
      </w:r>
      <w:r w:rsidR="00220B88">
        <w:rPr>
          <w:rFonts w:eastAsia="Calibri" w:cs="Times New Roman"/>
          <w:bCs/>
          <w:color w:val="auto"/>
        </w:rPr>
        <w:t xml:space="preserve"> ενδεχόμενη χαμηλότερη επίδοση </w:t>
      </w:r>
      <w:r w:rsidRPr="00770552">
        <w:rPr>
          <w:rFonts w:eastAsia="Calibri" w:cs="Times New Roman"/>
          <w:bCs/>
          <w:color w:val="auto"/>
        </w:rPr>
        <w:t>στο πεδίο των επενδύσεω</w:t>
      </w:r>
      <w:r w:rsidR="00220B88">
        <w:rPr>
          <w:rFonts w:eastAsia="Calibri" w:cs="Times New Roman"/>
          <w:bCs/>
          <w:color w:val="auto"/>
        </w:rPr>
        <w:t>ν</w:t>
      </w:r>
      <w:r w:rsidRPr="00770552">
        <w:rPr>
          <w:rFonts w:eastAsia="Calibri" w:cs="Times New Roman"/>
          <w:bCs/>
          <w:color w:val="auto"/>
        </w:rPr>
        <w:t>, αλλά και της ιδιωτικής κατανάλωσης.</w:t>
      </w:r>
      <w:r w:rsidR="00DF60E7" w:rsidRPr="00FE32A2">
        <w:rPr>
          <w:rFonts w:eastAsia="Calibri" w:cs="Times New Roman"/>
          <w:bCs/>
          <w:color w:val="auto"/>
        </w:rPr>
        <w:t xml:space="preserve"> </w:t>
      </w:r>
    </w:p>
    <w:p w14:paraId="76741FA1" w14:textId="7BC62917" w:rsidR="00DF60E7" w:rsidRPr="002F5A77" w:rsidRDefault="00DF60E7" w:rsidP="00E11634">
      <w:pPr>
        <w:spacing w:after="160"/>
        <w:rPr>
          <w:rFonts w:eastAsia="Calibri" w:cs="Times New Roman"/>
          <w:bCs/>
          <w:color w:val="auto"/>
        </w:rPr>
      </w:pPr>
      <w:r w:rsidRPr="00914254">
        <w:rPr>
          <w:rFonts w:eastAsia="Calibri" w:cs="Times New Roman"/>
          <w:bCs/>
          <w:color w:val="auto"/>
        </w:rPr>
        <w:t xml:space="preserve">Σχετικά </w:t>
      </w:r>
      <w:r>
        <w:rPr>
          <w:rFonts w:eastAsia="Calibri" w:cs="Times New Roman"/>
          <w:bCs/>
          <w:color w:val="auto"/>
        </w:rPr>
        <w:t>μικρές</w:t>
      </w:r>
      <w:r w:rsidRPr="00914254">
        <w:rPr>
          <w:rFonts w:eastAsia="Calibri" w:cs="Times New Roman"/>
          <w:bCs/>
          <w:color w:val="auto"/>
        </w:rPr>
        <w:t xml:space="preserve"> αποκλίσεις παρατηρούνται στις προβλέψεις </w:t>
      </w:r>
      <w:r w:rsidR="00220B88">
        <w:rPr>
          <w:rFonts w:eastAsia="Calibri" w:cs="Times New Roman"/>
          <w:bCs/>
          <w:color w:val="auto"/>
        </w:rPr>
        <w:t>που αφορούν</w:t>
      </w:r>
      <w:r w:rsidRPr="00914254">
        <w:rPr>
          <w:rFonts w:eastAsia="Calibri" w:cs="Times New Roman"/>
          <w:bCs/>
          <w:color w:val="auto"/>
        </w:rPr>
        <w:t xml:space="preserve"> τον </w:t>
      </w:r>
      <w:r w:rsidRPr="00E04F6F">
        <w:rPr>
          <w:rFonts w:eastAsia="Calibri" w:cs="Times New Roman"/>
          <w:bCs/>
          <w:color w:val="auto"/>
        </w:rPr>
        <w:t xml:space="preserve">εναρμονισμένο </w:t>
      </w:r>
      <w:r w:rsidR="00E11634" w:rsidRPr="00E04F6F">
        <w:rPr>
          <w:rFonts w:eastAsia="Calibri" w:cs="Times New Roman"/>
          <w:bCs/>
          <w:color w:val="auto"/>
        </w:rPr>
        <w:t>δ</w:t>
      </w:r>
      <w:r w:rsidRPr="00E04F6F">
        <w:rPr>
          <w:rFonts w:eastAsia="Calibri" w:cs="Times New Roman"/>
          <w:bCs/>
          <w:color w:val="auto"/>
        </w:rPr>
        <w:t xml:space="preserve">είκτη </w:t>
      </w:r>
      <w:r w:rsidR="00E11634" w:rsidRPr="00E04F6F">
        <w:rPr>
          <w:rFonts w:eastAsia="Calibri" w:cs="Times New Roman"/>
          <w:bCs/>
          <w:color w:val="auto"/>
        </w:rPr>
        <w:t>τ</w:t>
      </w:r>
      <w:r w:rsidRPr="00E04F6F">
        <w:rPr>
          <w:rFonts w:eastAsia="Calibri" w:cs="Times New Roman"/>
          <w:bCs/>
          <w:color w:val="auto"/>
        </w:rPr>
        <w:t xml:space="preserve">ιμών </w:t>
      </w:r>
      <w:r w:rsidR="00E11634" w:rsidRPr="00E04F6F">
        <w:rPr>
          <w:rFonts w:eastAsia="Calibri" w:cs="Times New Roman"/>
          <w:bCs/>
          <w:color w:val="auto"/>
        </w:rPr>
        <w:t>κ</w:t>
      </w:r>
      <w:r w:rsidRPr="00E04F6F">
        <w:rPr>
          <w:rFonts w:eastAsia="Calibri" w:cs="Times New Roman"/>
          <w:bCs/>
          <w:color w:val="auto"/>
        </w:rPr>
        <w:t>αταναλωτή (</w:t>
      </w:r>
      <w:r w:rsidR="00E11634" w:rsidRPr="00E04F6F">
        <w:rPr>
          <w:rFonts w:eastAsia="Calibri" w:cs="Times New Roman"/>
          <w:bCs/>
          <w:color w:val="auto"/>
        </w:rPr>
        <w:t>Εν</w:t>
      </w:r>
      <w:r w:rsidRPr="00E04F6F">
        <w:rPr>
          <w:rFonts w:eastAsia="Calibri" w:cs="Times New Roman"/>
          <w:bCs/>
          <w:color w:val="auto"/>
        </w:rPr>
        <w:t>ΔΤΚ) και τον αποπληθωριστή του ΑΕΠ, (</w:t>
      </w:r>
      <w:r w:rsidR="00E11634" w:rsidRPr="00E04F6F">
        <w:rPr>
          <w:rFonts w:eastAsia="Calibri" w:cs="Times New Roman"/>
          <w:bCs/>
          <w:color w:val="auto"/>
        </w:rPr>
        <w:fldChar w:fldCharType="begin"/>
      </w:r>
      <w:r w:rsidR="00E11634" w:rsidRPr="00E04F6F">
        <w:rPr>
          <w:rFonts w:eastAsia="Calibri" w:cs="Times New Roman"/>
          <w:bCs/>
          <w:color w:val="auto"/>
        </w:rPr>
        <w:instrText xml:space="preserve"> REF _Ref87899531 \h  \* MERGEFORMAT </w:instrText>
      </w:r>
      <w:r w:rsidR="00E11634" w:rsidRPr="00E04F6F">
        <w:rPr>
          <w:rFonts w:eastAsia="Calibri" w:cs="Times New Roman"/>
          <w:bCs/>
          <w:color w:val="auto"/>
        </w:rPr>
      </w:r>
      <w:r w:rsidR="00E11634" w:rsidRPr="00E04F6F">
        <w:rPr>
          <w:rFonts w:eastAsia="Calibri" w:cs="Times New Roman"/>
          <w:bCs/>
          <w:color w:val="auto"/>
        </w:rPr>
        <w:fldChar w:fldCharType="separate"/>
      </w:r>
      <w:r w:rsidR="0038196B" w:rsidRPr="0038196B">
        <w:rPr>
          <w:color w:val="auto"/>
        </w:rPr>
        <w:t xml:space="preserve">Πίνακας </w:t>
      </w:r>
      <w:r w:rsidR="0038196B" w:rsidRPr="0038196B">
        <w:rPr>
          <w:noProof/>
          <w:color w:val="auto"/>
        </w:rPr>
        <w:t>6</w:t>
      </w:r>
      <w:r w:rsidR="00E11634" w:rsidRPr="00E04F6F">
        <w:rPr>
          <w:rFonts w:eastAsia="Calibri" w:cs="Times New Roman"/>
          <w:bCs/>
          <w:color w:val="auto"/>
        </w:rPr>
        <w:fldChar w:fldCharType="end"/>
      </w:r>
      <w:r w:rsidRPr="00E04F6F">
        <w:rPr>
          <w:rFonts w:eastAsia="Calibri" w:cs="Times New Roman"/>
          <w:bCs/>
          <w:color w:val="auto"/>
        </w:rPr>
        <w:t xml:space="preserve">). Επίσης, οι προβλέψεις των διεθνών φορέων </w:t>
      </w:r>
      <w:r w:rsidR="00220B88" w:rsidRPr="00E04F6F">
        <w:rPr>
          <w:rFonts w:eastAsia="Calibri" w:cs="Times New Roman"/>
          <w:bCs/>
          <w:color w:val="auto"/>
        </w:rPr>
        <w:t xml:space="preserve">για την ανεργία </w:t>
      </w:r>
      <w:r w:rsidRPr="00E04F6F">
        <w:rPr>
          <w:rFonts w:eastAsia="Calibri" w:cs="Times New Roman"/>
          <w:bCs/>
          <w:color w:val="auto"/>
        </w:rPr>
        <w:t>αποκλίνουν ελαφρώς από τις</w:t>
      </w:r>
      <w:r w:rsidRPr="00914254">
        <w:rPr>
          <w:rFonts w:eastAsia="Calibri" w:cs="Times New Roman"/>
          <w:bCs/>
          <w:color w:val="auto"/>
        </w:rPr>
        <w:t xml:space="preserve"> προβλέψεις του Υπουργείου Οικονομικών. </w:t>
      </w:r>
      <w:r>
        <w:rPr>
          <w:rFonts w:eastAsia="Calibri" w:cs="Times New Roman"/>
          <w:bCs/>
          <w:color w:val="auto"/>
        </w:rPr>
        <w:t>Ωστόσο</w:t>
      </w:r>
      <w:r w:rsidR="00E11634">
        <w:rPr>
          <w:rFonts w:eastAsia="Calibri" w:cs="Times New Roman"/>
          <w:bCs/>
          <w:color w:val="auto"/>
        </w:rPr>
        <w:t>,</w:t>
      </w:r>
      <w:r>
        <w:rPr>
          <w:rFonts w:eastAsia="Calibri" w:cs="Times New Roman"/>
          <w:bCs/>
          <w:color w:val="auto"/>
        </w:rPr>
        <w:t xml:space="preserve"> η </w:t>
      </w:r>
      <w:r w:rsidR="00220B88">
        <w:rPr>
          <w:rFonts w:eastAsia="Calibri" w:cs="Times New Roman"/>
          <w:bCs/>
          <w:color w:val="auto"/>
        </w:rPr>
        <w:t>πτωτική τάση</w:t>
      </w:r>
      <w:r>
        <w:rPr>
          <w:rFonts w:eastAsia="Calibri" w:cs="Times New Roman"/>
          <w:bCs/>
          <w:color w:val="auto"/>
        </w:rPr>
        <w:t xml:space="preserve"> </w:t>
      </w:r>
      <w:r w:rsidR="00220B88">
        <w:rPr>
          <w:rFonts w:eastAsia="Calibri" w:cs="Times New Roman"/>
          <w:bCs/>
          <w:color w:val="auto"/>
        </w:rPr>
        <w:t>που παρατηρείται επί του παρόντος</w:t>
      </w:r>
      <w:r>
        <w:rPr>
          <w:rFonts w:eastAsia="Calibri" w:cs="Times New Roman"/>
          <w:bCs/>
          <w:color w:val="auto"/>
        </w:rPr>
        <w:t xml:space="preserve"> μάλλον τείνει να επιβεβαιώσει το σενάριο του Υπουργείου Οικονομικών.</w:t>
      </w:r>
      <w:r w:rsidRPr="00914254">
        <w:rPr>
          <w:rFonts w:eastAsia="Calibri" w:cs="Times New Roman"/>
          <w:bCs/>
          <w:color w:val="auto"/>
        </w:rPr>
        <w:t xml:space="preserve"> </w:t>
      </w:r>
    </w:p>
    <w:p w14:paraId="5FEE5826" w14:textId="6D8A5BF9" w:rsidR="00DF60E7" w:rsidRPr="009E221B" w:rsidRDefault="00DF60E7" w:rsidP="00DF60E7">
      <w:pPr>
        <w:spacing w:after="0" w:line="240" w:lineRule="auto"/>
        <w:rPr>
          <w:rFonts w:eastAsia="Calibri" w:cs="Times New Roman"/>
          <w:sz w:val="20"/>
          <w:szCs w:val="20"/>
        </w:rPr>
      </w:pPr>
      <w:bookmarkStart w:id="110" w:name="_Ref87899531"/>
      <w:bookmarkStart w:id="111" w:name="_Ref515450596"/>
      <w:bookmarkStart w:id="112" w:name="_Toc25065296"/>
      <w:bookmarkStart w:id="113" w:name="_Toc89172851"/>
      <w:bookmarkStart w:id="114" w:name="_Toc514585708"/>
      <w:bookmarkStart w:id="115" w:name="_Toc515538908"/>
      <w:r w:rsidRPr="002F5A77">
        <w:rPr>
          <w:b/>
          <w:sz w:val="20"/>
          <w:szCs w:val="20"/>
        </w:rPr>
        <w:t xml:space="preserve">Πίνακας </w:t>
      </w:r>
      <w:r w:rsidRPr="002F5A77">
        <w:rPr>
          <w:b/>
          <w:i/>
          <w:sz w:val="20"/>
          <w:szCs w:val="20"/>
        </w:rPr>
        <w:fldChar w:fldCharType="begin"/>
      </w:r>
      <w:r w:rsidRPr="002F5A77">
        <w:rPr>
          <w:b/>
          <w:sz w:val="20"/>
          <w:szCs w:val="20"/>
        </w:rPr>
        <w:instrText xml:space="preserve"> SEQ Πίνακας \* ARABIC </w:instrText>
      </w:r>
      <w:r w:rsidRPr="002F5A77">
        <w:rPr>
          <w:b/>
          <w:i/>
          <w:sz w:val="20"/>
          <w:szCs w:val="20"/>
        </w:rPr>
        <w:fldChar w:fldCharType="separate"/>
      </w:r>
      <w:r w:rsidR="0038196B">
        <w:rPr>
          <w:b/>
          <w:noProof/>
          <w:sz w:val="20"/>
          <w:szCs w:val="20"/>
        </w:rPr>
        <w:t>6</w:t>
      </w:r>
      <w:r w:rsidRPr="002F5A77">
        <w:rPr>
          <w:b/>
          <w:i/>
          <w:sz w:val="20"/>
          <w:szCs w:val="20"/>
        </w:rPr>
        <w:fldChar w:fldCharType="end"/>
      </w:r>
      <w:bookmarkEnd w:id="110"/>
      <w:r w:rsidRPr="002F5A77">
        <w:rPr>
          <w:b/>
          <w:sz w:val="20"/>
          <w:szCs w:val="20"/>
        </w:rPr>
        <w:t>:</w:t>
      </w:r>
      <w:bookmarkEnd w:id="111"/>
      <w:r w:rsidRPr="002F5A77">
        <w:rPr>
          <w:b/>
          <w:sz w:val="20"/>
          <w:szCs w:val="20"/>
        </w:rPr>
        <w:t xml:space="preserve"> </w:t>
      </w:r>
      <w:r w:rsidRPr="009E221B">
        <w:rPr>
          <w:color w:val="00B0F0"/>
          <w:sz w:val="20"/>
          <w:szCs w:val="20"/>
        </w:rPr>
        <w:t>Λοιποί δείκτες για τις επισφαλείς ισορροπίες της ελληνικής οικονομίας</w:t>
      </w:r>
      <w:bookmarkEnd w:id="112"/>
      <w:bookmarkEnd w:id="113"/>
      <w:r w:rsidRPr="009E221B">
        <w:rPr>
          <w:rFonts w:eastAsia="Calibri" w:cs="Times New Roman"/>
          <w:iCs/>
          <w:color w:val="00B0F0"/>
          <w:sz w:val="20"/>
          <w:szCs w:val="20"/>
        </w:rPr>
        <w:t xml:space="preserve"> </w:t>
      </w:r>
      <w:bookmarkEnd w:id="114"/>
      <w:bookmarkEnd w:id="115"/>
    </w:p>
    <w:tbl>
      <w:tblPr>
        <w:tblW w:w="8292" w:type="dxa"/>
        <w:tblBorders>
          <w:top w:val="single" w:sz="4" w:space="0" w:color="auto"/>
          <w:bottom w:val="single" w:sz="4" w:space="0" w:color="auto"/>
        </w:tblBorders>
        <w:tblLook w:val="04A0" w:firstRow="1" w:lastRow="0" w:firstColumn="1" w:lastColumn="0" w:noHBand="0" w:noVBand="1"/>
      </w:tblPr>
      <w:tblGrid>
        <w:gridCol w:w="4370"/>
        <w:gridCol w:w="1408"/>
        <w:gridCol w:w="1158"/>
        <w:gridCol w:w="1356"/>
      </w:tblGrid>
      <w:tr w:rsidR="00DF60E7" w:rsidRPr="002F5A77" w14:paraId="6AAED3A5" w14:textId="77777777" w:rsidTr="00140420">
        <w:trPr>
          <w:trHeight w:val="327"/>
        </w:trPr>
        <w:tc>
          <w:tcPr>
            <w:tcW w:w="4370" w:type="dxa"/>
            <w:tcBorders>
              <w:top w:val="single" w:sz="8" w:space="0" w:color="00B0F0"/>
              <w:left w:val="single" w:sz="8" w:space="0" w:color="00B0F0"/>
              <w:bottom w:val="single" w:sz="4" w:space="0" w:color="auto"/>
            </w:tcBorders>
            <w:shd w:val="clear" w:color="auto" w:fill="BDD6EE" w:themeFill="accent1" w:themeFillTint="66"/>
            <w:noWrap/>
          </w:tcPr>
          <w:p w14:paraId="55B8A2F6" w14:textId="77777777" w:rsidR="00DF60E7" w:rsidRPr="002F5A77" w:rsidRDefault="00DF60E7" w:rsidP="00140420">
            <w:pPr>
              <w:spacing w:after="0" w:line="240" w:lineRule="auto"/>
              <w:rPr>
                <w:rFonts w:eastAsia="Calibri" w:cs="Times New Roman"/>
                <w:b/>
                <w:color w:val="auto"/>
              </w:rPr>
            </w:pPr>
          </w:p>
        </w:tc>
        <w:tc>
          <w:tcPr>
            <w:tcW w:w="1408" w:type="dxa"/>
            <w:tcBorders>
              <w:top w:val="single" w:sz="8" w:space="0" w:color="00B0F0"/>
              <w:bottom w:val="single" w:sz="4" w:space="0" w:color="auto"/>
            </w:tcBorders>
            <w:shd w:val="clear" w:color="auto" w:fill="BDD6EE" w:themeFill="accent1" w:themeFillTint="66"/>
            <w:noWrap/>
          </w:tcPr>
          <w:p w14:paraId="2750AC8F" w14:textId="77777777" w:rsidR="00DF60E7" w:rsidRPr="002F5A77" w:rsidRDefault="00DF60E7" w:rsidP="00140420">
            <w:pPr>
              <w:spacing w:after="0" w:line="240" w:lineRule="auto"/>
              <w:rPr>
                <w:rFonts w:eastAsia="Calibri" w:cs="Times New Roman"/>
                <w:b/>
                <w:color w:val="auto"/>
              </w:rPr>
            </w:pPr>
          </w:p>
        </w:tc>
        <w:tc>
          <w:tcPr>
            <w:tcW w:w="1158" w:type="dxa"/>
            <w:tcBorders>
              <w:top w:val="single" w:sz="8" w:space="0" w:color="00B0F0"/>
              <w:bottom w:val="single" w:sz="4" w:space="0" w:color="auto"/>
              <w:right w:val="nil"/>
            </w:tcBorders>
            <w:shd w:val="clear" w:color="auto" w:fill="BDD6EE" w:themeFill="accent1" w:themeFillTint="66"/>
            <w:noWrap/>
          </w:tcPr>
          <w:p w14:paraId="5CF8A0B8" w14:textId="77777777" w:rsidR="00DF60E7" w:rsidRPr="002F5A77" w:rsidRDefault="00DF60E7" w:rsidP="00140420">
            <w:pPr>
              <w:spacing w:after="0" w:line="240" w:lineRule="auto"/>
              <w:jc w:val="left"/>
              <w:rPr>
                <w:rFonts w:eastAsia="Calibri" w:cs="Times New Roman"/>
                <w:b/>
                <w:i/>
                <w:color w:val="auto"/>
              </w:rPr>
            </w:pPr>
          </w:p>
        </w:tc>
        <w:tc>
          <w:tcPr>
            <w:tcW w:w="1356" w:type="dxa"/>
            <w:tcBorders>
              <w:top w:val="single" w:sz="8" w:space="0" w:color="00B0F0"/>
              <w:left w:val="nil"/>
              <w:bottom w:val="single" w:sz="4" w:space="0" w:color="auto"/>
              <w:right w:val="single" w:sz="8" w:space="0" w:color="00B0F0"/>
            </w:tcBorders>
            <w:shd w:val="clear" w:color="auto" w:fill="BDD6EE" w:themeFill="accent1" w:themeFillTint="66"/>
          </w:tcPr>
          <w:p w14:paraId="493AAA94" w14:textId="77777777" w:rsidR="00DF60E7" w:rsidRPr="002F5A77" w:rsidRDefault="00DF60E7" w:rsidP="00140420">
            <w:pPr>
              <w:spacing w:after="0" w:line="240" w:lineRule="auto"/>
              <w:jc w:val="center"/>
              <w:rPr>
                <w:rFonts w:eastAsia="Calibri" w:cs="Times New Roman"/>
                <w:b/>
                <w:i/>
                <w:color w:val="auto"/>
              </w:rPr>
            </w:pPr>
            <w:r w:rsidRPr="002F5A77">
              <w:rPr>
                <w:rFonts w:eastAsia="Calibri" w:cs="Times New Roman"/>
                <w:b/>
                <w:i/>
                <w:color w:val="auto"/>
              </w:rPr>
              <w:t>202</w:t>
            </w:r>
            <w:r>
              <w:rPr>
                <w:rFonts w:eastAsia="Calibri" w:cs="Times New Roman"/>
                <w:b/>
                <w:i/>
                <w:color w:val="auto"/>
              </w:rPr>
              <w:t>2</w:t>
            </w:r>
          </w:p>
        </w:tc>
      </w:tr>
      <w:tr w:rsidR="00DF60E7" w:rsidRPr="002F5A77" w14:paraId="0D34FEB1" w14:textId="77777777" w:rsidTr="00140420">
        <w:trPr>
          <w:trHeight w:val="327"/>
        </w:trPr>
        <w:tc>
          <w:tcPr>
            <w:tcW w:w="5778" w:type="dxa"/>
            <w:gridSpan w:val="2"/>
            <w:tcBorders>
              <w:top w:val="single" w:sz="4" w:space="0" w:color="auto"/>
              <w:left w:val="single" w:sz="8" w:space="0" w:color="00B0F0"/>
              <w:bottom w:val="single" w:sz="4" w:space="0" w:color="auto"/>
            </w:tcBorders>
            <w:shd w:val="clear" w:color="auto" w:fill="F2F2F2" w:themeFill="background1" w:themeFillShade="F2"/>
            <w:noWrap/>
          </w:tcPr>
          <w:p w14:paraId="4FFA3FA6" w14:textId="77777777" w:rsidR="00DF60E7" w:rsidRPr="002F5A77" w:rsidRDefault="00DF60E7" w:rsidP="00140420">
            <w:pPr>
              <w:spacing w:after="0" w:line="240" w:lineRule="auto"/>
              <w:jc w:val="left"/>
              <w:rPr>
                <w:rFonts w:eastAsia="Calibri" w:cs="Times New Roman"/>
                <w:color w:val="auto"/>
              </w:rPr>
            </w:pPr>
            <w:r w:rsidRPr="002F5A77">
              <w:rPr>
                <w:rFonts w:eastAsia="Calibri" w:cs="Times New Roman"/>
                <w:b/>
                <w:color w:val="auto"/>
              </w:rPr>
              <w:t xml:space="preserve">Ποσοστό ανεργίας (%)  </w:t>
            </w:r>
            <w:r w:rsidRPr="002F5A77">
              <w:rPr>
                <w:rFonts w:eastAsia="Calibri" w:cs="Times New Roman"/>
                <w:b/>
                <w:color w:val="auto"/>
                <w:lang w:val="en-US"/>
              </w:rPr>
              <w:t xml:space="preserve"> </w:t>
            </w:r>
          </w:p>
        </w:tc>
        <w:tc>
          <w:tcPr>
            <w:tcW w:w="1158" w:type="dxa"/>
            <w:tcBorders>
              <w:top w:val="single" w:sz="4" w:space="0" w:color="auto"/>
              <w:bottom w:val="single" w:sz="4" w:space="0" w:color="auto"/>
              <w:right w:val="nil"/>
            </w:tcBorders>
            <w:shd w:val="clear" w:color="auto" w:fill="F2F2F2" w:themeFill="background1" w:themeFillShade="F2"/>
            <w:noWrap/>
          </w:tcPr>
          <w:p w14:paraId="4E68B3EC" w14:textId="77777777" w:rsidR="00DF60E7" w:rsidRPr="002F5A77" w:rsidRDefault="00DF60E7" w:rsidP="00140420">
            <w:pPr>
              <w:spacing w:after="0" w:line="240" w:lineRule="auto"/>
              <w:jc w:val="left"/>
              <w:rPr>
                <w:rFonts w:eastAsia="Calibri" w:cs="Times New Roman"/>
                <w:i/>
                <w:color w:val="auto"/>
              </w:rPr>
            </w:pPr>
          </w:p>
        </w:tc>
        <w:tc>
          <w:tcPr>
            <w:tcW w:w="1356" w:type="dxa"/>
            <w:tcBorders>
              <w:top w:val="single" w:sz="4" w:space="0" w:color="auto"/>
              <w:left w:val="nil"/>
              <w:bottom w:val="single" w:sz="4" w:space="0" w:color="auto"/>
              <w:right w:val="single" w:sz="8" w:space="0" w:color="00B0F0"/>
            </w:tcBorders>
            <w:shd w:val="clear" w:color="auto" w:fill="F2F2F2" w:themeFill="background1" w:themeFillShade="F2"/>
          </w:tcPr>
          <w:p w14:paraId="21CB3ECD" w14:textId="77777777" w:rsidR="00DF60E7" w:rsidRPr="002F5A77" w:rsidRDefault="00DF60E7" w:rsidP="00140420">
            <w:pPr>
              <w:spacing w:after="0" w:line="240" w:lineRule="auto"/>
              <w:jc w:val="center"/>
              <w:rPr>
                <w:rFonts w:eastAsia="Calibri" w:cs="Times New Roman"/>
                <w:i/>
                <w:color w:val="auto"/>
              </w:rPr>
            </w:pPr>
          </w:p>
        </w:tc>
      </w:tr>
      <w:tr w:rsidR="00DF60E7" w:rsidRPr="002F5A77" w14:paraId="3320D524" w14:textId="77777777" w:rsidTr="00140420">
        <w:trPr>
          <w:trHeight w:val="327"/>
        </w:trPr>
        <w:tc>
          <w:tcPr>
            <w:tcW w:w="4370" w:type="dxa"/>
            <w:tcBorders>
              <w:top w:val="single" w:sz="4" w:space="0" w:color="auto"/>
              <w:left w:val="single" w:sz="8" w:space="0" w:color="00B0F0"/>
              <w:bottom w:val="single" w:sz="4" w:space="0" w:color="auto"/>
            </w:tcBorders>
            <w:shd w:val="clear" w:color="auto" w:fill="auto"/>
            <w:noWrap/>
          </w:tcPr>
          <w:p w14:paraId="451B72F7" w14:textId="77777777" w:rsidR="00DF60E7" w:rsidRPr="002F5A77" w:rsidRDefault="00DF60E7" w:rsidP="00140420">
            <w:pPr>
              <w:spacing w:after="0" w:line="240" w:lineRule="auto"/>
              <w:rPr>
                <w:rFonts w:eastAsia="Calibri" w:cs="Times New Roman"/>
                <w:color w:val="auto"/>
              </w:rPr>
            </w:pPr>
            <w:r w:rsidRPr="002F5A77">
              <w:rPr>
                <w:rFonts w:eastAsia="Calibri" w:cs="Times New Roman"/>
                <w:color w:val="auto"/>
              </w:rPr>
              <w:t>Υπ. Οικονομικών</w:t>
            </w:r>
            <w:r w:rsidRPr="002F5A77">
              <w:rPr>
                <w:rFonts w:eastAsia="Calibri" w:cs="Times New Roman"/>
                <w:color w:val="auto"/>
                <w:vertAlign w:val="superscript"/>
              </w:rPr>
              <w:t>1</w:t>
            </w:r>
            <w:r w:rsidRPr="002F5A77">
              <w:rPr>
                <w:rFonts w:eastAsia="Calibri" w:cs="Times New Roman"/>
                <w:color w:val="auto"/>
              </w:rPr>
              <w:t xml:space="preserve">       </w:t>
            </w:r>
            <w:r w:rsidRPr="002F5A77">
              <w:rPr>
                <w:rFonts w:eastAsia="Calibri" w:cs="Times New Roman"/>
                <w:color w:val="auto"/>
                <w:lang w:val="en-US"/>
              </w:rPr>
              <w:t>(</w:t>
            </w:r>
            <w:r>
              <w:rPr>
                <w:rFonts w:eastAsia="Calibri" w:cs="Times New Roman"/>
                <w:color w:val="auto"/>
              </w:rPr>
              <w:t>Οκτώβριος 2021</w:t>
            </w:r>
            <w:r w:rsidRPr="002F5A77">
              <w:rPr>
                <w:rFonts w:eastAsia="Calibri" w:cs="Times New Roman"/>
                <w:color w:val="auto"/>
              </w:rPr>
              <w:t>)</w:t>
            </w:r>
          </w:p>
        </w:tc>
        <w:tc>
          <w:tcPr>
            <w:tcW w:w="1408" w:type="dxa"/>
            <w:tcBorders>
              <w:top w:val="single" w:sz="4" w:space="0" w:color="auto"/>
              <w:bottom w:val="single" w:sz="4" w:space="0" w:color="auto"/>
            </w:tcBorders>
            <w:shd w:val="clear" w:color="auto" w:fill="auto"/>
            <w:noWrap/>
          </w:tcPr>
          <w:p w14:paraId="49163D14" w14:textId="77777777" w:rsidR="00DF60E7" w:rsidRPr="002F5A77" w:rsidRDefault="00DF60E7" w:rsidP="00140420">
            <w:pPr>
              <w:spacing w:after="0" w:line="240" w:lineRule="auto"/>
              <w:rPr>
                <w:rFonts w:eastAsia="Calibri" w:cs="Times New Roman"/>
                <w:color w:val="auto"/>
              </w:rPr>
            </w:pPr>
          </w:p>
        </w:tc>
        <w:tc>
          <w:tcPr>
            <w:tcW w:w="1158" w:type="dxa"/>
            <w:tcBorders>
              <w:top w:val="single" w:sz="4" w:space="0" w:color="auto"/>
              <w:bottom w:val="single" w:sz="4" w:space="0" w:color="auto"/>
              <w:right w:val="nil"/>
            </w:tcBorders>
            <w:shd w:val="clear" w:color="auto" w:fill="auto"/>
            <w:noWrap/>
          </w:tcPr>
          <w:p w14:paraId="75320FD0" w14:textId="77777777" w:rsidR="00DF60E7" w:rsidRPr="002F5A77" w:rsidRDefault="00DF60E7" w:rsidP="00140420">
            <w:pPr>
              <w:spacing w:after="0" w:line="240" w:lineRule="auto"/>
              <w:jc w:val="left"/>
              <w:rPr>
                <w:rFonts w:eastAsia="Calibri" w:cs="Times New Roman"/>
                <w:i/>
                <w:color w:val="auto"/>
              </w:rPr>
            </w:pPr>
          </w:p>
        </w:tc>
        <w:tc>
          <w:tcPr>
            <w:tcW w:w="1356" w:type="dxa"/>
            <w:tcBorders>
              <w:top w:val="single" w:sz="4" w:space="0" w:color="auto"/>
              <w:left w:val="nil"/>
              <w:bottom w:val="single" w:sz="4" w:space="0" w:color="auto"/>
              <w:right w:val="single" w:sz="8" w:space="0" w:color="00B0F0"/>
            </w:tcBorders>
          </w:tcPr>
          <w:p w14:paraId="1C959FD1" w14:textId="77777777" w:rsidR="00DF60E7" w:rsidRPr="002F5A77" w:rsidRDefault="00DF60E7" w:rsidP="00140420">
            <w:pPr>
              <w:spacing w:after="0" w:line="240" w:lineRule="auto"/>
              <w:jc w:val="center"/>
              <w:rPr>
                <w:rFonts w:eastAsia="Calibri" w:cs="Times New Roman"/>
                <w:i/>
                <w:color w:val="auto"/>
              </w:rPr>
            </w:pPr>
            <w:r>
              <w:rPr>
                <w:rFonts w:eastAsia="Calibri" w:cs="Times New Roman"/>
                <w:i/>
                <w:color w:val="auto"/>
              </w:rPr>
              <w:t>14</w:t>
            </w:r>
            <w:r w:rsidRPr="002F5A77">
              <w:rPr>
                <w:rFonts w:eastAsia="Calibri" w:cs="Times New Roman"/>
                <w:i/>
                <w:color w:val="auto"/>
              </w:rPr>
              <w:t>,</w:t>
            </w:r>
            <w:r>
              <w:rPr>
                <w:rFonts w:eastAsia="Calibri" w:cs="Times New Roman"/>
                <w:i/>
                <w:color w:val="auto"/>
              </w:rPr>
              <w:t>3</w:t>
            </w:r>
            <w:r w:rsidRPr="002F5A77">
              <w:rPr>
                <w:rFonts w:eastAsia="Calibri" w:cs="Times New Roman"/>
                <w:i/>
                <w:color w:val="auto"/>
              </w:rPr>
              <w:t>%</w:t>
            </w:r>
            <w:r w:rsidRPr="008E5FBE">
              <w:rPr>
                <w:rFonts w:eastAsia="Calibri" w:cs="Times New Roman"/>
                <w:i/>
                <w:color w:val="auto"/>
                <w:sz w:val="28"/>
                <w:vertAlign w:val="superscript"/>
              </w:rPr>
              <w:t>*</w:t>
            </w:r>
          </w:p>
        </w:tc>
      </w:tr>
      <w:tr w:rsidR="00DF60E7" w:rsidRPr="002F5A77" w14:paraId="36D14E32" w14:textId="77777777" w:rsidTr="00140420">
        <w:trPr>
          <w:trHeight w:val="327"/>
        </w:trPr>
        <w:tc>
          <w:tcPr>
            <w:tcW w:w="4370" w:type="dxa"/>
            <w:tcBorders>
              <w:top w:val="single" w:sz="4" w:space="0" w:color="auto"/>
              <w:left w:val="single" w:sz="8" w:space="0" w:color="00B0F0"/>
              <w:bottom w:val="single" w:sz="4" w:space="0" w:color="auto"/>
            </w:tcBorders>
            <w:shd w:val="clear" w:color="auto" w:fill="auto"/>
            <w:noWrap/>
          </w:tcPr>
          <w:p w14:paraId="0D9D931C" w14:textId="77777777" w:rsidR="00DF60E7" w:rsidRPr="00531833" w:rsidRDefault="00DF60E7" w:rsidP="00140420">
            <w:pPr>
              <w:spacing w:after="0" w:line="240" w:lineRule="auto"/>
              <w:rPr>
                <w:rFonts w:eastAsia="Calibri" w:cs="Times New Roman"/>
                <w:color w:val="auto"/>
                <w:vertAlign w:val="superscript"/>
              </w:rPr>
            </w:pPr>
            <w:r w:rsidRPr="00531833">
              <w:rPr>
                <w:rFonts w:eastAsia="Calibri" w:cs="Times New Roman"/>
                <w:color w:val="auto"/>
              </w:rPr>
              <w:t>Ευρωπαϊκή Επιτροπή</w:t>
            </w:r>
            <w:r w:rsidRPr="00531833">
              <w:rPr>
                <w:rFonts w:eastAsia="Calibri" w:cs="Times New Roman"/>
                <w:color w:val="auto"/>
                <w:vertAlign w:val="superscript"/>
              </w:rPr>
              <w:t>2</w:t>
            </w:r>
            <w:r w:rsidRPr="00531833">
              <w:rPr>
                <w:rFonts w:eastAsia="Calibri" w:cs="Times New Roman"/>
                <w:b/>
                <w:color w:val="auto"/>
                <w:vertAlign w:val="superscript"/>
              </w:rPr>
              <w:t xml:space="preserve"> </w:t>
            </w:r>
            <w:r w:rsidRPr="00531833">
              <w:rPr>
                <w:rFonts w:eastAsia="Calibri" w:cs="Times New Roman"/>
                <w:color w:val="auto"/>
              </w:rPr>
              <w:t>(Νοέμβριος 2021)</w:t>
            </w:r>
          </w:p>
        </w:tc>
        <w:tc>
          <w:tcPr>
            <w:tcW w:w="1408" w:type="dxa"/>
            <w:tcBorders>
              <w:top w:val="single" w:sz="4" w:space="0" w:color="auto"/>
              <w:bottom w:val="single" w:sz="4" w:space="0" w:color="auto"/>
            </w:tcBorders>
            <w:shd w:val="clear" w:color="auto" w:fill="auto"/>
            <w:noWrap/>
          </w:tcPr>
          <w:p w14:paraId="71214228" w14:textId="77777777" w:rsidR="00DF60E7" w:rsidRPr="002F5A77" w:rsidRDefault="00DF60E7" w:rsidP="00140420">
            <w:pPr>
              <w:spacing w:after="0" w:line="240" w:lineRule="auto"/>
              <w:rPr>
                <w:rFonts w:eastAsia="Calibri" w:cs="Times New Roman"/>
                <w:color w:val="auto"/>
              </w:rPr>
            </w:pPr>
          </w:p>
        </w:tc>
        <w:tc>
          <w:tcPr>
            <w:tcW w:w="1158" w:type="dxa"/>
            <w:tcBorders>
              <w:top w:val="single" w:sz="4" w:space="0" w:color="auto"/>
              <w:bottom w:val="single" w:sz="4" w:space="0" w:color="auto"/>
              <w:right w:val="nil"/>
            </w:tcBorders>
            <w:shd w:val="clear" w:color="auto" w:fill="auto"/>
            <w:noWrap/>
          </w:tcPr>
          <w:p w14:paraId="23F3E016" w14:textId="77777777" w:rsidR="00DF60E7" w:rsidRPr="002F5A77" w:rsidRDefault="00DF60E7" w:rsidP="00140420">
            <w:pPr>
              <w:spacing w:after="0" w:line="240" w:lineRule="auto"/>
              <w:jc w:val="left"/>
              <w:rPr>
                <w:rFonts w:eastAsia="Calibri" w:cs="Times New Roman"/>
                <w:i/>
                <w:color w:val="auto"/>
              </w:rPr>
            </w:pPr>
          </w:p>
        </w:tc>
        <w:tc>
          <w:tcPr>
            <w:tcW w:w="1356" w:type="dxa"/>
            <w:tcBorders>
              <w:top w:val="single" w:sz="4" w:space="0" w:color="auto"/>
              <w:left w:val="nil"/>
              <w:bottom w:val="single" w:sz="4" w:space="0" w:color="auto"/>
              <w:right w:val="single" w:sz="8" w:space="0" w:color="00B0F0"/>
            </w:tcBorders>
          </w:tcPr>
          <w:p w14:paraId="5DE860AA" w14:textId="77777777" w:rsidR="00DF60E7" w:rsidRPr="002F5A77" w:rsidRDefault="00DF60E7" w:rsidP="00140420">
            <w:pPr>
              <w:spacing w:after="0" w:line="240" w:lineRule="auto"/>
              <w:jc w:val="center"/>
              <w:rPr>
                <w:rFonts w:eastAsia="Calibri" w:cs="Times New Roman"/>
                <w:i/>
                <w:color w:val="auto"/>
              </w:rPr>
            </w:pPr>
            <w:r>
              <w:rPr>
                <w:rFonts w:eastAsia="Calibri" w:cs="Times New Roman"/>
                <w:i/>
                <w:color w:val="auto"/>
              </w:rPr>
              <w:t>15,0%</w:t>
            </w:r>
          </w:p>
        </w:tc>
      </w:tr>
      <w:tr w:rsidR="00DF60E7" w:rsidRPr="002F5A77" w14:paraId="0FB9DD70" w14:textId="77777777" w:rsidTr="00140420">
        <w:trPr>
          <w:trHeight w:val="327"/>
        </w:trPr>
        <w:tc>
          <w:tcPr>
            <w:tcW w:w="4370" w:type="dxa"/>
            <w:tcBorders>
              <w:top w:val="single" w:sz="4" w:space="0" w:color="auto"/>
              <w:left w:val="single" w:sz="8" w:space="0" w:color="00B0F0"/>
              <w:bottom w:val="single" w:sz="4" w:space="0" w:color="auto"/>
            </w:tcBorders>
            <w:shd w:val="clear" w:color="auto" w:fill="auto"/>
            <w:noWrap/>
          </w:tcPr>
          <w:p w14:paraId="16B1B859" w14:textId="77777777" w:rsidR="00DF60E7" w:rsidRPr="005E0BC5" w:rsidRDefault="00DF60E7" w:rsidP="00140420">
            <w:pPr>
              <w:spacing w:after="0" w:line="240" w:lineRule="auto"/>
              <w:rPr>
                <w:rFonts w:eastAsia="Calibri" w:cs="Times New Roman"/>
                <w:color w:val="auto"/>
                <w:lang w:val="en-US"/>
              </w:rPr>
            </w:pPr>
            <w:r w:rsidRPr="002F5A77">
              <w:rPr>
                <w:rFonts w:eastAsia="Calibri" w:cs="Times New Roman"/>
                <w:color w:val="auto"/>
              </w:rPr>
              <w:t>ΟΟΣΑ</w:t>
            </w:r>
            <w:r w:rsidRPr="002F5A77">
              <w:rPr>
                <w:rFonts w:eastAsia="Calibri" w:cs="Times New Roman"/>
                <w:color w:val="auto"/>
                <w:vertAlign w:val="superscript"/>
                <w:lang w:val="en-US"/>
              </w:rPr>
              <w:t>3</w:t>
            </w:r>
            <w:r w:rsidRPr="005E0BC5">
              <w:rPr>
                <w:rFonts w:eastAsia="Calibri" w:cs="Times New Roman"/>
                <w:color w:val="auto"/>
                <w:vertAlign w:val="superscript"/>
                <w:lang w:val="en-US"/>
              </w:rPr>
              <w:t xml:space="preserve"> </w:t>
            </w:r>
            <w:r>
              <w:rPr>
                <w:rFonts w:eastAsia="Calibri" w:cs="Times New Roman"/>
                <w:color w:val="auto"/>
                <w:vertAlign w:val="superscript"/>
                <w:lang w:val="en-US"/>
              </w:rPr>
              <w:t xml:space="preserve">                                    </w:t>
            </w:r>
            <w:r w:rsidRPr="005E0BC5">
              <w:rPr>
                <w:rFonts w:eastAsia="Calibri" w:cs="Times New Roman"/>
                <w:color w:val="auto"/>
                <w:lang w:val="en-US"/>
              </w:rPr>
              <w:t>(</w:t>
            </w:r>
            <w:r>
              <w:rPr>
                <w:rFonts w:eastAsia="Calibri" w:cs="Times New Roman"/>
                <w:color w:val="auto"/>
              </w:rPr>
              <w:t>Μάϊος</w:t>
            </w:r>
            <w:r>
              <w:rPr>
                <w:rFonts w:eastAsia="Calibri" w:cs="Times New Roman"/>
                <w:color w:val="auto"/>
                <w:lang w:val="en-US"/>
              </w:rPr>
              <w:t xml:space="preserve"> 2021</w:t>
            </w:r>
            <w:r w:rsidRPr="005E0BC5">
              <w:rPr>
                <w:rFonts w:eastAsia="Calibri" w:cs="Times New Roman"/>
                <w:color w:val="auto"/>
                <w:lang w:val="en-US"/>
              </w:rPr>
              <w:t xml:space="preserve">) </w:t>
            </w:r>
          </w:p>
        </w:tc>
        <w:tc>
          <w:tcPr>
            <w:tcW w:w="1408" w:type="dxa"/>
            <w:tcBorders>
              <w:top w:val="single" w:sz="4" w:space="0" w:color="auto"/>
              <w:bottom w:val="single" w:sz="4" w:space="0" w:color="auto"/>
            </w:tcBorders>
            <w:shd w:val="clear" w:color="auto" w:fill="auto"/>
            <w:noWrap/>
          </w:tcPr>
          <w:p w14:paraId="3AF9DC30" w14:textId="77777777" w:rsidR="00DF60E7" w:rsidRPr="005E0BC5" w:rsidRDefault="00DF60E7" w:rsidP="00140420">
            <w:pPr>
              <w:spacing w:after="0" w:line="240" w:lineRule="auto"/>
              <w:rPr>
                <w:rFonts w:eastAsia="Calibri" w:cs="Times New Roman"/>
                <w:color w:val="auto"/>
                <w:lang w:val="en-US"/>
              </w:rPr>
            </w:pPr>
          </w:p>
        </w:tc>
        <w:tc>
          <w:tcPr>
            <w:tcW w:w="1158" w:type="dxa"/>
            <w:tcBorders>
              <w:top w:val="single" w:sz="4" w:space="0" w:color="auto"/>
              <w:bottom w:val="single" w:sz="4" w:space="0" w:color="auto"/>
              <w:right w:val="nil"/>
            </w:tcBorders>
            <w:shd w:val="clear" w:color="auto" w:fill="auto"/>
            <w:noWrap/>
          </w:tcPr>
          <w:p w14:paraId="1E80FD93" w14:textId="77777777" w:rsidR="00DF60E7" w:rsidRPr="002F5A77" w:rsidRDefault="00DF60E7" w:rsidP="00140420">
            <w:pPr>
              <w:spacing w:after="0" w:line="240" w:lineRule="auto"/>
              <w:jc w:val="left"/>
              <w:rPr>
                <w:rFonts w:eastAsia="Calibri" w:cs="Times New Roman"/>
                <w:i/>
                <w:color w:val="auto"/>
                <w:lang w:val="en-US"/>
              </w:rPr>
            </w:pPr>
          </w:p>
        </w:tc>
        <w:tc>
          <w:tcPr>
            <w:tcW w:w="1356" w:type="dxa"/>
            <w:tcBorders>
              <w:top w:val="single" w:sz="4" w:space="0" w:color="auto"/>
              <w:left w:val="nil"/>
              <w:bottom w:val="single" w:sz="4" w:space="0" w:color="auto"/>
              <w:right w:val="single" w:sz="8" w:space="0" w:color="00B0F0"/>
            </w:tcBorders>
          </w:tcPr>
          <w:p w14:paraId="558CA59A" w14:textId="77777777" w:rsidR="00DF60E7" w:rsidRPr="002F5A77" w:rsidRDefault="00DF60E7" w:rsidP="00140420">
            <w:pPr>
              <w:spacing w:after="0" w:line="240" w:lineRule="auto"/>
              <w:jc w:val="center"/>
              <w:rPr>
                <w:rFonts w:eastAsia="Calibri" w:cs="Times New Roman"/>
                <w:i/>
                <w:color w:val="auto"/>
              </w:rPr>
            </w:pPr>
            <w:r>
              <w:rPr>
                <w:rFonts w:eastAsia="Calibri" w:cs="Times New Roman"/>
                <w:i/>
                <w:color w:val="auto"/>
              </w:rPr>
              <w:t>15,6</w:t>
            </w:r>
            <w:r w:rsidRPr="002F5A77">
              <w:rPr>
                <w:rFonts w:eastAsia="Calibri" w:cs="Times New Roman"/>
                <w:i/>
                <w:color w:val="auto"/>
              </w:rPr>
              <w:t>%</w:t>
            </w:r>
          </w:p>
        </w:tc>
      </w:tr>
      <w:tr w:rsidR="00DF60E7" w:rsidRPr="002F5A77" w14:paraId="4A781CC5" w14:textId="77777777" w:rsidTr="00140420">
        <w:trPr>
          <w:trHeight w:val="327"/>
        </w:trPr>
        <w:tc>
          <w:tcPr>
            <w:tcW w:w="4370" w:type="dxa"/>
            <w:tcBorders>
              <w:top w:val="single" w:sz="4" w:space="0" w:color="auto"/>
              <w:left w:val="single" w:sz="8" w:space="0" w:color="00B0F0"/>
              <w:bottom w:val="single" w:sz="4" w:space="0" w:color="auto"/>
            </w:tcBorders>
            <w:shd w:val="clear" w:color="auto" w:fill="auto"/>
            <w:noWrap/>
          </w:tcPr>
          <w:p w14:paraId="6870D904" w14:textId="77777777" w:rsidR="00DF60E7" w:rsidRPr="002F5A77" w:rsidRDefault="00DF60E7" w:rsidP="00140420">
            <w:pPr>
              <w:spacing w:after="0" w:line="240" w:lineRule="auto"/>
              <w:rPr>
                <w:rFonts w:eastAsia="Calibri" w:cs="Times New Roman"/>
                <w:color w:val="auto"/>
              </w:rPr>
            </w:pPr>
            <w:r w:rsidRPr="002F5A77">
              <w:rPr>
                <w:rFonts w:eastAsia="Calibri" w:cs="Times New Roman"/>
                <w:color w:val="auto"/>
              </w:rPr>
              <w:t>ΔΝΤ</w:t>
            </w:r>
            <w:r w:rsidRPr="002F5A77">
              <w:rPr>
                <w:rFonts w:eastAsia="Calibri" w:cs="Times New Roman"/>
                <w:color w:val="auto"/>
                <w:vertAlign w:val="superscript"/>
                <w:lang w:val="en-US"/>
              </w:rPr>
              <w:t>4</w:t>
            </w:r>
            <w:r w:rsidRPr="002F5A77">
              <w:rPr>
                <w:rFonts w:eastAsia="Calibri" w:cs="Times New Roman"/>
                <w:color w:val="auto"/>
                <w:vertAlign w:val="superscript"/>
              </w:rPr>
              <w:t xml:space="preserve">                                         </w:t>
            </w:r>
            <w:r>
              <w:rPr>
                <w:rFonts w:eastAsia="Calibri" w:cs="Times New Roman"/>
                <w:color w:val="auto"/>
              </w:rPr>
              <w:t>(Οκτώβριος 2021</w:t>
            </w:r>
            <w:r w:rsidRPr="002F5A77">
              <w:rPr>
                <w:rFonts w:eastAsia="Calibri" w:cs="Times New Roman"/>
                <w:color w:val="auto"/>
              </w:rPr>
              <w:t>)</w:t>
            </w:r>
          </w:p>
        </w:tc>
        <w:tc>
          <w:tcPr>
            <w:tcW w:w="1408" w:type="dxa"/>
            <w:tcBorders>
              <w:top w:val="single" w:sz="4" w:space="0" w:color="auto"/>
              <w:bottom w:val="single" w:sz="4" w:space="0" w:color="auto"/>
            </w:tcBorders>
            <w:shd w:val="clear" w:color="auto" w:fill="auto"/>
            <w:noWrap/>
          </w:tcPr>
          <w:p w14:paraId="4C426BA8" w14:textId="77777777" w:rsidR="00DF60E7" w:rsidRPr="002F5A77" w:rsidRDefault="00DF60E7" w:rsidP="00140420">
            <w:pPr>
              <w:spacing w:after="0" w:line="240" w:lineRule="auto"/>
              <w:rPr>
                <w:rFonts w:eastAsia="Calibri" w:cs="Times New Roman"/>
                <w:color w:val="auto"/>
              </w:rPr>
            </w:pPr>
          </w:p>
        </w:tc>
        <w:tc>
          <w:tcPr>
            <w:tcW w:w="1158" w:type="dxa"/>
            <w:tcBorders>
              <w:top w:val="single" w:sz="4" w:space="0" w:color="auto"/>
              <w:bottom w:val="single" w:sz="4" w:space="0" w:color="auto"/>
              <w:right w:val="nil"/>
            </w:tcBorders>
            <w:shd w:val="clear" w:color="auto" w:fill="auto"/>
            <w:noWrap/>
          </w:tcPr>
          <w:p w14:paraId="2B28F9E1" w14:textId="77777777" w:rsidR="00DF60E7" w:rsidRPr="002F5A77" w:rsidRDefault="00DF60E7" w:rsidP="00140420">
            <w:pPr>
              <w:spacing w:after="0" w:line="240" w:lineRule="auto"/>
              <w:jc w:val="left"/>
              <w:rPr>
                <w:rFonts w:eastAsia="Calibri" w:cs="Times New Roman"/>
                <w:i/>
                <w:color w:val="auto"/>
                <w:lang w:val="en-US"/>
              </w:rPr>
            </w:pPr>
          </w:p>
        </w:tc>
        <w:tc>
          <w:tcPr>
            <w:tcW w:w="1356" w:type="dxa"/>
            <w:tcBorders>
              <w:top w:val="single" w:sz="4" w:space="0" w:color="auto"/>
              <w:left w:val="nil"/>
              <w:bottom w:val="single" w:sz="4" w:space="0" w:color="auto"/>
              <w:right w:val="single" w:sz="8" w:space="0" w:color="00B0F0"/>
            </w:tcBorders>
          </w:tcPr>
          <w:p w14:paraId="5E06EB27" w14:textId="77777777" w:rsidR="00DF60E7" w:rsidRPr="002F5A77" w:rsidRDefault="00DF60E7" w:rsidP="00140420">
            <w:pPr>
              <w:spacing w:after="0" w:line="240" w:lineRule="auto"/>
              <w:jc w:val="center"/>
              <w:rPr>
                <w:rFonts w:eastAsia="Calibri" w:cs="Times New Roman"/>
                <w:i/>
                <w:color w:val="auto"/>
              </w:rPr>
            </w:pPr>
            <w:r>
              <w:rPr>
                <w:rFonts w:eastAsia="Calibri" w:cs="Times New Roman"/>
                <w:i/>
                <w:color w:val="auto"/>
              </w:rPr>
              <w:t>14,6</w:t>
            </w:r>
            <w:r w:rsidRPr="002F5A77">
              <w:rPr>
                <w:rFonts w:eastAsia="Calibri" w:cs="Times New Roman"/>
                <w:i/>
                <w:color w:val="auto"/>
              </w:rPr>
              <w:t>%</w:t>
            </w:r>
          </w:p>
        </w:tc>
      </w:tr>
      <w:tr w:rsidR="00DF60E7" w:rsidRPr="002F5A77" w14:paraId="4FA107F3" w14:textId="77777777" w:rsidTr="00140420">
        <w:trPr>
          <w:trHeight w:val="327"/>
        </w:trPr>
        <w:tc>
          <w:tcPr>
            <w:tcW w:w="4370" w:type="dxa"/>
            <w:tcBorders>
              <w:top w:val="single" w:sz="4" w:space="0" w:color="auto"/>
              <w:left w:val="single" w:sz="8" w:space="0" w:color="00B0F0"/>
              <w:bottom w:val="single" w:sz="4" w:space="0" w:color="auto"/>
            </w:tcBorders>
            <w:shd w:val="clear" w:color="auto" w:fill="F2F2F2" w:themeFill="background1" w:themeFillShade="F2"/>
            <w:noWrap/>
          </w:tcPr>
          <w:p w14:paraId="7CF49717" w14:textId="77777777" w:rsidR="00DF60E7" w:rsidRPr="002F5A77" w:rsidRDefault="00DF60E7" w:rsidP="00140420">
            <w:pPr>
              <w:spacing w:after="0" w:line="240" w:lineRule="auto"/>
              <w:rPr>
                <w:rFonts w:eastAsia="Calibri" w:cs="Times New Roman"/>
                <w:b/>
                <w:color w:val="auto"/>
              </w:rPr>
            </w:pPr>
            <w:r w:rsidRPr="002F5A77">
              <w:rPr>
                <w:rFonts w:eastAsia="Calibri" w:cs="Times New Roman"/>
                <w:b/>
                <w:color w:val="auto"/>
              </w:rPr>
              <w:t>Αποπληθωριστής ΑΕΠ</w:t>
            </w:r>
            <w:r w:rsidRPr="002F5A77">
              <w:rPr>
                <w:rFonts w:eastAsia="Calibri" w:cs="Times New Roman"/>
                <w:b/>
                <w:color w:val="auto"/>
                <w:lang w:val="en-US"/>
              </w:rPr>
              <w:t xml:space="preserve"> </w:t>
            </w:r>
            <w:r w:rsidRPr="002F5A77">
              <w:rPr>
                <w:rFonts w:eastAsia="Calibri" w:cs="Times New Roman"/>
                <w:b/>
                <w:color w:val="auto"/>
              </w:rPr>
              <w:t>(ετ. % μεταβολή)</w:t>
            </w:r>
          </w:p>
        </w:tc>
        <w:tc>
          <w:tcPr>
            <w:tcW w:w="1408" w:type="dxa"/>
            <w:tcBorders>
              <w:top w:val="single" w:sz="4" w:space="0" w:color="auto"/>
              <w:bottom w:val="single" w:sz="4" w:space="0" w:color="auto"/>
            </w:tcBorders>
            <w:shd w:val="clear" w:color="auto" w:fill="F2F2F2" w:themeFill="background1" w:themeFillShade="F2"/>
            <w:noWrap/>
          </w:tcPr>
          <w:p w14:paraId="4E555247" w14:textId="77777777" w:rsidR="00DF60E7" w:rsidRPr="002F5A77" w:rsidRDefault="00DF60E7" w:rsidP="00140420">
            <w:pPr>
              <w:spacing w:after="0" w:line="240" w:lineRule="auto"/>
              <w:rPr>
                <w:rFonts w:eastAsia="Calibri" w:cs="Times New Roman"/>
                <w:color w:val="auto"/>
              </w:rPr>
            </w:pPr>
          </w:p>
        </w:tc>
        <w:tc>
          <w:tcPr>
            <w:tcW w:w="1158" w:type="dxa"/>
            <w:tcBorders>
              <w:top w:val="single" w:sz="4" w:space="0" w:color="auto"/>
              <w:bottom w:val="single" w:sz="4" w:space="0" w:color="auto"/>
              <w:right w:val="nil"/>
            </w:tcBorders>
            <w:shd w:val="clear" w:color="auto" w:fill="F2F2F2" w:themeFill="background1" w:themeFillShade="F2"/>
            <w:noWrap/>
          </w:tcPr>
          <w:p w14:paraId="3A4250A0" w14:textId="77777777" w:rsidR="00DF60E7" w:rsidRPr="002F5A77" w:rsidRDefault="00DF60E7" w:rsidP="00140420">
            <w:pPr>
              <w:spacing w:after="0" w:line="240" w:lineRule="auto"/>
              <w:jc w:val="left"/>
              <w:rPr>
                <w:rFonts w:eastAsia="Calibri" w:cs="Times New Roman"/>
                <w:i/>
                <w:color w:val="auto"/>
              </w:rPr>
            </w:pPr>
          </w:p>
        </w:tc>
        <w:tc>
          <w:tcPr>
            <w:tcW w:w="1356" w:type="dxa"/>
            <w:tcBorders>
              <w:top w:val="single" w:sz="4" w:space="0" w:color="auto"/>
              <w:left w:val="nil"/>
              <w:bottom w:val="single" w:sz="4" w:space="0" w:color="auto"/>
              <w:right w:val="single" w:sz="8" w:space="0" w:color="00B0F0"/>
            </w:tcBorders>
            <w:shd w:val="clear" w:color="auto" w:fill="F2F2F2" w:themeFill="background1" w:themeFillShade="F2"/>
          </w:tcPr>
          <w:p w14:paraId="1D1BD402" w14:textId="77777777" w:rsidR="00DF60E7" w:rsidRPr="002F5A77" w:rsidRDefault="00DF60E7" w:rsidP="00140420">
            <w:pPr>
              <w:spacing w:after="0" w:line="240" w:lineRule="auto"/>
              <w:jc w:val="center"/>
              <w:rPr>
                <w:rFonts w:eastAsia="Calibri" w:cs="Times New Roman"/>
                <w:i/>
                <w:color w:val="auto"/>
              </w:rPr>
            </w:pPr>
          </w:p>
        </w:tc>
      </w:tr>
      <w:tr w:rsidR="00DF60E7" w:rsidRPr="002F5A77" w14:paraId="761D643A" w14:textId="77777777" w:rsidTr="00140420">
        <w:trPr>
          <w:trHeight w:val="327"/>
        </w:trPr>
        <w:tc>
          <w:tcPr>
            <w:tcW w:w="4370" w:type="dxa"/>
            <w:tcBorders>
              <w:top w:val="single" w:sz="4" w:space="0" w:color="auto"/>
              <w:left w:val="single" w:sz="8" w:space="0" w:color="00B0F0"/>
              <w:bottom w:val="single" w:sz="4" w:space="0" w:color="auto"/>
            </w:tcBorders>
            <w:shd w:val="clear" w:color="auto" w:fill="auto"/>
            <w:noWrap/>
          </w:tcPr>
          <w:p w14:paraId="6FBACA18" w14:textId="77777777" w:rsidR="00DF60E7" w:rsidRPr="002F5A77" w:rsidRDefault="00DF60E7" w:rsidP="00140420">
            <w:pPr>
              <w:spacing w:after="0" w:line="240" w:lineRule="auto"/>
              <w:rPr>
                <w:rFonts w:eastAsia="Calibri" w:cs="Times New Roman"/>
                <w:color w:val="auto"/>
              </w:rPr>
            </w:pPr>
            <w:r w:rsidRPr="002F5A77">
              <w:rPr>
                <w:rFonts w:eastAsia="Calibri" w:cs="Times New Roman"/>
                <w:color w:val="auto"/>
              </w:rPr>
              <w:t>Υπ. Οικονομικών</w:t>
            </w:r>
          </w:p>
        </w:tc>
        <w:tc>
          <w:tcPr>
            <w:tcW w:w="1408" w:type="dxa"/>
            <w:tcBorders>
              <w:top w:val="single" w:sz="4" w:space="0" w:color="auto"/>
              <w:bottom w:val="single" w:sz="4" w:space="0" w:color="auto"/>
            </w:tcBorders>
            <w:shd w:val="clear" w:color="auto" w:fill="auto"/>
            <w:noWrap/>
          </w:tcPr>
          <w:p w14:paraId="6BE7EC3C" w14:textId="77777777" w:rsidR="00DF60E7" w:rsidRPr="002F5A77" w:rsidRDefault="00DF60E7" w:rsidP="00140420">
            <w:pPr>
              <w:spacing w:after="0" w:line="240" w:lineRule="auto"/>
              <w:rPr>
                <w:rFonts w:eastAsia="Calibri" w:cs="Times New Roman"/>
                <w:color w:val="auto"/>
                <w:lang w:val="en-US"/>
              </w:rPr>
            </w:pPr>
          </w:p>
        </w:tc>
        <w:tc>
          <w:tcPr>
            <w:tcW w:w="1158" w:type="dxa"/>
            <w:tcBorders>
              <w:top w:val="single" w:sz="4" w:space="0" w:color="auto"/>
              <w:bottom w:val="single" w:sz="4" w:space="0" w:color="auto"/>
              <w:right w:val="nil"/>
            </w:tcBorders>
            <w:shd w:val="clear" w:color="auto" w:fill="auto"/>
            <w:noWrap/>
          </w:tcPr>
          <w:p w14:paraId="3B5E9AD4" w14:textId="77777777" w:rsidR="00DF60E7" w:rsidRPr="002F5A77" w:rsidRDefault="00DF60E7" w:rsidP="00140420">
            <w:pPr>
              <w:spacing w:after="0" w:line="240" w:lineRule="auto"/>
              <w:jc w:val="left"/>
              <w:rPr>
                <w:rFonts w:eastAsia="Calibri" w:cs="Times New Roman"/>
                <w:i/>
                <w:color w:val="auto"/>
              </w:rPr>
            </w:pPr>
          </w:p>
        </w:tc>
        <w:tc>
          <w:tcPr>
            <w:tcW w:w="1356" w:type="dxa"/>
            <w:tcBorders>
              <w:top w:val="single" w:sz="4" w:space="0" w:color="auto"/>
              <w:left w:val="nil"/>
              <w:bottom w:val="single" w:sz="4" w:space="0" w:color="auto"/>
              <w:right w:val="single" w:sz="8" w:space="0" w:color="00B0F0"/>
            </w:tcBorders>
          </w:tcPr>
          <w:p w14:paraId="3766998C" w14:textId="77777777" w:rsidR="00DF60E7" w:rsidRPr="002F5A77" w:rsidRDefault="00DF60E7" w:rsidP="00140420">
            <w:pPr>
              <w:spacing w:after="0" w:line="240" w:lineRule="auto"/>
              <w:jc w:val="center"/>
              <w:rPr>
                <w:rFonts w:eastAsia="Calibri" w:cs="Times New Roman"/>
                <w:i/>
                <w:color w:val="auto"/>
              </w:rPr>
            </w:pPr>
            <w:r w:rsidRPr="002F5A77">
              <w:rPr>
                <w:rFonts w:eastAsia="Calibri" w:cs="Times New Roman"/>
                <w:i/>
                <w:color w:val="auto"/>
              </w:rPr>
              <w:t>1,0%</w:t>
            </w:r>
          </w:p>
        </w:tc>
      </w:tr>
      <w:tr w:rsidR="00DF60E7" w:rsidRPr="002F5A77" w14:paraId="79037FC0" w14:textId="77777777" w:rsidTr="00140420">
        <w:trPr>
          <w:trHeight w:val="327"/>
        </w:trPr>
        <w:tc>
          <w:tcPr>
            <w:tcW w:w="4370" w:type="dxa"/>
            <w:tcBorders>
              <w:top w:val="single" w:sz="4" w:space="0" w:color="auto"/>
              <w:left w:val="single" w:sz="8" w:space="0" w:color="00B0F0"/>
              <w:bottom w:val="single" w:sz="4" w:space="0" w:color="auto"/>
            </w:tcBorders>
            <w:shd w:val="clear" w:color="auto" w:fill="auto"/>
            <w:noWrap/>
          </w:tcPr>
          <w:p w14:paraId="609AF323" w14:textId="77777777" w:rsidR="00DF60E7" w:rsidRPr="002F5A77" w:rsidRDefault="00DF60E7" w:rsidP="00140420">
            <w:pPr>
              <w:spacing w:after="0" w:line="240" w:lineRule="auto"/>
              <w:rPr>
                <w:rFonts w:eastAsia="Calibri" w:cs="Times New Roman"/>
                <w:color w:val="auto"/>
              </w:rPr>
            </w:pPr>
            <w:r w:rsidRPr="002F5A77">
              <w:rPr>
                <w:rFonts w:eastAsia="Calibri" w:cs="Times New Roman"/>
                <w:color w:val="auto"/>
              </w:rPr>
              <w:t>Ευρωπαϊκή Επιτροπή</w:t>
            </w:r>
            <w:r w:rsidRPr="002F5A77">
              <w:rPr>
                <w:rFonts w:eastAsia="Calibri" w:cs="Times New Roman"/>
                <w:b/>
                <w:color w:val="auto"/>
                <w:vertAlign w:val="superscript"/>
              </w:rPr>
              <w:t xml:space="preserve"> </w:t>
            </w:r>
          </w:p>
        </w:tc>
        <w:tc>
          <w:tcPr>
            <w:tcW w:w="1408" w:type="dxa"/>
            <w:tcBorders>
              <w:top w:val="single" w:sz="4" w:space="0" w:color="auto"/>
              <w:bottom w:val="single" w:sz="4" w:space="0" w:color="auto"/>
            </w:tcBorders>
            <w:shd w:val="clear" w:color="auto" w:fill="auto"/>
            <w:noWrap/>
          </w:tcPr>
          <w:p w14:paraId="336E7F79" w14:textId="77777777" w:rsidR="00DF60E7" w:rsidRPr="002F5A77" w:rsidRDefault="00DF60E7" w:rsidP="00140420">
            <w:pPr>
              <w:spacing w:after="0" w:line="240" w:lineRule="auto"/>
              <w:rPr>
                <w:rFonts w:eastAsia="Calibri" w:cs="Times New Roman"/>
                <w:color w:val="auto"/>
                <w:lang w:val="en-US"/>
              </w:rPr>
            </w:pPr>
          </w:p>
        </w:tc>
        <w:tc>
          <w:tcPr>
            <w:tcW w:w="1158" w:type="dxa"/>
            <w:tcBorders>
              <w:top w:val="single" w:sz="4" w:space="0" w:color="auto"/>
              <w:bottom w:val="single" w:sz="4" w:space="0" w:color="auto"/>
              <w:right w:val="nil"/>
            </w:tcBorders>
            <w:shd w:val="clear" w:color="auto" w:fill="auto"/>
            <w:noWrap/>
          </w:tcPr>
          <w:p w14:paraId="311D252B" w14:textId="77777777" w:rsidR="00DF60E7" w:rsidRPr="00E7110D" w:rsidRDefault="00DF60E7" w:rsidP="00140420">
            <w:pPr>
              <w:spacing w:after="0" w:line="240" w:lineRule="auto"/>
              <w:jc w:val="left"/>
              <w:rPr>
                <w:rFonts w:eastAsia="Calibri" w:cs="Times New Roman"/>
                <w:i/>
                <w:color w:val="auto"/>
              </w:rPr>
            </w:pPr>
          </w:p>
        </w:tc>
        <w:tc>
          <w:tcPr>
            <w:tcW w:w="1356" w:type="dxa"/>
            <w:tcBorders>
              <w:top w:val="single" w:sz="4" w:space="0" w:color="auto"/>
              <w:left w:val="nil"/>
              <w:bottom w:val="single" w:sz="4" w:space="0" w:color="auto"/>
              <w:right w:val="single" w:sz="8" w:space="0" w:color="00B0F0"/>
            </w:tcBorders>
          </w:tcPr>
          <w:p w14:paraId="46279ECA" w14:textId="77777777" w:rsidR="00DF60E7" w:rsidRPr="002F5A77" w:rsidRDefault="00DF60E7" w:rsidP="00140420">
            <w:pPr>
              <w:spacing w:after="0" w:line="240" w:lineRule="auto"/>
              <w:jc w:val="center"/>
              <w:rPr>
                <w:rFonts w:eastAsia="Calibri" w:cs="Times New Roman"/>
                <w:i/>
                <w:color w:val="auto"/>
              </w:rPr>
            </w:pPr>
            <w:r>
              <w:rPr>
                <w:rFonts w:eastAsia="Calibri" w:cs="Times New Roman"/>
                <w:i/>
                <w:color w:val="auto"/>
              </w:rPr>
              <w:t>0,9%</w:t>
            </w:r>
          </w:p>
        </w:tc>
      </w:tr>
      <w:tr w:rsidR="00DF60E7" w:rsidRPr="002F5A77" w14:paraId="5F5562E1" w14:textId="77777777" w:rsidTr="00140420">
        <w:trPr>
          <w:trHeight w:val="327"/>
        </w:trPr>
        <w:tc>
          <w:tcPr>
            <w:tcW w:w="4370" w:type="dxa"/>
            <w:tcBorders>
              <w:top w:val="single" w:sz="4" w:space="0" w:color="auto"/>
              <w:left w:val="single" w:sz="8" w:space="0" w:color="00B0F0"/>
              <w:bottom w:val="single" w:sz="4" w:space="0" w:color="auto"/>
            </w:tcBorders>
            <w:shd w:val="clear" w:color="auto" w:fill="auto"/>
            <w:noWrap/>
          </w:tcPr>
          <w:p w14:paraId="1648D6D3" w14:textId="77777777" w:rsidR="00DF60E7" w:rsidRPr="002F5A77" w:rsidRDefault="00DF60E7" w:rsidP="00140420">
            <w:pPr>
              <w:spacing w:after="0" w:line="240" w:lineRule="auto"/>
              <w:rPr>
                <w:rFonts w:eastAsia="Calibri" w:cs="Times New Roman"/>
                <w:color w:val="auto"/>
              </w:rPr>
            </w:pPr>
            <w:r w:rsidRPr="002F5A77">
              <w:rPr>
                <w:rFonts w:eastAsia="Calibri" w:cs="Times New Roman"/>
                <w:color w:val="auto"/>
              </w:rPr>
              <w:t>ΟΟΣΑ</w:t>
            </w:r>
            <w:r>
              <w:rPr>
                <w:rFonts w:eastAsia="Calibri" w:cs="Times New Roman"/>
                <w:color w:val="auto"/>
              </w:rPr>
              <w:t xml:space="preserve"> </w:t>
            </w:r>
          </w:p>
        </w:tc>
        <w:tc>
          <w:tcPr>
            <w:tcW w:w="1408" w:type="dxa"/>
            <w:tcBorders>
              <w:top w:val="single" w:sz="4" w:space="0" w:color="auto"/>
              <w:bottom w:val="single" w:sz="4" w:space="0" w:color="auto"/>
            </w:tcBorders>
            <w:shd w:val="clear" w:color="auto" w:fill="auto"/>
            <w:noWrap/>
          </w:tcPr>
          <w:p w14:paraId="036609B0" w14:textId="77777777" w:rsidR="00DF60E7" w:rsidRPr="002F5A77" w:rsidRDefault="00DF60E7" w:rsidP="00140420">
            <w:pPr>
              <w:spacing w:after="0" w:line="240" w:lineRule="auto"/>
              <w:rPr>
                <w:rFonts w:eastAsia="Calibri" w:cs="Times New Roman"/>
                <w:color w:val="auto"/>
                <w:lang w:val="en-US"/>
              </w:rPr>
            </w:pPr>
          </w:p>
        </w:tc>
        <w:tc>
          <w:tcPr>
            <w:tcW w:w="1158" w:type="dxa"/>
            <w:tcBorders>
              <w:top w:val="single" w:sz="4" w:space="0" w:color="auto"/>
              <w:bottom w:val="single" w:sz="4" w:space="0" w:color="auto"/>
              <w:right w:val="nil"/>
            </w:tcBorders>
            <w:shd w:val="clear" w:color="auto" w:fill="auto"/>
            <w:noWrap/>
          </w:tcPr>
          <w:p w14:paraId="7C8E5EC7" w14:textId="77777777" w:rsidR="00DF60E7" w:rsidRPr="002F5A77" w:rsidRDefault="00DF60E7" w:rsidP="00140420">
            <w:pPr>
              <w:spacing w:after="0" w:line="240" w:lineRule="auto"/>
              <w:jc w:val="left"/>
              <w:rPr>
                <w:rFonts w:eastAsia="Calibri" w:cs="Times New Roman"/>
                <w:i/>
                <w:color w:val="auto"/>
                <w:lang w:val="en-US"/>
              </w:rPr>
            </w:pPr>
          </w:p>
        </w:tc>
        <w:tc>
          <w:tcPr>
            <w:tcW w:w="1356" w:type="dxa"/>
            <w:tcBorders>
              <w:top w:val="single" w:sz="4" w:space="0" w:color="auto"/>
              <w:left w:val="nil"/>
              <w:bottom w:val="single" w:sz="4" w:space="0" w:color="auto"/>
              <w:right w:val="single" w:sz="8" w:space="0" w:color="00B0F0"/>
            </w:tcBorders>
          </w:tcPr>
          <w:p w14:paraId="7CD7012F" w14:textId="77777777" w:rsidR="00DF60E7" w:rsidRPr="002F5A77" w:rsidRDefault="00DF60E7" w:rsidP="00140420">
            <w:pPr>
              <w:spacing w:after="0" w:line="240" w:lineRule="auto"/>
              <w:jc w:val="center"/>
              <w:rPr>
                <w:rFonts w:eastAsia="Calibri" w:cs="Times New Roman"/>
                <w:i/>
                <w:color w:val="auto"/>
              </w:rPr>
            </w:pPr>
            <w:r>
              <w:rPr>
                <w:rFonts w:eastAsia="Calibri" w:cs="Times New Roman"/>
                <w:i/>
                <w:color w:val="auto"/>
              </w:rPr>
              <w:t>1,2</w:t>
            </w:r>
            <w:r w:rsidRPr="002F5A77">
              <w:rPr>
                <w:rFonts w:eastAsia="Calibri" w:cs="Times New Roman"/>
                <w:i/>
                <w:color w:val="auto"/>
              </w:rPr>
              <w:t>%</w:t>
            </w:r>
          </w:p>
        </w:tc>
      </w:tr>
      <w:tr w:rsidR="00DF60E7" w:rsidRPr="002F5A77" w14:paraId="33A49848" w14:textId="77777777" w:rsidTr="00140420">
        <w:trPr>
          <w:trHeight w:val="327"/>
        </w:trPr>
        <w:tc>
          <w:tcPr>
            <w:tcW w:w="6936" w:type="dxa"/>
            <w:gridSpan w:val="3"/>
            <w:tcBorders>
              <w:top w:val="single" w:sz="4" w:space="0" w:color="auto"/>
              <w:left w:val="single" w:sz="8" w:space="0" w:color="00B0F0"/>
              <w:bottom w:val="single" w:sz="4" w:space="0" w:color="auto"/>
              <w:right w:val="nil"/>
            </w:tcBorders>
            <w:shd w:val="clear" w:color="auto" w:fill="F2F2F2" w:themeFill="background1" w:themeFillShade="F2"/>
            <w:noWrap/>
          </w:tcPr>
          <w:p w14:paraId="69BF46D9" w14:textId="77777777" w:rsidR="00DF60E7" w:rsidRPr="002F5A77" w:rsidRDefault="00DF60E7" w:rsidP="00140420">
            <w:pPr>
              <w:spacing w:after="0" w:line="240" w:lineRule="auto"/>
              <w:jc w:val="left"/>
              <w:rPr>
                <w:rFonts w:eastAsia="Calibri" w:cs="Times New Roman"/>
                <w:i/>
                <w:color w:val="auto"/>
              </w:rPr>
            </w:pPr>
            <w:r w:rsidRPr="002F5A77">
              <w:rPr>
                <w:rFonts w:eastAsia="Calibri" w:cs="Times New Roman"/>
                <w:b/>
                <w:color w:val="auto"/>
              </w:rPr>
              <w:t>Εναρμονισμένος ΔΤΚ (ετ. % μεταβολή)</w:t>
            </w:r>
          </w:p>
        </w:tc>
        <w:tc>
          <w:tcPr>
            <w:tcW w:w="1356" w:type="dxa"/>
            <w:tcBorders>
              <w:top w:val="single" w:sz="4" w:space="0" w:color="auto"/>
              <w:left w:val="nil"/>
              <w:bottom w:val="single" w:sz="4" w:space="0" w:color="auto"/>
              <w:right w:val="single" w:sz="8" w:space="0" w:color="00B0F0"/>
            </w:tcBorders>
            <w:shd w:val="clear" w:color="auto" w:fill="F2F2F2" w:themeFill="background1" w:themeFillShade="F2"/>
          </w:tcPr>
          <w:p w14:paraId="6A0DEF5C" w14:textId="77777777" w:rsidR="00DF60E7" w:rsidRPr="002F5A77" w:rsidRDefault="00DF60E7" w:rsidP="00140420">
            <w:pPr>
              <w:spacing w:after="0" w:line="240" w:lineRule="auto"/>
              <w:jc w:val="center"/>
              <w:rPr>
                <w:rFonts w:eastAsia="Calibri" w:cs="Times New Roman"/>
                <w:b/>
                <w:color w:val="auto"/>
              </w:rPr>
            </w:pPr>
          </w:p>
        </w:tc>
      </w:tr>
      <w:tr w:rsidR="00DF60E7" w:rsidRPr="002F5A77" w14:paraId="3D5B4C8E" w14:textId="77777777" w:rsidTr="00140420">
        <w:trPr>
          <w:trHeight w:val="327"/>
        </w:trPr>
        <w:tc>
          <w:tcPr>
            <w:tcW w:w="4370" w:type="dxa"/>
            <w:tcBorders>
              <w:top w:val="single" w:sz="4" w:space="0" w:color="auto"/>
              <w:left w:val="single" w:sz="8" w:space="0" w:color="00B0F0"/>
              <w:bottom w:val="single" w:sz="4" w:space="0" w:color="auto"/>
            </w:tcBorders>
            <w:shd w:val="clear" w:color="auto" w:fill="auto"/>
            <w:noWrap/>
          </w:tcPr>
          <w:p w14:paraId="4C72BF4C" w14:textId="77777777" w:rsidR="00DF60E7" w:rsidRPr="002F5A77" w:rsidRDefault="00DF60E7" w:rsidP="00140420">
            <w:pPr>
              <w:spacing w:after="0" w:line="240" w:lineRule="auto"/>
              <w:rPr>
                <w:rFonts w:eastAsia="Calibri" w:cs="Times New Roman"/>
                <w:color w:val="auto"/>
              </w:rPr>
            </w:pPr>
            <w:r w:rsidRPr="002F5A77">
              <w:rPr>
                <w:rFonts w:eastAsia="Calibri" w:cs="Times New Roman"/>
                <w:color w:val="auto"/>
              </w:rPr>
              <w:t>Υπ. Οικονομικών</w:t>
            </w:r>
          </w:p>
        </w:tc>
        <w:tc>
          <w:tcPr>
            <w:tcW w:w="1408" w:type="dxa"/>
            <w:tcBorders>
              <w:top w:val="single" w:sz="4" w:space="0" w:color="auto"/>
              <w:bottom w:val="single" w:sz="4" w:space="0" w:color="auto"/>
            </w:tcBorders>
            <w:shd w:val="clear" w:color="auto" w:fill="auto"/>
            <w:noWrap/>
          </w:tcPr>
          <w:p w14:paraId="6921A8D7" w14:textId="77777777" w:rsidR="00DF60E7" w:rsidRPr="002F5A77" w:rsidRDefault="00DF60E7" w:rsidP="00140420">
            <w:pPr>
              <w:spacing w:after="0" w:line="240" w:lineRule="auto"/>
              <w:rPr>
                <w:rFonts w:eastAsia="Calibri" w:cs="Times New Roman"/>
                <w:color w:val="auto"/>
              </w:rPr>
            </w:pPr>
          </w:p>
        </w:tc>
        <w:tc>
          <w:tcPr>
            <w:tcW w:w="1158" w:type="dxa"/>
            <w:tcBorders>
              <w:top w:val="single" w:sz="4" w:space="0" w:color="auto"/>
              <w:bottom w:val="single" w:sz="4" w:space="0" w:color="auto"/>
              <w:right w:val="nil"/>
            </w:tcBorders>
            <w:shd w:val="clear" w:color="auto" w:fill="auto"/>
            <w:noWrap/>
          </w:tcPr>
          <w:p w14:paraId="4B571EF7" w14:textId="77777777" w:rsidR="00DF60E7" w:rsidRPr="002F5A77" w:rsidRDefault="00DF60E7" w:rsidP="00140420">
            <w:pPr>
              <w:spacing w:after="0" w:line="240" w:lineRule="auto"/>
              <w:jc w:val="left"/>
              <w:rPr>
                <w:rFonts w:eastAsia="Calibri" w:cs="Times New Roman"/>
                <w:i/>
                <w:color w:val="auto"/>
              </w:rPr>
            </w:pPr>
          </w:p>
        </w:tc>
        <w:tc>
          <w:tcPr>
            <w:tcW w:w="1356" w:type="dxa"/>
            <w:tcBorders>
              <w:top w:val="single" w:sz="4" w:space="0" w:color="auto"/>
              <w:left w:val="nil"/>
              <w:bottom w:val="single" w:sz="4" w:space="0" w:color="auto"/>
              <w:right w:val="single" w:sz="8" w:space="0" w:color="00B0F0"/>
            </w:tcBorders>
          </w:tcPr>
          <w:p w14:paraId="684BC1EB" w14:textId="77777777" w:rsidR="00DF60E7" w:rsidRPr="002F5A77" w:rsidRDefault="00DF60E7" w:rsidP="00140420">
            <w:pPr>
              <w:spacing w:after="0" w:line="240" w:lineRule="auto"/>
              <w:jc w:val="center"/>
              <w:rPr>
                <w:rFonts w:eastAsia="Calibri" w:cs="Times New Roman"/>
                <w:i/>
                <w:color w:val="auto"/>
              </w:rPr>
            </w:pPr>
            <w:r w:rsidRPr="002F5A77">
              <w:rPr>
                <w:rFonts w:eastAsia="Calibri" w:cs="Times New Roman"/>
                <w:i/>
                <w:color w:val="auto"/>
              </w:rPr>
              <w:t>0,</w:t>
            </w:r>
            <w:r>
              <w:rPr>
                <w:rFonts w:eastAsia="Calibri" w:cs="Times New Roman"/>
                <w:i/>
                <w:color w:val="auto"/>
              </w:rPr>
              <w:t>8</w:t>
            </w:r>
            <w:r w:rsidRPr="002F5A77">
              <w:rPr>
                <w:rFonts w:eastAsia="Calibri" w:cs="Times New Roman"/>
                <w:i/>
                <w:color w:val="auto"/>
              </w:rPr>
              <w:t>%</w:t>
            </w:r>
          </w:p>
        </w:tc>
      </w:tr>
      <w:tr w:rsidR="00DF60E7" w:rsidRPr="002F5A77" w14:paraId="25BE11E3" w14:textId="77777777" w:rsidTr="00140420">
        <w:trPr>
          <w:trHeight w:val="327"/>
        </w:trPr>
        <w:tc>
          <w:tcPr>
            <w:tcW w:w="4370" w:type="dxa"/>
            <w:tcBorders>
              <w:top w:val="single" w:sz="4" w:space="0" w:color="auto"/>
              <w:left w:val="single" w:sz="8" w:space="0" w:color="00B0F0"/>
              <w:bottom w:val="single" w:sz="4" w:space="0" w:color="auto"/>
            </w:tcBorders>
            <w:shd w:val="clear" w:color="auto" w:fill="auto"/>
            <w:noWrap/>
          </w:tcPr>
          <w:p w14:paraId="7294CAE9" w14:textId="77777777" w:rsidR="00DF60E7" w:rsidRPr="002F5A77" w:rsidRDefault="00DF60E7" w:rsidP="00140420">
            <w:pPr>
              <w:spacing w:after="0" w:line="240" w:lineRule="auto"/>
              <w:rPr>
                <w:rFonts w:eastAsia="Calibri" w:cs="Times New Roman"/>
                <w:color w:val="auto"/>
              </w:rPr>
            </w:pPr>
            <w:r w:rsidRPr="002F5A77">
              <w:rPr>
                <w:rFonts w:eastAsia="Calibri" w:cs="Times New Roman"/>
                <w:color w:val="auto"/>
              </w:rPr>
              <w:t>Ευρωπαϊκή Επιτροπή</w:t>
            </w:r>
            <w:r w:rsidRPr="002F5A77">
              <w:rPr>
                <w:rFonts w:eastAsia="Calibri" w:cs="Times New Roman"/>
                <w:b/>
                <w:color w:val="auto"/>
                <w:vertAlign w:val="superscript"/>
              </w:rPr>
              <w:t xml:space="preserve"> </w:t>
            </w:r>
          </w:p>
        </w:tc>
        <w:tc>
          <w:tcPr>
            <w:tcW w:w="1408" w:type="dxa"/>
            <w:tcBorders>
              <w:top w:val="single" w:sz="4" w:space="0" w:color="auto"/>
              <w:bottom w:val="single" w:sz="4" w:space="0" w:color="auto"/>
            </w:tcBorders>
            <w:shd w:val="clear" w:color="auto" w:fill="auto"/>
            <w:noWrap/>
          </w:tcPr>
          <w:p w14:paraId="513938FD" w14:textId="77777777" w:rsidR="00DF60E7" w:rsidRPr="002F5A77" w:rsidRDefault="00DF60E7" w:rsidP="00140420">
            <w:pPr>
              <w:spacing w:after="0" w:line="240" w:lineRule="auto"/>
              <w:rPr>
                <w:rFonts w:eastAsia="Calibri" w:cs="Times New Roman"/>
                <w:color w:val="auto"/>
              </w:rPr>
            </w:pPr>
          </w:p>
        </w:tc>
        <w:tc>
          <w:tcPr>
            <w:tcW w:w="1158" w:type="dxa"/>
            <w:tcBorders>
              <w:top w:val="single" w:sz="4" w:space="0" w:color="auto"/>
              <w:bottom w:val="single" w:sz="4" w:space="0" w:color="auto"/>
              <w:right w:val="nil"/>
            </w:tcBorders>
            <w:shd w:val="clear" w:color="auto" w:fill="auto"/>
            <w:noWrap/>
          </w:tcPr>
          <w:p w14:paraId="1B4C34ED" w14:textId="77777777" w:rsidR="00DF60E7" w:rsidRPr="002F5A77" w:rsidRDefault="00DF60E7" w:rsidP="00140420">
            <w:pPr>
              <w:spacing w:after="0" w:line="240" w:lineRule="auto"/>
              <w:jc w:val="left"/>
              <w:rPr>
                <w:rFonts w:eastAsia="Calibri" w:cs="Times New Roman"/>
                <w:i/>
                <w:color w:val="auto"/>
              </w:rPr>
            </w:pPr>
          </w:p>
        </w:tc>
        <w:tc>
          <w:tcPr>
            <w:tcW w:w="1356" w:type="dxa"/>
            <w:tcBorders>
              <w:top w:val="single" w:sz="4" w:space="0" w:color="auto"/>
              <w:left w:val="nil"/>
              <w:bottom w:val="single" w:sz="4" w:space="0" w:color="auto"/>
              <w:right w:val="single" w:sz="8" w:space="0" w:color="00B0F0"/>
            </w:tcBorders>
          </w:tcPr>
          <w:p w14:paraId="55973AF8" w14:textId="77777777" w:rsidR="00DF60E7" w:rsidRPr="002F5A77" w:rsidRDefault="00DF60E7" w:rsidP="00140420">
            <w:pPr>
              <w:spacing w:after="0" w:line="240" w:lineRule="auto"/>
              <w:jc w:val="center"/>
              <w:rPr>
                <w:rFonts w:eastAsia="Calibri" w:cs="Times New Roman"/>
                <w:i/>
                <w:color w:val="auto"/>
              </w:rPr>
            </w:pPr>
            <w:r>
              <w:rPr>
                <w:rFonts w:eastAsia="Calibri" w:cs="Times New Roman"/>
                <w:i/>
                <w:color w:val="auto"/>
              </w:rPr>
              <w:t>1,0%</w:t>
            </w:r>
          </w:p>
        </w:tc>
      </w:tr>
      <w:tr w:rsidR="00DF60E7" w:rsidRPr="002F5A77" w14:paraId="3851AA52" w14:textId="77777777" w:rsidTr="00140420">
        <w:trPr>
          <w:trHeight w:val="327"/>
        </w:trPr>
        <w:tc>
          <w:tcPr>
            <w:tcW w:w="4370" w:type="dxa"/>
            <w:tcBorders>
              <w:top w:val="single" w:sz="4" w:space="0" w:color="auto"/>
              <w:left w:val="single" w:sz="8" w:space="0" w:color="00B0F0"/>
              <w:bottom w:val="single" w:sz="4" w:space="0" w:color="auto"/>
            </w:tcBorders>
            <w:shd w:val="clear" w:color="auto" w:fill="auto"/>
            <w:noWrap/>
          </w:tcPr>
          <w:p w14:paraId="07C10A7C" w14:textId="77777777" w:rsidR="00DF60E7" w:rsidRPr="002F5A77" w:rsidRDefault="00DF60E7" w:rsidP="00140420">
            <w:pPr>
              <w:spacing w:after="0" w:line="240" w:lineRule="auto"/>
              <w:rPr>
                <w:rFonts w:eastAsia="Calibri" w:cs="Times New Roman"/>
                <w:color w:val="auto"/>
              </w:rPr>
            </w:pPr>
            <w:r w:rsidRPr="002F5A77">
              <w:rPr>
                <w:rFonts w:eastAsia="Calibri" w:cs="Times New Roman"/>
                <w:color w:val="auto"/>
              </w:rPr>
              <w:t>ΟΟΣΑ</w:t>
            </w:r>
            <w:r>
              <w:rPr>
                <w:rFonts w:eastAsia="Calibri" w:cs="Times New Roman"/>
                <w:color w:val="auto"/>
              </w:rPr>
              <w:t xml:space="preserve"> </w:t>
            </w:r>
          </w:p>
        </w:tc>
        <w:tc>
          <w:tcPr>
            <w:tcW w:w="1408" w:type="dxa"/>
            <w:tcBorders>
              <w:top w:val="single" w:sz="4" w:space="0" w:color="auto"/>
              <w:bottom w:val="single" w:sz="4" w:space="0" w:color="auto"/>
            </w:tcBorders>
            <w:shd w:val="clear" w:color="auto" w:fill="auto"/>
            <w:noWrap/>
          </w:tcPr>
          <w:p w14:paraId="13BBE26F" w14:textId="77777777" w:rsidR="00DF60E7" w:rsidRPr="002F5A77" w:rsidRDefault="00DF60E7" w:rsidP="00140420">
            <w:pPr>
              <w:spacing w:after="0" w:line="240" w:lineRule="auto"/>
              <w:rPr>
                <w:rFonts w:eastAsia="Calibri" w:cs="Times New Roman"/>
                <w:color w:val="auto"/>
              </w:rPr>
            </w:pPr>
          </w:p>
        </w:tc>
        <w:tc>
          <w:tcPr>
            <w:tcW w:w="1158" w:type="dxa"/>
            <w:tcBorders>
              <w:top w:val="single" w:sz="4" w:space="0" w:color="auto"/>
              <w:bottom w:val="single" w:sz="4" w:space="0" w:color="auto"/>
              <w:right w:val="nil"/>
            </w:tcBorders>
            <w:shd w:val="clear" w:color="auto" w:fill="auto"/>
            <w:noWrap/>
          </w:tcPr>
          <w:p w14:paraId="29EA7652" w14:textId="77777777" w:rsidR="00DF60E7" w:rsidRPr="002F5A77" w:rsidRDefault="00DF60E7" w:rsidP="00140420">
            <w:pPr>
              <w:spacing w:after="0" w:line="240" w:lineRule="auto"/>
              <w:jc w:val="left"/>
              <w:rPr>
                <w:rFonts w:eastAsia="Calibri" w:cs="Times New Roman"/>
                <w:i/>
                <w:color w:val="auto"/>
              </w:rPr>
            </w:pPr>
          </w:p>
        </w:tc>
        <w:tc>
          <w:tcPr>
            <w:tcW w:w="1356" w:type="dxa"/>
            <w:tcBorders>
              <w:top w:val="single" w:sz="4" w:space="0" w:color="auto"/>
              <w:left w:val="nil"/>
              <w:bottom w:val="single" w:sz="4" w:space="0" w:color="auto"/>
              <w:right w:val="single" w:sz="8" w:space="0" w:color="00B0F0"/>
            </w:tcBorders>
          </w:tcPr>
          <w:p w14:paraId="22C9F1E5" w14:textId="77777777" w:rsidR="00DF60E7" w:rsidRPr="002F5A77" w:rsidRDefault="00DF60E7" w:rsidP="00140420">
            <w:pPr>
              <w:spacing w:after="0" w:line="240" w:lineRule="auto"/>
              <w:jc w:val="center"/>
              <w:rPr>
                <w:rFonts w:eastAsia="Calibri" w:cs="Times New Roman"/>
                <w:i/>
                <w:color w:val="auto"/>
              </w:rPr>
            </w:pPr>
            <w:r>
              <w:rPr>
                <w:rFonts w:eastAsia="Calibri" w:cs="Times New Roman"/>
                <w:i/>
                <w:color w:val="auto"/>
              </w:rPr>
              <w:t>1,2</w:t>
            </w:r>
            <w:r w:rsidRPr="002F5A77">
              <w:rPr>
                <w:rFonts w:eastAsia="Calibri" w:cs="Times New Roman"/>
                <w:i/>
                <w:color w:val="auto"/>
              </w:rPr>
              <w:t>%</w:t>
            </w:r>
          </w:p>
        </w:tc>
      </w:tr>
      <w:tr w:rsidR="00DF60E7" w:rsidRPr="002F5A77" w14:paraId="607F6088" w14:textId="77777777" w:rsidTr="00140420">
        <w:trPr>
          <w:trHeight w:val="327"/>
        </w:trPr>
        <w:tc>
          <w:tcPr>
            <w:tcW w:w="4370" w:type="dxa"/>
            <w:tcBorders>
              <w:top w:val="single" w:sz="4" w:space="0" w:color="auto"/>
              <w:left w:val="single" w:sz="8" w:space="0" w:color="00B0F0"/>
              <w:bottom w:val="single" w:sz="4" w:space="0" w:color="auto"/>
            </w:tcBorders>
            <w:shd w:val="clear" w:color="auto" w:fill="auto"/>
            <w:noWrap/>
          </w:tcPr>
          <w:p w14:paraId="2FFFD43F" w14:textId="77777777" w:rsidR="00DF60E7" w:rsidRPr="002F5A77" w:rsidRDefault="00DF60E7" w:rsidP="00140420">
            <w:pPr>
              <w:spacing w:after="0" w:line="240" w:lineRule="auto"/>
              <w:rPr>
                <w:rFonts w:eastAsia="Calibri" w:cs="Times New Roman"/>
                <w:color w:val="auto"/>
              </w:rPr>
            </w:pPr>
            <w:r w:rsidRPr="002F5A77">
              <w:rPr>
                <w:rFonts w:eastAsia="Calibri" w:cs="Times New Roman"/>
                <w:color w:val="auto"/>
              </w:rPr>
              <w:t>ΔΝΤ</w:t>
            </w:r>
          </w:p>
        </w:tc>
        <w:tc>
          <w:tcPr>
            <w:tcW w:w="1408" w:type="dxa"/>
            <w:tcBorders>
              <w:top w:val="single" w:sz="4" w:space="0" w:color="auto"/>
              <w:bottom w:val="single" w:sz="4" w:space="0" w:color="auto"/>
            </w:tcBorders>
            <w:shd w:val="clear" w:color="auto" w:fill="auto"/>
            <w:noWrap/>
          </w:tcPr>
          <w:p w14:paraId="047E412B" w14:textId="77777777" w:rsidR="00DF60E7" w:rsidRPr="002F5A77" w:rsidRDefault="00DF60E7" w:rsidP="00140420">
            <w:pPr>
              <w:spacing w:after="0" w:line="240" w:lineRule="auto"/>
              <w:rPr>
                <w:rFonts w:eastAsia="Calibri" w:cs="Times New Roman"/>
                <w:color w:val="auto"/>
              </w:rPr>
            </w:pPr>
          </w:p>
        </w:tc>
        <w:tc>
          <w:tcPr>
            <w:tcW w:w="1158" w:type="dxa"/>
            <w:tcBorders>
              <w:top w:val="single" w:sz="4" w:space="0" w:color="auto"/>
              <w:bottom w:val="single" w:sz="4" w:space="0" w:color="auto"/>
              <w:right w:val="nil"/>
            </w:tcBorders>
            <w:shd w:val="clear" w:color="auto" w:fill="auto"/>
            <w:noWrap/>
          </w:tcPr>
          <w:p w14:paraId="7A96BEA6" w14:textId="77777777" w:rsidR="00DF60E7" w:rsidRPr="002F5A77" w:rsidRDefault="00DF60E7" w:rsidP="00140420">
            <w:pPr>
              <w:spacing w:after="0" w:line="240" w:lineRule="auto"/>
              <w:jc w:val="left"/>
              <w:rPr>
                <w:rFonts w:eastAsia="Calibri" w:cs="Times New Roman"/>
                <w:i/>
                <w:color w:val="auto"/>
              </w:rPr>
            </w:pPr>
          </w:p>
        </w:tc>
        <w:tc>
          <w:tcPr>
            <w:tcW w:w="1356" w:type="dxa"/>
            <w:tcBorders>
              <w:top w:val="single" w:sz="4" w:space="0" w:color="auto"/>
              <w:left w:val="nil"/>
              <w:bottom w:val="single" w:sz="4" w:space="0" w:color="auto"/>
              <w:right w:val="single" w:sz="8" w:space="0" w:color="00B0F0"/>
            </w:tcBorders>
          </w:tcPr>
          <w:p w14:paraId="041CD0B5" w14:textId="77777777" w:rsidR="00DF60E7" w:rsidRPr="002F5A77" w:rsidRDefault="00DF60E7" w:rsidP="00140420">
            <w:pPr>
              <w:spacing w:after="0" w:line="240" w:lineRule="auto"/>
              <w:jc w:val="center"/>
              <w:rPr>
                <w:rFonts w:eastAsia="Calibri" w:cs="Times New Roman"/>
                <w:i/>
                <w:color w:val="auto"/>
              </w:rPr>
            </w:pPr>
            <w:r>
              <w:rPr>
                <w:rFonts w:eastAsia="Calibri" w:cs="Times New Roman"/>
                <w:i/>
                <w:color w:val="auto"/>
              </w:rPr>
              <w:t>1,2</w:t>
            </w:r>
            <w:r w:rsidRPr="002F5A77">
              <w:rPr>
                <w:rFonts w:eastAsia="Calibri" w:cs="Times New Roman"/>
                <w:i/>
                <w:color w:val="auto"/>
              </w:rPr>
              <w:t>%</w:t>
            </w:r>
          </w:p>
        </w:tc>
      </w:tr>
    </w:tbl>
    <w:p w14:paraId="11A724C4" w14:textId="77777777" w:rsidR="00DF60E7" w:rsidRPr="008E5FBE" w:rsidRDefault="00DF60E7" w:rsidP="00DF60E7">
      <w:pPr>
        <w:spacing w:after="0" w:line="240" w:lineRule="auto"/>
        <w:rPr>
          <w:rFonts w:eastAsia="Calibri" w:cs="Times New Roman"/>
          <w:b/>
          <w:color w:val="808080"/>
          <w:sz w:val="16"/>
          <w:szCs w:val="16"/>
        </w:rPr>
      </w:pPr>
      <w:r w:rsidRPr="008E5FBE">
        <w:rPr>
          <w:rFonts w:eastAsia="Calibri" w:cs="Times New Roman"/>
          <w:b/>
          <w:color w:val="808080"/>
          <w:sz w:val="16"/>
          <w:szCs w:val="16"/>
        </w:rPr>
        <w:t>* Έρευνα Εργατικού Δυναμικού</w:t>
      </w:r>
    </w:p>
    <w:p w14:paraId="543A2122" w14:textId="77777777" w:rsidR="00DF60E7" w:rsidRPr="002F5A77" w:rsidRDefault="00DF60E7" w:rsidP="00DF60E7">
      <w:pPr>
        <w:spacing w:after="0" w:line="240" w:lineRule="auto"/>
        <w:rPr>
          <w:rFonts w:eastAsia="Calibri" w:cs="Times New Roman"/>
          <w:b/>
          <w:color w:val="808080"/>
          <w:sz w:val="16"/>
          <w:szCs w:val="16"/>
          <w:lang w:val="en-US"/>
        </w:rPr>
      </w:pPr>
      <w:r w:rsidRPr="002F5A77">
        <w:rPr>
          <w:rFonts w:eastAsia="Calibri" w:cs="Times New Roman"/>
          <w:b/>
          <w:color w:val="808080"/>
          <w:sz w:val="16"/>
          <w:szCs w:val="16"/>
        </w:rPr>
        <w:t>Πηγές</w:t>
      </w:r>
      <w:r w:rsidRPr="002F5A77">
        <w:rPr>
          <w:rFonts w:eastAsia="Calibri" w:cs="Times New Roman"/>
          <w:b/>
          <w:color w:val="808080"/>
          <w:sz w:val="16"/>
          <w:szCs w:val="16"/>
          <w:lang w:val="en-US"/>
        </w:rPr>
        <w:t xml:space="preserve">:  </w:t>
      </w:r>
    </w:p>
    <w:p w14:paraId="5515FC74" w14:textId="77777777" w:rsidR="00DF60E7" w:rsidRPr="002F5A77" w:rsidRDefault="00DF60E7" w:rsidP="00DF60E7">
      <w:pPr>
        <w:spacing w:after="0" w:line="240" w:lineRule="auto"/>
        <w:rPr>
          <w:rFonts w:eastAsia="Calibri" w:cs="Times New Roman"/>
          <w:color w:val="00A3E0"/>
          <w:sz w:val="16"/>
          <w:szCs w:val="16"/>
        </w:rPr>
      </w:pPr>
      <w:r w:rsidRPr="002F5A77">
        <w:rPr>
          <w:rFonts w:eastAsia="Calibri" w:cs="Times New Roman"/>
          <w:b/>
          <w:color w:val="00A3E0"/>
          <w:sz w:val="16"/>
          <w:szCs w:val="16"/>
        </w:rPr>
        <w:t>1.</w:t>
      </w:r>
      <w:r w:rsidRPr="002F5A77">
        <w:rPr>
          <w:rFonts w:eastAsia="Calibri" w:cs="Times New Roman"/>
          <w:color w:val="00A3E0"/>
          <w:sz w:val="16"/>
          <w:szCs w:val="16"/>
        </w:rPr>
        <w:t xml:space="preserve"> ΥΠΟΙΚ, Προσχέδιο κρα</w:t>
      </w:r>
      <w:r>
        <w:rPr>
          <w:rFonts w:eastAsia="Calibri" w:cs="Times New Roman"/>
          <w:color w:val="00A3E0"/>
          <w:sz w:val="16"/>
          <w:szCs w:val="16"/>
        </w:rPr>
        <w:t>τικού προϋπολογισμού 2022, Οκτώβριος 2021</w:t>
      </w:r>
      <w:r w:rsidRPr="002F5A77">
        <w:rPr>
          <w:rFonts w:eastAsia="Calibri" w:cs="Times New Roman"/>
          <w:color w:val="00A3E0"/>
          <w:sz w:val="16"/>
          <w:szCs w:val="16"/>
        </w:rPr>
        <w:t>.</w:t>
      </w:r>
    </w:p>
    <w:p w14:paraId="4782C595" w14:textId="77777777" w:rsidR="00DF60E7" w:rsidRPr="002F5A77" w:rsidRDefault="00DF60E7" w:rsidP="00DF60E7">
      <w:pPr>
        <w:spacing w:after="0" w:line="240" w:lineRule="auto"/>
        <w:rPr>
          <w:rFonts w:eastAsia="Calibri" w:cs="Times New Roman"/>
          <w:color w:val="00A3E0"/>
          <w:sz w:val="16"/>
          <w:szCs w:val="16"/>
          <w:lang w:val="en-US"/>
        </w:rPr>
      </w:pPr>
      <w:r w:rsidRPr="002F5A77">
        <w:rPr>
          <w:rFonts w:eastAsia="Calibri" w:cs="Times New Roman"/>
          <w:b/>
          <w:color w:val="00A3E0"/>
          <w:sz w:val="16"/>
          <w:szCs w:val="16"/>
          <w:lang w:val="en-US"/>
        </w:rPr>
        <w:t>2.</w:t>
      </w:r>
      <w:r w:rsidRPr="002F5A77">
        <w:rPr>
          <w:rFonts w:eastAsia="Calibri" w:cs="Times New Roman"/>
          <w:color w:val="00A3E0"/>
          <w:sz w:val="16"/>
          <w:szCs w:val="16"/>
          <w:lang w:val="en-US"/>
        </w:rPr>
        <w:t xml:space="preserve"> </w:t>
      </w:r>
      <w:r w:rsidRPr="007A404D">
        <w:rPr>
          <w:rFonts w:eastAsia="Calibri" w:cs="Calibri"/>
          <w:color w:val="00A3E0"/>
          <w:sz w:val="16"/>
          <w:szCs w:val="16"/>
          <w:lang w:val="en-US"/>
        </w:rPr>
        <w:t>European Commission, European Economic Forecast, Autumn 202</w:t>
      </w:r>
      <w:r w:rsidRPr="00291D9A">
        <w:rPr>
          <w:rFonts w:eastAsia="Calibri" w:cs="Calibri"/>
          <w:color w:val="00A3E0"/>
          <w:sz w:val="16"/>
          <w:szCs w:val="16"/>
          <w:lang w:val="en-US"/>
        </w:rPr>
        <w:t>1</w:t>
      </w:r>
      <w:r w:rsidRPr="007A404D">
        <w:rPr>
          <w:rFonts w:eastAsia="Calibri" w:cs="Calibri"/>
          <w:color w:val="00A3E0"/>
          <w:sz w:val="16"/>
          <w:szCs w:val="16"/>
          <w:lang w:val="en-US"/>
        </w:rPr>
        <w:t xml:space="preserve">, </w:t>
      </w:r>
      <w:r w:rsidRPr="007A404D">
        <w:rPr>
          <w:rFonts w:eastAsia="Calibri" w:cs="Calibri"/>
          <w:color w:val="00A3E0"/>
          <w:sz w:val="16"/>
          <w:szCs w:val="16"/>
        </w:rPr>
        <w:t>Νοέμβριος</w:t>
      </w:r>
      <w:r w:rsidRPr="007A404D">
        <w:rPr>
          <w:rFonts w:eastAsia="Calibri" w:cs="Calibri"/>
          <w:color w:val="00A3E0"/>
          <w:sz w:val="16"/>
          <w:szCs w:val="16"/>
          <w:lang w:val="en-US"/>
        </w:rPr>
        <w:t xml:space="preserve"> 202</w:t>
      </w:r>
      <w:r w:rsidRPr="00914254">
        <w:rPr>
          <w:rFonts w:eastAsia="Calibri" w:cs="Calibri"/>
          <w:color w:val="00A3E0"/>
          <w:sz w:val="16"/>
          <w:szCs w:val="16"/>
          <w:lang w:val="en-US"/>
        </w:rPr>
        <w:t>1</w:t>
      </w:r>
      <w:r w:rsidRPr="007A404D">
        <w:rPr>
          <w:rFonts w:eastAsia="Calibri" w:cs="Times New Roman"/>
          <w:color w:val="00A3E0"/>
          <w:sz w:val="16"/>
          <w:szCs w:val="16"/>
          <w:lang w:val="en-US"/>
        </w:rPr>
        <w:t>.</w:t>
      </w:r>
      <w:r w:rsidRPr="002F5A77">
        <w:rPr>
          <w:rFonts w:eastAsia="Calibri" w:cs="Times New Roman"/>
          <w:color w:val="00A3E0"/>
          <w:sz w:val="16"/>
          <w:szCs w:val="16"/>
          <w:lang w:val="en-US"/>
        </w:rPr>
        <w:t xml:space="preserve"> </w:t>
      </w:r>
    </w:p>
    <w:p w14:paraId="7EE2BDFE" w14:textId="77777777" w:rsidR="00DF60E7" w:rsidRDefault="00DF60E7" w:rsidP="00DF60E7">
      <w:pPr>
        <w:spacing w:after="0" w:line="240" w:lineRule="auto"/>
        <w:rPr>
          <w:rFonts w:eastAsia="Calibri" w:cs="Calibri"/>
          <w:color w:val="00A3E0"/>
          <w:sz w:val="16"/>
          <w:szCs w:val="16"/>
          <w:lang w:val="en-US"/>
        </w:rPr>
      </w:pPr>
      <w:r w:rsidRPr="002F5A77">
        <w:rPr>
          <w:rFonts w:eastAsia="Calibri" w:cs="Times New Roman"/>
          <w:b/>
          <w:color w:val="00A3E0"/>
          <w:sz w:val="16"/>
          <w:szCs w:val="16"/>
          <w:lang w:val="en-US"/>
        </w:rPr>
        <w:t>3.</w:t>
      </w:r>
      <w:r w:rsidRPr="002F5A77">
        <w:rPr>
          <w:rFonts w:eastAsia="Calibri" w:cs="Times New Roman"/>
          <w:b/>
          <w:bCs/>
          <w:color w:val="00A3E0"/>
          <w:sz w:val="16"/>
          <w:szCs w:val="16"/>
          <w:lang w:val="en-US"/>
        </w:rPr>
        <w:t xml:space="preserve"> </w:t>
      </w:r>
      <w:r w:rsidRPr="00FF0ED5">
        <w:rPr>
          <w:rFonts w:eastAsia="Calibri" w:cs="Calibri"/>
          <w:color w:val="00A3E0"/>
          <w:sz w:val="16"/>
          <w:szCs w:val="16"/>
          <w:lang w:val="en-US"/>
        </w:rPr>
        <w:t>OECD, “Economic Outlook No 109”, Μάϊος 2021</w:t>
      </w:r>
      <w:r w:rsidRPr="002F5A77">
        <w:rPr>
          <w:rFonts w:eastAsia="Calibri" w:cs="Calibri"/>
          <w:color w:val="00A3E0"/>
          <w:sz w:val="16"/>
          <w:szCs w:val="16"/>
          <w:lang w:val="en-US"/>
        </w:rPr>
        <w:t xml:space="preserve">. </w:t>
      </w:r>
    </w:p>
    <w:p w14:paraId="5B9FA372" w14:textId="77777777" w:rsidR="00DF60E7" w:rsidRPr="002F5A77" w:rsidRDefault="00DF60E7" w:rsidP="00DF60E7">
      <w:pPr>
        <w:spacing w:after="0" w:line="240" w:lineRule="auto"/>
        <w:rPr>
          <w:rFonts w:eastAsia="Calibri" w:cs="Times New Roman"/>
          <w:color w:val="00A3E0"/>
          <w:sz w:val="16"/>
          <w:szCs w:val="16"/>
          <w:lang w:val="en-US"/>
        </w:rPr>
      </w:pPr>
      <w:r w:rsidRPr="002F5A77">
        <w:rPr>
          <w:rFonts w:eastAsia="Calibri" w:cs="Times New Roman"/>
          <w:b/>
          <w:bCs/>
          <w:color w:val="00A3E0"/>
          <w:sz w:val="16"/>
          <w:szCs w:val="16"/>
          <w:lang w:val="en-US"/>
        </w:rPr>
        <w:t>4.</w:t>
      </w:r>
      <w:r w:rsidRPr="002F5A77">
        <w:rPr>
          <w:rFonts w:eastAsia="Calibri" w:cs="Times New Roman"/>
          <w:color w:val="00A3E0"/>
          <w:sz w:val="16"/>
          <w:szCs w:val="16"/>
          <w:lang w:val="en-US"/>
        </w:rPr>
        <w:t xml:space="preserve"> </w:t>
      </w:r>
      <w:r w:rsidRPr="008422D9">
        <w:rPr>
          <w:color w:val="00B0F0"/>
          <w:sz w:val="16"/>
          <w:szCs w:val="16"/>
          <w:lang w:val="en-US"/>
        </w:rPr>
        <w:t xml:space="preserve">IMF, World Economic Outlook: </w:t>
      </w:r>
      <w:r>
        <w:rPr>
          <w:color w:val="00B0F0"/>
          <w:sz w:val="16"/>
          <w:szCs w:val="16"/>
          <w:lang w:val="en-US"/>
        </w:rPr>
        <w:t>Recovery during a pandemic</w:t>
      </w:r>
      <w:r w:rsidRPr="008422D9">
        <w:rPr>
          <w:color w:val="00B0F0"/>
          <w:sz w:val="16"/>
          <w:szCs w:val="16"/>
          <w:lang w:val="en-US"/>
        </w:rPr>
        <w:t xml:space="preserve">, </w:t>
      </w:r>
      <w:r w:rsidRPr="008422D9">
        <w:rPr>
          <w:color w:val="00B0F0"/>
          <w:sz w:val="16"/>
          <w:szCs w:val="16"/>
        </w:rPr>
        <w:t>Οκτώβριος</w:t>
      </w:r>
      <w:r w:rsidRPr="008422D9">
        <w:rPr>
          <w:color w:val="00B0F0"/>
          <w:sz w:val="16"/>
          <w:szCs w:val="16"/>
          <w:lang w:val="en-US"/>
        </w:rPr>
        <w:t xml:space="preserve"> 202</w:t>
      </w:r>
      <w:r>
        <w:rPr>
          <w:color w:val="00B0F0"/>
          <w:sz w:val="16"/>
          <w:szCs w:val="16"/>
          <w:lang w:val="en-US"/>
        </w:rPr>
        <w:t>1</w:t>
      </w:r>
      <w:r w:rsidRPr="008422D9">
        <w:rPr>
          <w:color w:val="00B0F0"/>
          <w:sz w:val="16"/>
          <w:szCs w:val="16"/>
          <w:lang w:val="en-US"/>
        </w:rPr>
        <w:t>.</w:t>
      </w:r>
    </w:p>
    <w:p w14:paraId="212BFB13" w14:textId="77777777" w:rsidR="00DF60E7" w:rsidRPr="00DF60E7" w:rsidRDefault="00DF60E7" w:rsidP="009C3CE1">
      <w:pPr>
        <w:shd w:val="clear" w:color="auto" w:fill="FFFFFF"/>
        <w:spacing w:after="120"/>
        <w:rPr>
          <w:rFonts w:eastAsia="Calibri" w:cs="Times New Roman"/>
          <w:color w:val="auto"/>
          <w:shd w:val="clear" w:color="auto" w:fill="FFFFFF"/>
          <w:lang w:val="en-US"/>
        </w:rPr>
      </w:pPr>
    </w:p>
    <w:p w14:paraId="08A286F1" w14:textId="1F3C1D3C" w:rsidR="00B02022" w:rsidRPr="00DF60E7" w:rsidRDefault="00B02022" w:rsidP="00340A39">
      <w:pPr>
        <w:rPr>
          <w:rFonts w:eastAsia="Calibri" w:cs="Times New Roman"/>
          <w:bCs/>
          <w:color w:val="auto"/>
          <w:lang w:val="en-US"/>
        </w:rPr>
      </w:pPr>
    </w:p>
    <w:p w14:paraId="376D75E1" w14:textId="1E46AA96" w:rsidR="00E6372E" w:rsidRPr="00EA37BD" w:rsidRDefault="00E02C84" w:rsidP="00E02C84">
      <w:pPr>
        <w:pStyle w:val="a1"/>
        <w:rPr>
          <w:sz w:val="28"/>
          <w:szCs w:val="28"/>
        </w:rPr>
      </w:pPr>
      <w:bookmarkStart w:id="116" w:name="_Toc89172830"/>
      <w:r w:rsidRPr="00E02C84">
        <w:rPr>
          <w:sz w:val="28"/>
          <w:szCs w:val="28"/>
        </w:rPr>
        <w:t>Αξιολόγηση μακροοικονομικών κινδύνων για το 2022</w:t>
      </w:r>
      <w:bookmarkEnd w:id="116"/>
    </w:p>
    <w:p w14:paraId="56D1DDE1" w14:textId="0993FD2E" w:rsidR="004E0708" w:rsidRPr="004E0708" w:rsidRDefault="004E0708" w:rsidP="004E0708">
      <w:pPr>
        <w:shd w:val="clear" w:color="auto" w:fill="FFFFFF"/>
        <w:spacing w:after="160"/>
        <w:rPr>
          <w:rFonts w:eastAsia="Calibri" w:cs="Times New Roman"/>
          <w:color w:val="auto"/>
          <w:shd w:val="clear" w:color="auto" w:fill="FFFFFF"/>
        </w:rPr>
      </w:pPr>
      <w:r w:rsidRPr="004E0708">
        <w:rPr>
          <w:rFonts w:eastAsia="Calibri" w:cs="Times New Roman"/>
          <w:color w:val="auto"/>
          <w:shd w:val="clear" w:color="auto" w:fill="FFFFFF"/>
        </w:rPr>
        <w:t xml:space="preserve">Τα στοιχεία που </w:t>
      </w:r>
      <w:r w:rsidR="00E04F6F">
        <w:rPr>
          <w:rFonts w:eastAsia="Calibri" w:cs="Times New Roman"/>
          <w:color w:val="auto"/>
          <w:shd w:val="clear" w:color="auto" w:fill="FFFFFF"/>
        </w:rPr>
        <w:t xml:space="preserve">αποτελούν καθοριστικούς παράγοντες </w:t>
      </w:r>
      <w:r w:rsidRPr="004E0708">
        <w:rPr>
          <w:rFonts w:eastAsia="Calibri" w:cs="Times New Roman"/>
          <w:color w:val="auto"/>
          <w:shd w:val="clear" w:color="auto" w:fill="FFFFFF"/>
        </w:rPr>
        <w:t xml:space="preserve">στις μακροοικονομικές προβλέψεις του </w:t>
      </w:r>
      <w:r w:rsidR="00E11634">
        <w:rPr>
          <w:rFonts w:eastAsia="Calibri" w:cs="Times New Roman"/>
          <w:color w:val="auto"/>
          <w:shd w:val="clear" w:color="auto" w:fill="FFFFFF"/>
        </w:rPr>
        <w:t>κ</w:t>
      </w:r>
      <w:r w:rsidRPr="004E0708">
        <w:rPr>
          <w:rFonts w:eastAsia="Calibri" w:cs="Times New Roman"/>
          <w:color w:val="auto"/>
          <w:shd w:val="clear" w:color="auto" w:fill="FFFFFF"/>
        </w:rPr>
        <w:t xml:space="preserve">ρατικού </w:t>
      </w:r>
      <w:r w:rsidR="00E11634">
        <w:rPr>
          <w:rFonts w:eastAsia="Calibri" w:cs="Times New Roman"/>
          <w:color w:val="auto"/>
          <w:shd w:val="clear" w:color="auto" w:fill="FFFFFF"/>
        </w:rPr>
        <w:t>π</w:t>
      </w:r>
      <w:r w:rsidRPr="004E0708">
        <w:rPr>
          <w:rFonts w:eastAsia="Calibri" w:cs="Times New Roman"/>
          <w:color w:val="auto"/>
          <w:shd w:val="clear" w:color="auto" w:fill="FFFFFF"/>
        </w:rPr>
        <w:t xml:space="preserve">ροϋπολογισμού για το έτος 2022 συνοψίζονται </w:t>
      </w:r>
      <w:r>
        <w:rPr>
          <w:rFonts w:eastAsia="Calibri" w:cs="Times New Roman"/>
          <w:color w:val="auto"/>
          <w:shd w:val="clear" w:color="auto" w:fill="FFFFFF"/>
        </w:rPr>
        <w:t>στα</w:t>
      </w:r>
      <w:r w:rsidRPr="004E0708">
        <w:rPr>
          <w:rFonts w:eastAsia="Calibri" w:cs="Times New Roman"/>
          <w:color w:val="auto"/>
          <w:shd w:val="clear" w:color="auto" w:fill="FFFFFF"/>
        </w:rPr>
        <w:t xml:space="preserve"> εξής:</w:t>
      </w:r>
    </w:p>
    <w:p w14:paraId="4C39D688" w14:textId="06963FD8" w:rsidR="004E0708" w:rsidRPr="004E0708" w:rsidRDefault="004E0708" w:rsidP="004E0708">
      <w:pPr>
        <w:shd w:val="clear" w:color="auto" w:fill="FFFFFF"/>
        <w:spacing w:after="160"/>
        <w:rPr>
          <w:rFonts w:eastAsia="Calibri" w:cs="Times New Roman"/>
          <w:color w:val="auto"/>
          <w:shd w:val="clear" w:color="auto" w:fill="FFFFFF"/>
        </w:rPr>
      </w:pPr>
      <w:r w:rsidRPr="004E0708">
        <w:rPr>
          <w:rFonts w:eastAsia="Calibri" w:cs="Times New Roman"/>
          <w:color w:val="auto"/>
          <w:shd w:val="clear" w:color="auto" w:fill="FFFFFF"/>
        </w:rPr>
        <w:t xml:space="preserve">Πρώτον, </w:t>
      </w:r>
      <w:r w:rsidR="00220B88">
        <w:rPr>
          <w:rFonts w:eastAsia="Calibri" w:cs="Times New Roman"/>
          <w:color w:val="auto"/>
          <w:shd w:val="clear" w:color="auto" w:fill="FFFFFF"/>
        </w:rPr>
        <w:t>προβλέπεται ότι</w:t>
      </w:r>
      <w:r w:rsidRPr="004E0708">
        <w:rPr>
          <w:rFonts w:eastAsia="Calibri" w:cs="Times New Roman"/>
          <w:color w:val="auto"/>
          <w:shd w:val="clear" w:color="auto" w:fill="FFFFFF"/>
        </w:rPr>
        <w:t xml:space="preserve"> οι αρνητικές οικονομικές επιπτώσεις της πανδημικής κρίσης θα συνεχίσουν να υποχωρούν κατά το έτος 2022. Επομένως, η επανεκκίνηση της οικονομίας</w:t>
      </w:r>
      <w:r>
        <w:rPr>
          <w:rFonts w:eastAsia="Calibri" w:cs="Times New Roman"/>
          <w:color w:val="auto"/>
          <w:shd w:val="clear" w:color="auto" w:fill="FFFFFF"/>
        </w:rPr>
        <w:t>,</w:t>
      </w:r>
      <w:r w:rsidRPr="004E0708">
        <w:rPr>
          <w:rFonts w:eastAsia="Calibri" w:cs="Times New Roman"/>
          <w:color w:val="auto"/>
          <w:shd w:val="clear" w:color="auto" w:fill="FFFFFF"/>
        </w:rPr>
        <w:t xml:space="preserve"> που θα προκαλέσει μια ιδιαίτερα ισχυρή θετική μεταβολή του ΑΕΠ κατά το 2021</w:t>
      </w:r>
      <w:r>
        <w:rPr>
          <w:rFonts w:eastAsia="Calibri" w:cs="Times New Roman"/>
          <w:color w:val="auto"/>
          <w:shd w:val="clear" w:color="auto" w:fill="FFFFFF"/>
        </w:rPr>
        <w:t>,</w:t>
      </w:r>
      <w:r w:rsidRPr="004E0708">
        <w:rPr>
          <w:rFonts w:eastAsia="Calibri" w:cs="Times New Roman"/>
          <w:color w:val="auto"/>
          <w:shd w:val="clear" w:color="auto" w:fill="FFFFFF"/>
        </w:rPr>
        <w:t xml:space="preserve"> θα συνεχιστεί κατά το επόμενο έτος. Ενδεχόμενες αναζωπυρώσεις τις πανδημίας στην Ελλάδα και πιθανά περιοριστικά μέτρα που αυτές θα </w:t>
      </w:r>
      <w:r w:rsidR="00220B88">
        <w:rPr>
          <w:rFonts w:eastAsia="Calibri" w:cs="Times New Roman"/>
          <w:color w:val="auto"/>
          <w:shd w:val="clear" w:color="auto" w:fill="FFFFFF"/>
        </w:rPr>
        <w:t>επι</w:t>
      </w:r>
      <w:r w:rsidRPr="004E0708">
        <w:rPr>
          <w:rFonts w:eastAsia="Calibri" w:cs="Times New Roman"/>
          <w:color w:val="auto"/>
          <w:shd w:val="clear" w:color="auto" w:fill="FFFFFF"/>
        </w:rPr>
        <w:t>φέρουν</w:t>
      </w:r>
      <w:r w:rsidR="00E11634">
        <w:rPr>
          <w:rFonts w:eastAsia="Calibri" w:cs="Times New Roman"/>
          <w:color w:val="auto"/>
          <w:shd w:val="clear" w:color="auto" w:fill="FFFFFF"/>
        </w:rPr>
        <w:t>,</w:t>
      </w:r>
      <w:r w:rsidRPr="004E0708">
        <w:rPr>
          <w:rFonts w:eastAsia="Calibri" w:cs="Times New Roman"/>
          <w:color w:val="auto"/>
          <w:shd w:val="clear" w:color="auto" w:fill="FFFFFF"/>
        </w:rPr>
        <w:t xml:space="preserve"> θα επιβραδύνουν την αύξηση της οικονομικής δραστηριότητας. Περίπου το ήμισυ της </w:t>
      </w:r>
      <w:r w:rsidRPr="004E0708">
        <w:rPr>
          <w:rFonts w:eastAsia="Calibri" w:cs="Times New Roman"/>
          <w:color w:val="auto"/>
          <w:shd w:val="clear" w:color="auto" w:fill="FFFFFF"/>
        </w:rPr>
        <w:lastRenderedPageBreak/>
        <w:t xml:space="preserve">προβλεπόμενης μεγέθυνσης του ΑΕΠ το 2022 οφείλεται στην ενίσχυση της ιδιωτικής κατανάλωσης η οποία, σύμφωνα με το Υπουργείο Οικονομικών, προβλέπεται </w:t>
      </w:r>
      <w:r w:rsidRPr="00E11634">
        <w:rPr>
          <w:rFonts w:eastAsia="Calibri" w:cs="Times New Roman"/>
          <w:color w:val="auto"/>
          <w:shd w:val="clear" w:color="auto" w:fill="FFFFFF"/>
        </w:rPr>
        <w:t>να αυξηθεί κατά 2,9% σε σχέση με το 2021. Ενδεχόμενα περιοριστικά μέτρα θα θίξουν ευθέως την ιδιωτική κατανάλωση.</w:t>
      </w:r>
      <w:r w:rsidR="00220B88">
        <w:rPr>
          <w:rFonts w:eastAsia="Calibri" w:cs="Times New Roman"/>
          <w:color w:val="auto"/>
          <w:shd w:val="clear" w:color="auto" w:fill="FFFFFF"/>
        </w:rPr>
        <w:t xml:space="preserve"> Η</w:t>
      </w:r>
      <w:r w:rsidRPr="00E11634">
        <w:rPr>
          <w:rFonts w:eastAsia="Calibri" w:cs="Times New Roman"/>
          <w:color w:val="auto"/>
          <w:shd w:val="clear" w:color="auto" w:fill="FFFFFF"/>
        </w:rPr>
        <w:t xml:space="preserve"> ενίσχυση της ιδιωτικής κατανάλωσης προβλέπεται να στηριχτεί εν μέρει </w:t>
      </w:r>
      <w:r w:rsidR="00220B88">
        <w:rPr>
          <w:rFonts w:eastAsia="Calibri" w:cs="Times New Roman"/>
          <w:color w:val="auto"/>
          <w:shd w:val="clear" w:color="auto" w:fill="FFFFFF"/>
        </w:rPr>
        <w:t>σ</w:t>
      </w:r>
      <w:r w:rsidRPr="00E11634">
        <w:rPr>
          <w:rFonts w:eastAsia="Calibri" w:cs="Times New Roman"/>
          <w:color w:val="auto"/>
          <w:shd w:val="clear" w:color="auto" w:fill="FFFFFF"/>
        </w:rPr>
        <w:t>την θετική μεταβολή των αμοιβών της μισθωτής εργασίας (</w:t>
      </w:r>
      <w:r w:rsidR="00D05A68" w:rsidRPr="00E11634">
        <w:rPr>
          <w:rFonts w:eastAsia="Calibri" w:cs="Times New Roman"/>
          <w:color w:val="auto"/>
          <w:shd w:val="clear" w:color="auto" w:fill="FFFFFF"/>
        </w:rPr>
        <w:t>3</w:t>
      </w:r>
      <w:r w:rsidRPr="00E11634">
        <w:rPr>
          <w:rFonts w:eastAsia="Calibri" w:cs="Times New Roman"/>
          <w:color w:val="auto"/>
          <w:shd w:val="clear" w:color="auto" w:fill="FFFFFF"/>
        </w:rPr>
        <w:t>,</w:t>
      </w:r>
      <w:r w:rsidR="00D05A68" w:rsidRPr="00E11634">
        <w:rPr>
          <w:rFonts w:eastAsia="Calibri" w:cs="Times New Roman"/>
          <w:color w:val="auto"/>
          <w:shd w:val="clear" w:color="auto" w:fill="FFFFFF"/>
        </w:rPr>
        <w:t>0</w:t>
      </w:r>
      <w:r w:rsidRPr="00E11634">
        <w:rPr>
          <w:rFonts w:eastAsia="Calibri" w:cs="Times New Roman"/>
          <w:color w:val="auto"/>
          <w:shd w:val="clear" w:color="auto" w:fill="FFFFFF"/>
        </w:rPr>
        <w:t>%) η οποία θα προέλθει κυρίως από την αύξηση του συνολικού όγκου της μισθωτής απασχόλησης και δευτερευόντως από την αύξηση της μέσης κατά κεφαλής αμοιβής της μισθωτής εργασίας. Βάσει των παραπάνω, η ενδεχόμενη επιβράδυνση της ιδιωτικής καταναλωτικής δαπάνης λόγω περιοριστικών</w:t>
      </w:r>
      <w:r w:rsidRPr="004E0708">
        <w:rPr>
          <w:rFonts w:eastAsia="Calibri" w:cs="Times New Roman"/>
          <w:color w:val="auto"/>
          <w:shd w:val="clear" w:color="auto" w:fill="FFFFFF"/>
        </w:rPr>
        <w:t xml:space="preserve"> μέτρων θα έχει αρνητικές συνέπειες στον όγκο της απασχόλησης δημιουργώντας ένα αρνητικό καθοδικό σπιράλ με αποτέλεσμα τον περιορισμό της μεγέθυνσης του ΑΕΠ.</w:t>
      </w:r>
    </w:p>
    <w:p w14:paraId="61E7F86B" w14:textId="3B159C55" w:rsidR="004E0708" w:rsidRPr="004E0708" w:rsidRDefault="004E0708" w:rsidP="004E0708">
      <w:pPr>
        <w:shd w:val="clear" w:color="auto" w:fill="FFFFFF"/>
        <w:spacing w:after="160"/>
        <w:rPr>
          <w:rFonts w:eastAsia="Calibri" w:cs="Times New Roman"/>
          <w:color w:val="auto"/>
          <w:shd w:val="clear" w:color="auto" w:fill="FFFFFF"/>
        </w:rPr>
      </w:pPr>
      <w:r w:rsidRPr="004E0708">
        <w:rPr>
          <w:rFonts w:eastAsia="Calibri" w:cs="Times New Roman"/>
          <w:color w:val="auto"/>
          <w:shd w:val="clear" w:color="auto" w:fill="FFFFFF"/>
        </w:rPr>
        <w:t xml:space="preserve">Δεύτερον, η εκτίμηση πως η συνολική επενδυτική δαπάνη της οικονομίας κατά το 2022 θα </w:t>
      </w:r>
      <w:r w:rsidR="00220B88">
        <w:rPr>
          <w:rFonts w:eastAsia="Calibri" w:cs="Times New Roman"/>
          <w:color w:val="auto"/>
          <w:shd w:val="clear" w:color="auto" w:fill="FFFFFF"/>
        </w:rPr>
        <w:t>ενισχυθεί σημαντικά</w:t>
      </w:r>
      <w:r w:rsidRPr="004E0708">
        <w:rPr>
          <w:rFonts w:eastAsia="Calibri" w:cs="Times New Roman"/>
          <w:color w:val="auto"/>
          <w:shd w:val="clear" w:color="auto" w:fill="FFFFFF"/>
        </w:rPr>
        <w:t xml:space="preserve"> ως αποτέλεσμα</w:t>
      </w:r>
      <w:r>
        <w:rPr>
          <w:rFonts w:eastAsia="Calibri" w:cs="Times New Roman"/>
          <w:color w:val="auto"/>
          <w:shd w:val="clear" w:color="auto" w:fill="FFFFFF"/>
        </w:rPr>
        <w:t>,</w:t>
      </w:r>
      <w:r w:rsidRPr="004E0708">
        <w:rPr>
          <w:rFonts w:eastAsia="Calibri" w:cs="Times New Roman"/>
          <w:color w:val="auto"/>
          <w:shd w:val="clear" w:color="auto" w:fill="FFFFFF"/>
        </w:rPr>
        <w:t xml:space="preserve"> αφενός της γενικότερης επανεκκίνησης της οικονομίας, </w:t>
      </w:r>
      <w:r w:rsidR="00220B88">
        <w:rPr>
          <w:rFonts w:eastAsia="Calibri" w:cs="Times New Roman"/>
          <w:color w:val="auto"/>
          <w:shd w:val="clear" w:color="auto" w:fill="FFFFFF"/>
        </w:rPr>
        <w:t xml:space="preserve">και </w:t>
      </w:r>
      <w:r w:rsidRPr="004E0708">
        <w:rPr>
          <w:rFonts w:eastAsia="Calibri" w:cs="Times New Roman"/>
          <w:color w:val="auto"/>
          <w:shd w:val="clear" w:color="auto" w:fill="FFFFFF"/>
        </w:rPr>
        <w:t>αφετέρου των πρόσθετων θετικών επιπτώσεων του Ταμείου Ανάκαμψης</w:t>
      </w:r>
      <w:r>
        <w:rPr>
          <w:rFonts w:eastAsia="Calibri" w:cs="Times New Roman"/>
          <w:color w:val="auto"/>
          <w:shd w:val="clear" w:color="auto" w:fill="FFFFFF"/>
        </w:rPr>
        <w:t xml:space="preserve"> και Ανθεκτικότητας</w:t>
      </w:r>
      <w:r w:rsidRPr="004E0708">
        <w:rPr>
          <w:rFonts w:eastAsia="Calibri" w:cs="Times New Roman"/>
          <w:color w:val="auto"/>
          <w:shd w:val="clear" w:color="auto" w:fill="FFFFFF"/>
        </w:rPr>
        <w:t xml:space="preserve">. Η κρίσιμη παραδοχή του Υπουργείου Οικονομικών είναι πως το σύνολο των πληρωμών που θα πραγματοποιηθούν από το Ταμείο Ανάκαμψης </w:t>
      </w:r>
      <w:r>
        <w:rPr>
          <w:rFonts w:eastAsia="Calibri" w:cs="Times New Roman"/>
          <w:color w:val="auto"/>
          <w:shd w:val="clear" w:color="auto" w:fill="FFFFFF"/>
        </w:rPr>
        <w:t>και Ανθεκτικότητας</w:t>
      </w:r>
      <w:r w:rsidRPr="004E0708">
        <w:rPr>
          <w:rFonts w:eastAsia="Calibri" w:cs="Times New Roman"/>
          <w:color w:val="auto"/>
          <w:shd w:val="clear" w:color="auto" w:fill="FFFFFF"/>
        </w:rPr>
        <w:t xml:space="preserve"> θα μετατραπεί αυτομάτως σε επενδυτική δαπάνη. Ο σημαντικός ρόλος των δημόσιων επενδύσεων (περίπου 60% του συνόλου) μειώνει τις αβεβαιότητες που σχετίζονται με το ύψος των ιδιωτικών επενδύσεων, ωστόσο, είναι καίριας σημασίας η διασφάλιση ότι τα κανάλια διοχέτευσης των πόρων του Ταμείου Ανάκαμψης</w:t>
      </w:r>
      <w:r>
        <w:rPr>
          <w:rFonts w:eastAsia="Calibri" w:cs="Times New Roman"/>
          <w:color w:val="auto"/>
          <w:shd w:val="clear" w:color="auto" w:fill="FFFFFF"/>
        </w:rPr>
        <w:t xml:space="preserve"> </w:t>
      </w:r>
      <w:r w:rsidRPr="004E0708">
        <w:rPr>
          <w:rFonts w:eastAsia="Calibri" w:cs="Times New Roman"/>
          <w:color w:val="auto"/>
          <w:shd w:val="clear" w:color="auto" w:fill="FFFFFF"/>
        </w:rPr>
        <w:t>και Ανθεκτικότητας στην ιδιωτική οικονομία θα λειτουργήσουν ομαλά και γρήγορα. Συνεπώς η ομαλή και γρήγορη ενεργοποίηση των σχημάτων στήριξης των επενδύσεων που χρηματοδοτούνται από το Ταμείο Ανάκαμψης και Ανθεκτικότητας είναι κρίσιμης σημασίας για την πορεία της οικονομίας το 2022.</w:t>
      </w:r>
      <w:r>
        <w:rPr>
          <w:rFonts w:eastAsia="Calibri" w:cs="Times New Roman"/>
          <w:color w:val="auto"/>
          <w:shd w:val="clear" w:color="auto" w:fill="FFFFFF"/>
        </w:rPr>
        <w:t xml:space="preserve"> </w:t>
      </w:r>
    </w:p>
    <w:p w14:paraId="4DA4441D" w14:textId="21482E82" w:rsidR="009C3CE1" w:rsidRPr="004E0708" w:rsidRDefault="004E0708" w:rsidP="004E0708">
      <w:pPr>
        <w:shd w:val="clear" w:color="auto" w:fill="FFFFFF"/>
        <w:spacing w:after="160"/>
        <w:rPr>
          <w:rFonts w:eastAsia="Calibri" w:cs="Calibri"/>
          <w:color w:val="00A3E0"/>
          <w:sz w:val="16"/>
          <w:szCs w:val="16"/>
        </w:rPr>
      </w:pPr>
      <w:r w:rsidRPr="004E0708">
        <w:rPr>
          <w:rFonts w:eastAsia="Calibri" w:cs="Times New Roman"/>
          <w:color w:val="auto"/>
          <w:shd w:val="clear" w:color="auto" w:fill="FFFFFF"/>
        </w:rPr>
        <w:t>Τρίτον, οι εξελίξεις στο πεδίο του πληθωρισμού, οι οποίες ενδεχομένως να σηματοδοτήσουν μεταβολές στη νομισματική πολιτική στην ευρωζώνη μπορεί να επηρεάσουν αρνητικά τις μακροοικονομικές εξελίξεις το 2022. Επί του παρόντος οι πληθωριστικές πιέσεις στην Ευρώπη θεωρούνται από τα στελέχη της Ευρωπαϊκής Κεντρικής Τράπεζας μάλλον πρόσκαιρο φαινόμενο. Υπό αυτό το πρίσμα</w:t>
      </w:r>
      <w:r w:rsidR="00E11634">
        <w:rPr>
          <w:rFonts w:eastAsia="Calibri" w:cs="Times New Roman"/>
          <w:color w:val="auto"/>
          <w:shd w:val="clear" w:color="auto" w:fill="FFFFFF"/>
        </w:rPr>
        <w:t>,</w:t>
      </w:r>
      <w:r w:rsidRPr="004E0708">
        <w:rPr>
          <w:rFonts w:eastAsia="Calibri" w:cs="Times New Roman"/>
          <w:color w:val="auto"/>
          <w:shd w:val="clear" w:color="auto" w:fill="FFFFFF"/>
        </w:rPr>
        <w:t xml:space="preserve"> θεωρείται ότι οι πληθωριστικές πιέσεις θα περιοριστούν στο άμεσο μέλλον στο βαθμό που θα υπάρξει αποσυμφόρηση στην εφοδιαστική αλυσίδα (</w:t>
      </w:r>
      <w:r w:rsidR="00E04F6F">
        <w:rPr>
          <w:rFonts w:eastAsia="Calibri" w:cs="Times New Roman"/>
          <w:color w:val="auto"/>
          <w:shd w:val="clear" w:color="auto" w:fill="FFFFFF"/>
        </w:rPr>
        <w:t xml:space="preserve">αποφυγή </w:t>
      </w:r>
      <w:r w:rsidRPr="004E0708">
        <w:rPr>
          <w:rFonts w:eastAsia="Calibri" w:cs="Times New Roman"/>
          <w:color w:val="auto"/>
          <w:shd w:val="clear" w:color="auto" w:fill="FFFFFF"/>
        </w:rPr>
        <w:t xml:space="preserve">bottlenecks) και οι τιμές της ενέργειας θα μειωθούν ή έστω </w:t>
      </w:r>
      <w:r>
        <w:rPr>
          <w:rFonts w:eastAsia="Calibri" w:cs="Times New Roman"/>
          <w:color w:val="auto"/>
          <w:shd w:val="clear" w:color="auto" w:fill="FFFFFF"/>
        </w:rPr>
        <w:t xml:space="preserve">θα </w:t>
      </w:r>
      <w:r w:rsidRPr="004E0708">
        <w:rPr>
          <w:rFonts w:eastAsia="Calibri" w:cs="Times New Roman"/>
          <w:color w:val="auto"/>
          <w:shd w:val="clear" w:color="auto" w:fill="FFFFFF"/>
        </w:rPr>
        <w:t>σταθεροποιηθούν∙ συνεπώς επί του παρόντος δεν τίθεται θέμα περιορισμού της νομισματικής επέκτασης. Παρόλα αυτά</w:t>
      </w:r>
      <w:r>
        <w:rPr>
          <w:rFonts w:eastAsia="Calibri" w:cs="Times New Roman"/>
          <w:color w:val="auto"/>
          <w:shd w:val="clear" w:color="auto" w:fill="FFFFFF"/>
        </w:rPr>
        <w:t>,</w:t>
      </w:r>
      <w:r w:rsidRPr="004E0708">
        <w:rPr>
          <w:rFonts w:eastAsia="Calibri" w:cs="Times New Roman"/>
          <w:color w:val="auto"/>
          <w:shd w:val="clear" w:color="auto" w:fill="FFFFFF"/>
        </w:rPr>
        <w:t xml:space="preserve"> δεν λείπουν οι πιέσεις προς την Ευρωπαϊκή Κεντρική Τράπεζα για περιορισμό της χαλαρής νομισματικής πολιτικής. Αν επικρατήσει το δεύτερο σενάριο</w:t>
      </w:r>
      <w:r w:rsidR="00E11634">
        <w:rPr>
          <w:rFonts w:eastAsia="Calibri" w:cs="Times New Roman"/>
          <w:color w:val="auto"/>
          <w:shd w:val="clear" w:color="auto" w:fill="FFFFFF"/>
        </w:rPr>
        <w:t>,</w:t>
      </w:r>
      <w:r w:rsidRPr="004E0708">
        <w:rPr>
          <w:rFonts w:eastAsia="Calibri" w:cs="Times New Roman"/>
          <w:color w:val="auto"/>
          <w:shd w:val="clear" w:color="auto" w:fill="FFFFFF"/>
        </w:rPr>
        <w:t xml:space="preserve"> το θετικό σενάριο του Υπουργείου Οικονομικών για αύξηση του ΑΕΠ κατά 4,5% το 2022 θα δοκιμαστεί.</w:t>
      </w:r>
      <w:r>
        <w:rPr>
          <w:rFonts w:eastAsia="Calibri" w:cs="Times New Roman"/>
          <w:color w:val="auto"/>
          <w:shd w:val="clear" w:color="auto" w:fill="FFFFFF"/>
        </w:rPr>
        <w:t xml:space="preserve"> </w:t>
      </w:r>
    </w:p>
    <w:p w14:paraId="31D5E8A0" w14:textId="6E5215A3" w:rsidR="004E0708" w:rsidRDefault="004E0708">
      <w:pPr>
        <w:spacing w:after="160" w:line="0" w:lineRule="auto"/>
        <w:jc w:val="left"/>
        <w:rPr>
          <w:rFonts w:eastAsia="Calibri" w:cs="Times New Roman"/>
          <w:bCs/>
          <w:color w:val="auto"/>
        </w:rPr>
      </w:pPr>
      <w:r>
        <w:rPr>
          <w:rFonts w:eastAsia="Calibri" w:cs="Times New Roman"/>
          <w:bCs/>
          <w:color w:val="auto"/>
        </w:rPr>
        <w:br w:type="page"/>
      </w:r>
    </w:p>
    <w:p w14:paraId="1D9655B2" w14:textId="5515E92A" w:rsidR="00497057" w:rsidRPr="004E0708" w:rsidRDefault="00497057">
      <w:pPr>
        <w:spacing w:after="160" w:line="0" w:lineRule="auto"/>
        <w:jc w:val="left"/>
        <w:rPr>
          <w:color w:val="auto"/>
        </w:rPr>
      </w:pPr>
    </w:p>
    <w:p w14:paraId="50D5AA1D" w14:textId="277C8A0E" w:rsidR="008E5601" w:rsidRPr="004E0708" w:rsidRDefault="008E5601">
      <w:pPr>
        <w:spacing w:after="160" w:line="0" w:lineRule="auto"/>
        <w:jc w:val="left"/>
        <w:rPr>
          <w:b/>
          <w:color w:val="538135" w:themeColor="accent6" w:themeShade="BF"/>
          <w:sz w:val="40"/>
        </w:rPr>
      </w:pPr>
    </w:p>
    <w:p w14:paraId="2FEBF62C" w14:textId="18BF77BD" w:rsidR="00E272D5" w:rsidRPr="00EA545C" w:rsidRDefault="0034114C" w:rsidP="00EA37BD">
      <w:pPr>
        <w:pStyle w:val="a"/>
        <w:jc w:val="center"/>
        <w:rPr>
          <w:color w:val="00B0F0"/>
        </w:rPr>
      </w:pPr>
      <w:bookmarkStart w:id="117" w:name="_Toc89172831"/>
      <w:r w:rsidRPr="0034114C">
        <w:rPr>
          <w:color w:val="00B0F0"/>
        </w:rPr>
        <w:t>ΔΗΜΟΣΙΟΝΟΜΙΚΕΣ ΕΞΕΛΙΞΕΙΣ</w:t>
      </w:r>
      <w:bookmarkEnd w:id="117"/>
      <w:r w:rsidR="00EA37BD">
        <w:rPr>
          <w:color w:val="00B0F0"/>
          <w:lang w:val="en-US"/>
        </w:rPr>
        <w:t xml:space="preserve"> </w:t>
      </w:r>
    </w:p>
    <w:p w14:paraId="6975658D" w14:textId="0EF739A7" w:rsidR="00451802" w:rsidRDefault="00451802">
      <w:pPr>
        <w:spacing w:after="160" w:line="0" w:lineRule="auto"/>
        <w:jc w:val="left"/>
        <w:rPr>
          <w:b/>
          <w:i/>
          <w:color w:val="2F5496" w:themeColor="accent5" w:themeShade="BF"/>
          <w:spacing w:val="20"/>
        </w:rPr>
      </w:pPr>
      <w:bookmarkStart w:id="118" w:name="_Toc495497475"/>
    </w:p>
    <w:p w14:paraId="33BC39A0" w14:textId="33B32C6C" w:rsidR="00E272D5" w:rsidRPr="00DF3DBC" w:rsidRDefault="00DF3DBC" w:rsidP="00DF3DBC">
      <w:pPr>
        <w:pStyle w:val="a0"/>
        <w:numPr>
          <w:ilvl w:val="0"/>
          <w:numId w:val="3"/>
        </w:numPr>
        <w:rPr>
          <w:color w:val="00B0F0"/>
          <w:sz w:val="32"/>
          <w:szCs w:val="32"/>
        </w:rPr>
      </w:pPr>
      <w:bookmarkStart w:id="119" w:name="_Toc89172832"/>
      <w:bookmarkEnd w:id="118"/>
      <w:r w:rsidRPr="00DF3DBC">
        <w:rPr>
          <w:color w:val="00B0F0"/>
          <w:sz w:val="32"/>
          <w:szCs w:val="32"/>
        </w:rPr>
        <w:t>Εκτέλεση Προϋπολογισμού ενεαμήνου 2021</w:t>
      </w:r>
      <w:bookmarkEnd w:id="119"/>
      <w:r w:rsidRPr="00DF3DBC">
        <w:rPr>
          <w:color w:val="00B0F0"/>
          <w:sz w:val="32"/>
          <w:szCs w:val="32"/>
        </w:rPr>
        <w:t xml:space="preserve"> </w:t>
      </w:r>
    </w:p>
    <w:p w14:paraId="0E398B37" w14:textId="0A275D8A" w:rsidR="009C7CCC" w:rsidRPr="00B6235D" w:rsidRDefault="009C7CCC" w:rsidP="009C7CCC">
      <w:pPr>
        <w:numPr>
          <w:ilvl w:val="0"/>
          <w:numId w:val="21"/>
        </w:numPr>
        <w:spacing w:after="240"/>
        <w:ind w:left="714" w:hanging="357"/>
        <w:rPr>
          <w:rFonts w:eastAsia="Calibri" w:cs="Times New Roman"/>
          <w:b/>
          <w:i/>
          <w:color w:val="595959" w:themeColor="text1" w:themeTint="A6"/>
          <w:sz w:val="25"/>
          <w:szCs w:val="25"/>
        </w:rPr>
      </w:pPr>
      <w:r w:rsidRPr="00B6235D">
        <w:rPr>
          <w:rFonts w:eastAsia="Calibri" w:cs="Times New Roman"/>
          <w:b/>
          <w:i/>
          <w:color w:val="595959" w:themeColor="text1" w:themeTint="A6"/>
          <w:sz w:val="25"/>
          <w:szCs w:val="25"/>
        </w:rPr>
        <w:t>Το ταμειακό πρωτογενές έλλειμμα διαμορφώθηκε στα 5,7 δισ. ευρώ στο εννεάμηνο (περί το 3,3% του ΑΕΠ).</w:t>
      </w:r>
    </w:p>
    <w:p w14:paraId="233C1FBF" w14:textId="3612F8F4" w:rsidR="009C7CCC" w:rsidRPr="00B6235D" w:rsidRDefault="00B6235D" w:rsidP="00114A26">
      <w:pPr>
        <w:numPr>
          <w:ilvl w:val="0"/>
          <w:numId w:val="21"/>
        </w:numPr>
        <w:spacing w:after="160"/>
        <w:rPr>
          <w:rFonts w:eastAsia="Calibri" w:cs="Times New Roman"/>
          <w:b/>
          <w:i/>
          <w:color w:val="595959" w:themeColor="text1" w:themeTint="A6"/>
          <w:sz w:val="25"/>
          <w:szCs w:val="25"/>
        </w:rPr>
      </w:pPr>
      <w:r w:rsidRPr="00B6235D">
        <w:rPr>
          <w:rFonts w:eastAsia="Calibri" w:cs="Times New Roman"/>
          <w:b/>
          <w:i/>
          <w:color w:val="595959" w:themeColor="text1" w:themeTint="A6"/>
          <w:sz w:val="25"/>
          <w:szCs w:val="25"/>
        </w:rPr>
        <w:t>Βελτιωμένο το αποτέλεσμα του Κρατικού Προϋπολογισμού τόσο σε σχέση με πέρυσι κατά 1,2 δι</w:t>
      </w:r>
      <w:r w:rsidR="007735B6">
        <w:rPr>
          <w:rFonts w:eastAsia="Calibri" w:cs="Times New Roman"/>
          <w:b/>
          <w:i/>
          <w:color w:val="595959" w:themeColor="text1" w:themeTint="A6"/>
          <w:sz w:val="25"/>
          <w:szCs w:val="25"/>
        </w:rPr>
        <w:t>σ.</w:t>
      </w:r>
      <w:r w:rsidRPr="00B6235D">
        <w:rPr>
          <w:rFonts w:eastAsia="Calibri" w:cs="Times New Roman"/>
          <w:b/>
          <w:i/>
          <w:color w:val="595959" w:themeColor="text1" w:themeTint="A6"/>
          <w:sz w:val="25"/>
          <w:szCs w:val="25"/>
        </w:rPr>
        <w:t xml:space="preserve"> ευρώ, όσο και ως προς τον στόχο κατά 2,9 δισ. ευρώ.  </w:t>
      </w:r>
    </w:p>
    <w:p w14:paraId="14933243" w14:textId="329BB6EA" w:rsidR="00B6235D" w:rsidRPr="00B6235D" w:rsidRDefault="00B6235D" w:rsidP="00B6235D">
      <w:pPr>
        <w:numPr>
          <w:ilvl w:val="0"/>
          <w:numId w:val="21"/>
        </w:numPr>
        <w:spacing w:after="160"/>
        <w:rPr>
          <w:rFonts w:eastAsia="Calibri" w:cs="Times New Roman"/>
          <w:b/>
          <w:i/>
          <w:color w:val="595959" w:themeColor="text1" w:themeTint="A6"/>
          <w:sz w:val="25"/>
          <w:szCs w:val="25"/>
        </w:rPr>
      </w:pPr>
      <w:r w:rsidRPr="00B6235D">
        <w:rPr>
          <w:rFonts w:eastAsia="Calibri" w:cs="Times New Roman"/>
          <w:b/>
          <w:i/>
          <w:color w:val="595959" w:themeColor="text1" w:themeTint="A6"/>
          <w:sz w:val="25"/>
          <w:szCs w:val="25"/>
        </w:rPr>
        <w:t>Η βελτίωση του αποτελέσματος του Κρατικού Προϋπολογισμού σε σχέση με πέρυσι οφείλεται αποκλειστικά στο σκέλος των εσόδων, τα οποία αυξήθηκαν κατά σχεδόν 6 δισ. ευρώ.</w:t>
      </w:r>
    </w:p>
    <w:p w14:paraId="43F19674" w14:textId="0BBD166B" w:rsidR="00B6235D" w:rsidRPr="00B6235D" w:rsidRDefault="00B6235D" w:rsidP="00B6235D">
      <w:pPr>
        <w:numPr>
          <w:ilvl w:val="0"/>
          <w:numId w:val="21"/>
        </w:numPr>
        <w:spacing w:after="160"/>
        <w:rPr>
          <w:rFonts w:eastAsia="Calibri" w:cs="Times New Roman"/>
          <w:b/>
          <w:i/>
          <w:color w:val="595959" w:themeColor="text1" w:themeTint="A6"/>
          <w:sz w:val="25"/>
          <w:szCs w:val="25"/>
        </w:rPr>
      </w:pPr>
      <w:r w:rsidRPr="00B6235D">
        <w:rPr>
          <w:rFonts w:eastAsia="Calibri" w:cs="Times New Roman"/>
          <w:b/>
          <w:i/>
          <w:color w:val="595959" w:themeColor="text1" w:themeTint="A6"/>
          <w:sz w:val="25"/>
          <w:szCs w:val="25"/>
        </w:rPr>
        <w:t xml:space="preserve">Σχεδόν όλες οι κατηγορίες φορολογικών εσόδων </w:t>
      </w:r>
      <w:r w:rsidR="007735B6">
        <w:rPr>
          <w:rFonts w:eastAsia="Calibri" w:cs="Times New Roman"/>
          <w:b/>
          <w:i/>
          <w:color w:val="595959" w:themeColor="text1" w:themeTint="A6"/>
          <w:sz w:val="25"/>
          <w:szCs w:val="25"/>
        </w:rPr>
        <w:t>παρουσίασαν</w:t>
      </w:r>
      <w:r w:rsidRPr="00B6235D">
        <w:rPr>
          <w:rFonts w:eastAsia="Calibri" w:cs="Times New Roman"/>
          <w:b/>
          <w:i/>
          <w:color w:val="595959" w:themeColor="text1" w:themeTint="A6"/>
          <w:sz w:val="25"/>
          <w:szCs w:val="25"/>
        </w:rPr>
        <w:t xml:space="preserve"> αύξηση σε σχέση με το εννεάμηνο του 2020, η οποία συνολικά προσέγγισε τα 2,7 δισ. ευρώ.</w:t>
      </w:r>
    </w:p>
    <w:p w14:paraId="43438485" w14:textId="633DA52D" w:rsidR="00B6235D" w:rsidRPr="00B6235D" w:rsidRDefault="00B6235D" w:rsidP="00B6235D">
      <w:pPr>
        <w:numPr>
          <w:ilvl w:val="0"/>
          <w:numId w:val="21"/>
        </w:numPr>
        <w:spacing w:after="160"/>
        <w:rPr>
          <w:rFonts w:eastAsia="Calibri" w:cs="Times New Roman"/>
          <w:b/>
          <w:i/>
          <w:color w:val="595959" w:themeColor="text1" w:themeTint="A6"/>
          <w:sz w:val="25"/>
          <w:szCs w:val="25"/>
        </w:rPr>
      </w:pPr>
      <w:r w:rsidRPr="00B6235D">
        <w:rPr>
          <w:rFonts w:eastAsia="Calibri" w:cs="Times New Roman"/>
          <w:b/>
          <w:i/>
          <w:color w:val="595959" w:themeColor="text1" w:themeTint="A6"/>
          <w:sz w:val="25"/>
          <w:szCs w:val="25"/>
        </w:rPr>
        <w:t>Με βάση τα στοιχεία εκτέλεσης του προϋπολογισμού εννεαμήνου  διατηρείται η εκτίμηση μας για διαμόρφωση του πρωτογενούς ελλείμματος 2021 περί το  7% του ΑΕΠ, πιθανώς και χαμηλότερα.</w:t>
      </w:r>
    </w:p>
    <w:p w14:paraId="4EF6A7AF" w14:textId="244D7478" w:rsidR="00B6235D" w:rsidRDefault="00B6235D" w:rsidP="00B6235D">
      <w:pPr>
        <w:spacing w:after="160"/>
        <w:ind w:left="720"/>
        <w:rPr>
          <w:rFonts w:eastAsia="Calibri" w:cs="Times New Roman"/>
          <w:b/>
          <w:i/>
          <w:color w:val="595959" w:themeColor="text1" w:themeTint="A6"/>
          <w:sz w:val="24"/>
          <w:szCs w:val="24"/>
        </w:rPr>
      </w:pPr>
    </w:p>
    <w:p w14:paraId="4A79F0BE" w14:textId="62B324CD" w:rsidR="00B6235D" w:rsidRDefault="00B6235D" w:rsidP="00B6235D">
      <w:pPr>
        <w:spacing w:after="160"/>
        <w:ind w:left="720"/>
        <w:rPr>
          <w:rFonts w:eastAsia="Calibri" w:cs="Times New Roman"/>
          <w:b/>
          <w:i/>
          <w:color w:val="595959" w:themeColor="text1" w:themeTint="A6"/>
          <w:sz w:val="24"/>
          <w:szCs w:val="24"/>
        </w:rPr>
      </w:pPr>
    </w:p>
    <w:p w14:paraId="0D97AA10" w14:textId="1A2306C2" w:rsidR="00B6235D" w:rsidRDefault="00B6235D" w:rsidP="00B6235D">
      <w:pPr>
        <w:spacing w:after="160"/>
        <w:ind w:left="720"/>
        <w:rPr>
          <w:rFonts w:eastAsia="Calibri" w:cs="Times New Roman"/>
          <w:b/>
          <w:i/>
          <w:color w:val="595959" w:themeColor="text1" w:themeTint="A6"/>
          <w:sz w:val="24"/>
          <w:szCs w:val="24"/>
        </w:rPr>
      </w:pPr>
    </w:p>
    <w:p w14:paraId="4CC6EF02" w14:textId="77777777" w:rsidR="00B6235D" w:rsidRPr="009C7CCC" w:rsidRDefault="00B6235D" w:rsidP="00B6235D">
      <w:pPr>
        <w:spacing w:after="160"/>
        <w:ind w:left="720"/>
        <w:rPr>
          <w:rFonts w:eastAsia="Calibri" w:cs="Times New Roman"/>
          <w:b/>
          <w:i/>
          <w:color w:val="595959" w:themeColor="text1" w:themeTint="A6"/>
          <w:sz w:val="24"/>
          <w:szCs w:val="24"/>
        </w:rPr>
      </w:pPr>
    </w:p>
    <w:p w14:paraId="30CC5C45" w14:textId="63438780" w:rsidR="00D85054" w:rsidRPr="00DF3DBC" w:rsidRDefault="00DF3DBC" w:rsidP="007B6D63">
      <w:pPr>
        <w:pStyle w:val="a1"/>
        <w:numPr>
          <w:ilvl w:val="1"/>
          <w:numId w:val="3"/>
        </w:numPr>
        <w:ind w:left="0"/>
        <w:rPr>
          <w:sz w:val="28"/>
          <w:szCs w:val="28"/>
        </w:rPr>
      </w:pPr>
      <w:bookmarkStart w:id="120" w:name="_Toc89172833"/>
      <w:r w:rsidRPr="00DF3DBC">
        <w:rPr>
          <w:sz w:val="28"/>
          <w:szCs w:val="28"/>
        </w:rPr>
        <w:t>Εκτέλεση προϋπολογισμού Γ</w:t>
      </w:r>
      <w:r>
        <w:rPr>
          <w:sz w:val="28"/>
          <w:szCs w:val="28"/>
        </w:rPr>
        <w:t xml:space="preserve">ενικής </w:t>
      </w:r>
      <w:r w:rsidRPr="00DF3DBC">
        <w:rPr>
          <w:sz w:val="28"/>
          <w:szCs w:val="28"/>
        </w:rPr>
        <w:t>Κ</w:t>
      </w:r>
      <w:r>
        <w:rPr>
          <w:sz w:val="28"/>
          <w:szCs w:val="28"/>
        </w:rPr>
        <w:t>υβέρνησης (ΓΚ)</w:t>
      </w:r>
      <w:r w:rsidRPr="00DF3DBC">
        <w:rPr>
          <w:sz w:val="28"/>
          <w:szCs w:val="28"/>
        </w:rPr>
        <w:t xml:space="preserve"> και εκτιμήσεις για το σύνολο του έτους</w:t>
      </w:r>
      <w:bookmarkEnd w:id="120"/>
    </w:p>
    <w:p w14:paraId="103DFC71" w14:textId="2A491794" w:rsidR="007B6D63" w:rsidRPr="00E717DB" w:rsidRDefault="007B6D63" w:rsidP="006A5A78">
      <w:pPr>
        <w:spacing w:after="0"/>
        <w:rPr>
          <w:color w:val="auto"/>
        </w:rPr>
      </w:pPr>
      <w:r w:rsidRPr="007B6D63">
        <w:rPr>
          <w:color w:val="auto"/>
        </w:rPr>
        <w:t xml:space="preserve">Τα στοιχεία του </w:t>
      </w:r>
      <w:r w:rsidR="007735B6" w:rsidRPr="007B6D63">
        <w:rPr>
          <w:color w:val="auto"/>
        </w:rPr>
        <w:t>ενεα</w:t>
      </w:r>
      <w:r w:rsidR="007735B6">
        <w:rPr>
          <w:color w:val="auto"/>
        </w:rPr>
        <w:t>μ</w:t>
      </w:r>
      <w:r w:rsidR="007735B6" w:rsidRPr="007B6D63">
        <w:rPr>
          <w:color w:val="auto"/>
        </w:rPr>
        <w:t>ήνου</w:t>
      </w:r>
      <w:r w:rsidRPr="007B6D63">
        <w:rPr>
          <w:color w:val="auto"/>
        </w:rPr>
        <w:t xml:space="preserve"> Ιανουαρίου–Σεπτεμβρίου 2021 για την εκτέλεση του προϋπολογισμού σε επίπεδο Γενικής Κυβέρνησης (</w:t>
      </w:r>
      <w:r w:rsidR="00502481">
        <w:rPr>
          <w:color w:val="auto"/>
        </w:rPr>
        <w:fldChar w:fldCharType="begin"/>
      </w:r>
      <w:r w:rsidR="00502481">
        <w:rPr>
          <w:color w:val="auto"/>
        </w:rPr>
        <w:instrText xml:space="preserve"> REF _Ref88224579 \h </w:instrText>
      </w:r>
      <w:r w:rsidR="00502481">
        <w:rPr>
          <w:color w:val="auto"/>
        </w:rPr>
      </w:r>
      <w:r w:rsidR="00502481">
        <w:rPr>
          <w:color w:val="auto"/>
        </w:rPr>
        <w:fldChar w:fldCharType="separate"/>
      </w:r>
      <w:r w:rsidR="0038196B" w:rsidRPr="007B6D63">
        <w:rPr>
          <w:b/>
          <w:iCs/>
          <w:sz w:val="20"/>
          <w:szCs w:val="20"/>
        </w:rPr>
        <w:t xml:space="preserve">Πίνακας </w:t>
      </w:r>
      <w:r w:rsidR="0038196B">
        <w:rPr>
          <w:b/>
          <w:iCs/>
          <w:noProof/>
          <w:sz w:val="20"/>
          <w:szCs w:val="20"/>
        </w:rPr>
        <w:t>7</w:t>
      </w:r>
      <w:r w:rsidR="00502481">
        <w:rPr>
          <w:color w:val="auto"/>
        </w:rPr>
        <w:fldChar w:fldCharType="end"/>
      </w:r>
      <w:r w:rsidRPr="007B6D63">
        <w:rPr>
          <w:color w:val="auto"/>
        </w:rPr>
        <w:t xml:space="preserve">) αποτυπώνουν </w:t>
      </w:r>
      <w:r w:rsidR="007735B6" w:rsidRPr="007735B6">
        <w:rPr>
          <w:color w:val="auto"/>
        </w:rPr>
        <w:t xml:space="preserve">τη μερική  αναστροφή των δυσμενών επιπτώσεων που προκάλεσε η πανδημία.  Η  ανάκαμψη της οικονομικής δραστηριότητας καταγράφεται με την αύξηση  των εσόδων κατά 12,4% σε σχέση με την αντίστοιχη χρονική περίοδο του 2020. </w:t>
      </w:r>
      <w:r w:rsidR="00F36164">
        <w:rPr>
          <w:color w:val="auto"/>
        </w:rPr>
        <w:t>Αύξηση</w:t>
      </w:r>
      <w:r w:rsidR="007735B6" w:rsidRPr="007735B6">
        <w:rPr>
          <w:color w:val="auto"/>
        </w:rPr>
        <w:t xml:space="preserve"> </w:t>
      </w:r>
      <w:r w:rsidR="00F36164">
        <w:rPr>
          <w:color w:val="auto"/>
        </w:rPr>
        <w:t>καταγράφεται στις</w:t>
      </w:r>
      <w:r w:rsidR="007735B6" w:rsidRPr="007735B6">
        <w:rPr>
          <w:color w:val="auto"/>
        </w:rPr>
        <w:t xml:space="preserve"> περισσότερες επιμέρους κατηγορίες της Γενικής Κυβέρνησης με αποτέλεσμα    </w:t>
      </w:r>
      <w:r w:rsidR="00F36164">
        <w:rPr>
          <w:color w:val="auto"/>
        </w:rPr>
        <w:t>τα συνολικά έσοδα να φθάσουν σ</w:t>
      </w:r>
      <w:r w:rsidR="007735B6" w:rsidRPr="007735B6">
        <w:rPr>
          <w:color w:val="auto"/>
        </w:rPr>
        <w:t>τα 59.771 εκατ. ευρώ έναντι 53.187 εκατ. ευρώ το 2020.  Εξαίρεση αποτελούν οι εισπράξεις ασφαλιστικών εισφορών σημειώνουν πτώση κατά 209 εκατ. ευρώ (-1,3%), η οποία οφείλεται στη μείωσή τους κατά 3%, λόγω πανδημίας, η οποία ωστόσο, αντισταθμίστηκε μερικώς με την αύξηση της απασχόλησης κατά τους τελευταίους μήνες</w:t>
      </w:r>
      <w:r w:rsidR="006A5A78">
        <w:rPr>
          <w:color w:val="auto"/>
        </w:rPr>
        <w:t>.</w:t>
      </w:r>
    </w:p>
    <w:p w14:paraId="5F1313CB" w14:textId="77777777" w:rsidR="007B6D63" w:rsidRPr="007B6D63" w:rsidRDefault="007B6D63" w:rsidP="007B6D63">
      <w:pPr>
        <w:spacing w:after="0" w:line="360" w:lineRule="auto"/>
        <w:rPr>
          <w:color w:val="auto"/>
        </w:rPr>
      </w:pPr>
    </w:p>
    <w:p w14:paraId="1FEB356B" w14:textId="2F447011" w:rsidR="007B6D63" w:rsidRPr="007B6D63" w:rsidRDefault="007B6D63" w:rsidP="007B6D63">
      <w:pPr>
        <w:rPr>
          <w:color w:val="00A3E0"/>
          <w:sz w:val="20"/>
          <w:szCs w:val="20"/>
        </w:rPr>
      </w:pPr>
      <w:bookmarkStart w:id="121" w:name="_Ref88224579"/>
      <w:bookmarkStart w:id="122" w:name="_Toc89172852"/>
      <w:r w:rsidRPr="007B6D63">
        <w:rPr>
          <w:b/>
          <w:iCs/>
          <w:sz w:val="20"/>
          <w:szCs w:val="20"/>
        </w:rPr>
        <w:lastRenderedPageBreak/>
        <w:t xml:space="preserve">Πίνακας </w:t>
      </w:r>
      <w:r w:rsidRPr="007B6D63">
        <w:rPr>
          <w:b/>
          <w:iCs/>
          <w:sz w:val="20"/>
          <w:szCs w:val="20"/>
        </w:rPr>
        <w:fldChar w:fldCharType="begin"/>
      </w:r>
      <w:r w:rsidRPr="007B6D63">
        <w:rPr>
          <w:b/>
          <w:iCs/>
          <w:sz w:val="20"/>
          <w:szCs w:val="20"/>
        </w:rPr>
        <w:instrText xml:space="preserve"> SEQ Πίνακας \* ARABIC </w:instrText>
      </w:r>
      <w:r w:rsidRPr="007B6D63">
        <w:rPr>
          <w:b/>
          <w:iCs/>
          <w:sz w:val="20"/>
          <w:szCs w:val="20"/>
        </w:rPr>
        <w:fldChar w:fldCharType="separate"/>
      </w:r>
      <w:r w:rsidR="0038196B">
        <w:rPr>
          <w:b/>
          <w:iCs/>
          <w:noProof/>
          <w:sz w:val="20"/>
          <w:szCs w:val="20"/>
        </w:rPr>
        <w:t>7</w:t>
      </w:r>
      <w:r w:rsidRPr="007B6D63">
        <w:rPr>
          <w:b/>
          <w:iCs/>
          <w:sz w:val="20"/>
          <w:szCs w:val="20"/>
        </w:rPr>
        <w:fldChar w:fldCharType="end"/>
      </w:r>
      <w:bookmarkEnd w:id="121"/>
      <w:r w:rsidRPr="007B6D63">
        <w:rPr>
          <w:b/>
          <w:iCs/>
          <w:sz w:val="20"/>
          <w:szCs w:val="20"/>
        </w:rPr>
        <w:t>:</w:t>
      </w:r>
      <w:r>
        <w:rPr>
          <w:b/>
          <w:iCs/>
          <w:color w:val="00B0F0"/>
        </w:rPr>
        <w:t xml:space="preserve"> </w:t>
      </w:r>
      <w:r w:rsidRPr="007B6D63">
        <w:rPr>
          <w:color w:val="00A3E0"/>
          <w:sz w:val="20"/>
          <w:szCs w:val="20"/>
        </w:rPr>
        <w:t>Εκτέλεση Προϋπολογισμού Γενικής Κυβέρνησης, Ιανουάριος- Σεπτέμβριος 2020-2021, (εκατ. Ευρώ)</w:t>
      </w:r>
      <w:bookmarkEnd w:id="122"/>
    </w:p>
    <w:tbl>
      <w:tblPr>
        <w:tblW w:w="8314" w:type="dxa"/>
        <w:tblLook w:val="04A0" w:firstRow="1" w:lastRow="0" w:firstColumn="1" w:lastColumn="0" w:noHBand="0" w:noVBand="1"/>
      </w:tblPr>
      <w:tblGrid>
        <w:gridCol w:w="3421"/>
        <w:gridCol w:w="1468"/>
        <w:gridCol w:w="1590"/>
        <w:gridCol w:w="1835"/>
      </w:tblGrid>
      <w:tr w:rsidR="007B6D63" w:rsidRPr="007B6D63" w14:paraId="7F6AEBA7" w14:textId="77777777" w:rsidTr="007B6D63">
        <w:trPr>
          <w:trHeight w:val="277"/>
        </w:trPr>
        <w:tc>
          <w:tcPr>
            <w:tcW w:w="3421"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1D6CFE40" w14:textId="77777777" w:rsidR="007B6D63" w:rsidRPr="007B6D63" w:rsidRDefault="007B6D63" w:rsidP="007B6D63">
            <w:pPr>
              <w:spacing w:after="0"/>
              <w:rPr>
                <w:color w:val="auto"/>
                <w:sz w:val="21"/>
                <w:szCs w:val="21"/>
              </w:rPr>
            </w:pPr>
            <w:r w:rsidRPr="007B6D63">
              <w:rPr>
                <w:color w:val="auto"/>
                <w:sz w:val="21"/>
                <w:szCs w:val="21"/>
              </w:rPr>
              <w:t> </w:t>
            </w:r>
          </w:p>
        </w:tc>
        <w:tc>
          <w:tcPr>
            <w:tcW w:w="1468"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79628F73" w14:textId="77777777" w:rsidR="007B6D63" w:rsidRPr="007B6D63" w:rsidRDefault="007B6D63" w:rsidP="007B6D63">
            <w:pPr>
              <w:spacing w:after="0"/>
              <w:jc w:val="center"/>
              <w:rPr>
                <w:b/>
                <w:color w:val="auto"/>
                <w:sz w:val="21"/>
                <w:szCs w:val="21"/>
              </w:rPr>
            </w:pPr>
            <w:r w:rsidRPr="007B6D63">
              <w:rPr>
                <w:b/>
                <w:color w:val="auto"/>
                <w:sz w:val="21"/>
                <w:szCs w:val="21"/>
              </w:rPr>
              <w:t>2020</w:t>
            </w:r>
          </w:p>
        </w:tc>
        <w:tc>
          <w:tcPr>
            <w:tcW w:w="159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55262371" w14:textId="77777777" w:rsidR="007B6D63" w:rsidRPr="007B6D63" w:rsidRDefault="007B6D63" w:rsidP="007B6D63">
            <w:pPr>
              <w:spacing w:after="0"/>
              <w:jc w:val="center"/>
              <w:rPr>
                <w:b/>
                <w:color w:val="auto"/>
                <w:sz w:val="21"/>
                <w:szCs w:val="21"/>
              </w:rPr>
            </w:pPr>
            <w:r w:rsidRPr="007B6D63">
              <w:rPr>
                <w:b/>
                <w:color w:val="auto"/>
                <w:sz w:val="21"/>
                <w:szCs w:val="21"/>
              </w:rPr>
              <w:t>2021</w:t>
            </w:r>
          </w:p>
        </w:tc>
        <w:tc>
          <w:tcPr>
            <w:tcW w:w="1835"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332A78D9" w14:textId="77777777" w:rsidR="007B6D63" w:rsidRPr="007B6D63" w:rsidRDefault="007B6D63" w:rsidP="007B6D63">
            <w:pPr>
              <w:spacing w:after="0"/>
              <w:jc w:val="center"/>
              <w:rPr>
                <w:b/>
                <w:color w:val="auto"/>
                <w:sz w:val="21"/>
                <w:szCs w:val="21"/>
              </w:rPr>
            </w:pPr>
            <w:r w:rsidRPr="007B6D63">
              <w:rPr>
                <w:b/>
                <w:color w:val="auto"/>
                <w:sz w:val="21"/>
                <w:szCs w:val="21"/>
              </w:rPr>
              <w:t>Δ%</w:t>
            </w:r>
          </w:p>
        </w:tc>
      </w:tr>
      <w:tr w:rsidR="007B6D63" w:rsidRPr="007B6D63" w14:paraId="260A46F0" w14:textId="77777777" w:rsidTr="007B6D63">
        <w:trPr>
          <w:trHeight w:val="277"/>
        </w:trPr>
        <w:tc>
          <w:tcPr>
            <w:tcW w:w="3421" w:type="dxa"/>
            <w:tcBorders>
              <w:top w:val="nil"/>
              <w:left w:val="single" w:sz="4" w:space="0" w:color="auto"/>
              <w:bottom w:val="single" w:sz="4" w:space="0" w:color="auto"/>
              <w:right w:val="single" w:sz="4" w:space="0" w:color="auto"/>
            </w:tcBorders>
            <w:shd w:val="clear" w:color="000000" w:fill="FFFFFF"/>
            <w:vAlign w:val="bottom"/>
            <w:hideMark/>
          </w:tcPr>
          <w:p w14:paraId="43DF692B" w14:textId="77777777" w:rsidR="007B6D63" w:rsidRPr="007B6D63" w:rsidRDefault="007B6D63" w:rsidP="007B6D63">
            <w:pPr>
              <w:spacing w:after="0"/>
              <w:rPr>
                <w:b/>
                <w:color w:val="auto"/>
                <w:sz w:val="21"/>
                <w:szCs w:val="21"/>
              </w:rPr>
            </w:pPr>
            <w:r w:rsidRPr="007B6D63">
              <w:rPr>
                <w:b/>
                <w:color w:val="auto"/>
                <w:sz w:val="21"/>
                <w:szCs w:val="21"/>
              </w:rPr>
              <w:t>Α.Έσοδα</w:t>
            </w:r>
          </w:p>
        </w:tc>
        <w:tc>
          <w:tcPr>
            <w:tcW w:w="1468" w:type="dxa"/>
            <w:tcBorders>
              <w:top w:val="nil"/>
              <w:left w:val="nil"/>
              <w:bottom w:val="single" w:sz="4" w:space="0" w:color="auto"/>
              <w:right w:val="single" w:sz="4" w:space="0" w:color="auto"/>
            </w:tcBorders>
            <w:shd w:val="clear" w:color="000000" w:fill="FFFFFF"/>
            <w:noWrap/>
            <w:vAlign w:val="bottom"/>
            <w:hideMark/>
          </w:tcPr>
          <w:p w14:paraId="6CD26811" w14:textId="77777777" w:rsidR="007B6D63" w:rsidRPr="007B6D63" w:rsidRDefault="007B6D63" w:rsidP="007B6D63">
            <w:pPr>
              <w:spacing w:after="0"/>
              <w:jc w:val="center"/>
              <w:rPr>
                <w:b/>
                <w:color w:val="auto"/>
                <w:sz w:val="21"/>
                <w:szCs w:val="21"/>
              </w:rPr>
            </w:pPr>
            <w:r w:rsidRPr="007B6D63">
              <w:rPr>
                <w:b/>
                <w:color w:val="auto"/>
                <w:sz w:val="21"/>
                <w:szCs w:val="21"/>
              </w:rPr>
              <w:t>53.187</w:t>
            </w:r>
          </w:p>
        </w:tc>
        <w:tc>
          <w:tcPr>
            <w:tcW w:w="1590" w:type="dxa"/>
            <w:tcBorders>
              <w:top w:val="nil"/>
              <w:left w:val="nil"/>
              <w:bottom w:val="single" w:sz="4" w:space="0" w:color="auto"/>
              <w:right w:val="single" w:sz="4" w:space="0" w:color="auto"/>
            </w:tcBorders>
            <w:shd w:val="clear" w:color="000000" w:fill="FFFFFF"/>
            <w:noWrap/>
            <w:vAlign w:val="bottom"/>
            <w:hideMark/>
          </w:tcPr>
          <w:p w14:paraId="5EEF3F06" w14:textId="77777777" w:rsidR="007B6D63" w:rsidRPr="007B6D63" w:rsidRDefault="007B6D63" w:rsidP="007B6D63">
            <w:pPr>
              <w:spacing w:after="0"/>
              <w:jc w:val="center"/>
              <w:rPr>
                <w:b/>
                <w:color w:val="auto"/>
                <w:sz w:val="21"/>
                <w:szCs w:val="21"/>
              </w:rPr>
            </w:pPr>
            <w:r w:rsidRPr="007B6D63">
              <w:rPr>
                <w:b/>
                <w:color w:val="auto"/>
                <w:sz w:val="21"/>
                <w:szCs w:val="21"/>
              </w:rPr>
              <w:t>59.771</w:t>
            </w:r>
          </w:p>
        </w:tc>
        <w:tc>
          <w:tcPr>
            <w:tcW w:w="1835" w:type="dxa"/>
            <w:tcBorders>
              <w:top w:val="nil"/>
              <w:left w:val="nil"/>
              <w:bottom w:val="single" w:sz="4" w:space="0" w:color="auto"/>
              <w:right w:val="single" w:sz="4" w:space="0" w:color="auto"/>
            </w:tcBorders>
            <w:shd w:val="clear" w:color="auto" w:fill="auto"/>
            <w:noWrap/>
            <w:vAlign w:val="bottom"/>
            <w:hideMark/>
          </w:tcPr>
          <w:p w14:paraId="1B51A3EC" w14:textId="77777777" w:rsidR="007B6D63" w:rsidRPr="007B6D63" w:rsidRDefault="007B6D63" w:rsidP="007B6D63">
            <w:pPr>
              <w:spacing w:after="0"/>
              <w:jc w:val="center"/>
              <w:rPr>
                <w:b/>
                <w:color w:val="auto"/>
                <w:sz w:val="21"/>
                <w:szCs w:val="21"/>
              </w:rPr>
            </w:pPr>
            <w:r w:rsidRPr="007B6D63">
              <w:rPr>
                <w:b/>
                <w:color w:val="auto"/>
                <w:sz w:val="21"/>
                <w:szCs w:val="21"/>
              </w:rPr>
              <w:t>12,4%</w:t>
            </w:r>
          </w:p>
        </w:tc>
      </w:tr>
      <w:tr w:rsidR="007B6D63" w:rsidRPr="007B6D63" w14:paraId="1DD205BD" w14:textId="77777777" w:rsidTr="007B6D63">
        <w:trPr>
          <w:trHeight w:val="277"/>
        </w:trPr>
        <w:tc>
          <w:tcPr>
            <w:tcW w:w="3421" w:type="dxa"/>
            <w:tcBorders>
              <w:top w:val="nil"/>
              <w:left w:val="single" w:sz="4" w:space="0" w:color="auto"/>
              <w:bottom w:val="single" w:sz="4" w:space="0" w:color="auto"/>
              <w:right w:val="single" w:sz="4" w:space="0" w:color="auto"/>
            </w:tcBorders>
            <w:shd w:val="clear" w:color="000000" w:fill="FFFFFF"/>
            <w:vAlign w:val="bottom"/>
            <w:hideMark/>
          </w:tcPr>
          <w:p w14:paraId="7350337C" w14:textId="77777777" w:rsidR="007B6D63" w:rsidRPr="007B6D63" w:rsidRDefault="007B6D63" w:rsidP="007B6D63">
            <w:pPr>
              <w:spacing w:after="0"/>
              <w:rPr>
                <w:color w:val="auto"/>
                <w:sz w:val="21"/>
                <w:szCs w:val="21"/>
              </w:rPr>
            </w:pPr>
            <w:r w:rsidRPr="007B6D63">
              <w:rPr>
                <w:color w:val="auto"/>
                <w:sz w:val="21"/>
                <w:szCs w:val="21"/>
              </w:rPr>
              <w:t>Φόροι</w:t>
            </w:r>
          </w:p>
        </w:tc>
        <w:tc>
          <w:tcPr>
            <w:tcW w:w="1468" w:type="dxa"/>
            <w:tcBorders>
              <w:top w:val="nil"/>
              <w:left w:val="nil"/>
              <w:bottom w:val="single" w:sz="4" w:space="0" w:color="auto"/>
              <w:right w:val="single" w:sz="4" w:space="0" w:color="auto"/>
            </w:tcBorders>
            <w:shd w:val="clear" w:color="000000" w:fill="FFFFFF"/>
            <w:noWrap/>
            <w:vAlign w:val="bottom"/>
            <w:hideMark/>
          </w:tcPr>
          <w:p w14:paraId="66D41521" w14:textId="77777777" w:rsidR="007B6D63" w:rsidRPr="007B6D63" w:rsidRDefault="007B6D63" w:rsidP="007B6D63">
            <w:pPr>
              <w:spacing w:after="0"/>
              <w:jc w:val="center"/>
              <w:rPr>
                <w:color w:val="auto"/>
                <w:sz w:val="21"/>
                <w:szCs w:val="21"/>
              </w:rPr>
            </w:pPr>
            <w:r w:rsidRPr="007B6D63">
              <w:rPr>
                <w:color w:val="auto"/>
                <w:sz w:val="21"/>
                <w:szCs w:val="21"/>
              </w:rPr>
              <w:t>29.248</w:t>
            </w:r>
          </w:p>
        </w:tc>
        <w:tc>
          <w:tcPr>
            <w:tcW w:w="1590" w:type="dxa"/>
            <w:tcBorders>
              <w:top w:val="nil"/>
              <w:left w:val="nil"/>
              <w:bottom w:val="single" w:sz="4" w:space="0" w:color="auto"/>
              <w:right w:val="single" w:sz="4" w:space="0" w:color="auto"/>
            </w:tcBorders>
            <w:shd w:val="clear" w:color="000000" w:fill="FFFFFF"/>
            <w:noWrap/>
            <w:vAlign w:val="bottom"/>
            <w:hideMark/>
          </w:tcPr>
          <w:p w14:paraId="713B8135" w14:textId="77777777" w:rsidR="007B6D63" w:rsidRPr="007B6D63" w:rsidRDefault="007B6D63" w:rsidP="007B6D63">
            <w:pPr>
              <w:spacing w:after="0"/>
              <w:jc w:val="center"/>
              <w:rPr>
                <w:color w:val="auto"/>
                <w:sz w:val="21"/>
                <w:szCs w:val="21"/>
              </w:rPr>
            </w:pPr>
            <w:r w:rsidRPr="007B6D63">
              <w:rPr>
                <w:color w:val="auto"/>
                <w:sz w:val="21"/>
                <w:szCs w:val="21"/>
              </w:rPr>
              <w:t>33.000</w:t>
            </w:r>
          </w:p>
        </w:tc>
        <w:tc>
          <w:tcPr>
            <w:tcW w:w="1835" w:type="dxa"/>
            <w:tcBorders>
              <w:top w:val="nil"/>
              <w:left w:val="nil"/>
              <w:bottom w:val="single" w:sz="4" w:space="0" w:color="auto"/>
              <w:right w:val="single" w:sz="4" w:space="0" w:color="auto"/>
            </w:tcBorders>
            <w:shd w:val="clear" w:color="auto" w:fill="auto"/>
            <w:noWrap/>
            <w:vAlign w:val="bottom"/>
            <w:hideMark/>
          </w:tcPr>
          <w:p w14:paraId="12D8AF84" w14:textId="77777777" w:rsidR="007B6D63" w:rsidRPr="007B6D63" w:rsidRDefault="007B6D63" w:rsidP="007B6D63">
            <w:pPr>
              <w:spacing w:after="0"/>
              <w:jc w:val="center"/>
              <w:rPr>
                <w:color w:val="auto"/>
                <w:sz w:val="21"/>
                <w:szCs w:val="21"/>
              </w:rPr>
            </w:pPr>
            <w:r w:rsidRPr="007B6D63">
              <w:rPr>
                <w:color w:val="auto"/>
                <w:sz w:val="21"/>
                <w:szCs w:val="21"/>
              </w:rPr>
              <w:t>12,8%</w:t>
            </w:r>
          </w:p>
        </w:tc>
      </w:tr>
      <w:tr w:rsidR="007B6D63" w:rsidRPr="007B6D63" w14:paraId="29D9C7B2" w14:textId="77777777" w:rsidTr="007B6D63">
        <w:trPr>
          <w:trHeight w:val="277"/>
        </w:trPr>
        <w:tc>
          <w:tcPr>
            <w:tcW w:w="3421" w:type="dxa"/>
            <w:tcBorders>
              <w:top w:val="nil"/>
              <w:left w:val="single" w:sz="4" w:space="0" w:color="auto"/>
              <w:bottom w:val="single" w:sz="4" w:space="0" w:color="auto"/>
              <w:right w:val="single" w:sz="4" w:space="0" w:color="auto"/>
            </w:tcBorders>
            <w:shd w:val="clear" w:color="000000" w:fill="FFFFFF"/>
            <w:vAlign w:val="bottom"/>
            <w:hideMark/>
          </w:tcPr>
          <w:p w14:paraId="1D32F2A3" w14:textId="77777777" w:rsidR="007B6D63" w:rsidRPr="007B6D63" w:rsidRDefault="007B6D63" w:rsidP="007B6D63">
            <w:pPr>
              <w:spacing w:after="0"/>
              <w:rPr>
                <w:color w:val="auto"/>
                <w:sz w:val="21"/>
                <w:szCs w:val="21"/>
              </w:rPr>
            </w:pPr>
            <w:r w:rsidRPr="007B6D63">
              <w:rPr>
                <w:color w:val="auto"/>
                <w:sz w:val="21"/>
                <w:szCs w:val="21"/>
              </w:rPr>
              <w:t>Ασφαλιστικές εισφορές</w:t>
            </w:r>
          </w:p>
        </w:tc>
        <w:tc>
          <w:tcPr>
            <w:tcW w:w="1468" w:type="dxa"/>
            <w:tcBorders>
              <w:top w:val="nil"/>
              <w:left w:val="nil"/>
              <w:bottom w:val="single" w:sz="4" w:space="0" w:color="auto"/>
              <w:right w:val="single" w:sz="4" w:space="0" w:color="auto"/>
            </w:tcBorders>
            <w:shd w:val="clear" w:color="000000" w:fill="FFFFFF"/>
            <w:noWrap/>
            <w:vAlign w:val="bottom"/>
            <w:hideMark/>
          </w:tcPr>
          <w:p w14:paraId="46931BED" w14:textId="77777777" w:rsidR="007B6D63" w:rsidRPr="007B6D63" w:rsidRDefault="007B6D63" w:rsidP="007B6D63">
            <w:pPr>
              <w:spacing w:after="0"/>
              <w:jc w:val="center"/>
              <w:rPr>
                <w:color w:val="auto"/>
                <w:sz w:val="21"/>
                <w:szCs w:val="21"/>
              </w:rPr>
            </w:pPr>
            <w:r w:rsidRPr="007B6D63">
              <w:rPr>
                <w:color w:val="auto"/>
                <w:sz w:val="21"/>
                <w:szCs w:val="21"/>
              </w:rPr>
              <w:t>15.965</w:t>
            </w:r>
          </w:p>
        </w:tc>
        <w:tc>
          <w:tcPr>
            <w:tcW w:w="1590" w:type="dxa"/>
            <w:tcBorders>
              <w:top w:val="nil"/>
              <w:left w:val="nil"/>
              <w:bottom w:val="single" w:sz="4" w:space="0" w:color="auto"/>
              <w:right w:val="single" w:sz="4" w:space="0" w:color="auto"/>
            </w:tcBorders>
            <w:shd w:val="clear" w:color="000000" w:fill="FFFFFF"/>
            <w:noWrap/>
            <w:vAlign w:val="bottom"/>
            <w:hideMark/>
          </w:tcPr>
          <w:p w14:paraId="14A31C3B" w14:textId="77777777" w:rsidR="007B6D63" w:rsidRPr="007B6D63" w:rsidRDefault="007B6D63" w:rsidP="007B6D63">
            <w:pPr>
              <w:spacing w:after="0"/>
              <w:jc w:val="center"/>
              <w:rPr>
                <w:color w:val="auto"/>
                <w:sz w:val="21"/>
                <w:szCs w:val="21"/>
              </w:rPr>
            </w:pPr>
            <w:r w:rsidRPr="007B6D63">
              <w:rPr>
                <w:color w:val="auto"/>
                <w:sz w:val="21"/>
                <w:szCs w:val="21"/>
              </w:rPr>
              <w:t>15.756</w:t>
            </w:r>
          </w:p>
        </w:tc>
        <w:tc>
          <w:tcPr>
            <w:tcW w:w="1835" w:type="dxa"/>
            <w:tcBorders>
              <w:top w:val="nil"/>
              <w:left w:val="nil"/>
              <w:bottom w:val="single" w:sz="4" w:space="0" w:color="auto"/>
              <w:right w:val="single" w:sz="4" w:space="0" w:color="auto"/>
            </w:tcBorders>
            <w:shd w:val="clear" w:color="auto" w:fill="auto"/>
            <w:noWrap/>
            <w:vAlign w:val="bottom"/>
            <w:hideMark/>
          </w:tcPr>
          <w:p w14:paraId="507EC1B3" w14:textId="77777777" w:rsidR="007B6D63" w:rsidRPr="007B6D63" w:rsidRDefault="007B6D63" w:rsidP="007B6D63">
            <w:pPr>
              <w:spacing w:after="0"/>
              <w:jc w:val="center"/>
              <w:rPr>
                <w:color w:val="auto"/>
                <w:sz w:val="21"/>
                <w:szCs w:val="21"/>
              </w:rPr>
            </w:pPr>
            <w:r w:rsidRPr="007B6D63">
              <w:rPr>
                <w:color w:val="auto"/>
                <w:sz w:val="21"/>
                <w:szCs w:val="21"/>
              </w:rPr>
              <w:t>-1,3%</w:t>
            </w:r>
          </w:p>
        </w:tc>
      </w:tr>
      <w:tr w:rsidR="007B6D63" w:rsidRPr="007B6D63" w14:paraId="6B8C2B1C" w14:textId="77777777" w:rsidTr="007B6D63">
        <w:trPr>
          <w:trHeight w:val="277"/>
        </w:trPr>
        <w:tc>
          <w:tcPr>
            <w:tcW w:w="3421" w:type="dxa"/>
            <w:tcBorders>
              <w:top w:val="nil"/>
              <w:left w:val="single" w:sz="4" w:space="0" w:color="auto"/>
              <w:bottom w:val="single" w:sz="4" w:space="0" w:color="auto"/>
              <w:right w:val="single" w:sz="4" w:space="0" w:color="auto"/>
            </w:tcBorders>
            <w:shd w:val="clear" w:color="000000" w:fill="FFFFFF"/>
            <w:vAlign w:val="bottom"/>
            <w:hideMark/>
          </w:tcPr>
          <w:p w14:paraId="22CEBF13" w14:textId="77777777" w:rsidR="007B6D63" w:rsidRPr="007B6D63" w:rsidRDefault="007B6D63" w:rsidP="007B6D63">
            <w:pPr>
              <w:spacing w:after="0"/>
              <w:rPr>
                <w:color w:val="auto"/>
                <w:sz w:val="21"/>
                <w:szCs w:val="21"/>
              </w:rPr>
            </w:pPr>
            <w:r w:rsidRPr="007B6D63">
              <w:rPr>
                <w:color w:val="auto"/>
                <w:sz w:val="21"/>
                <w:szCs w:val="21"/>
              </w:rPr>
              <w:t>Μεταβιβάσεις</w:t>
            </w:r>
          </w:p>
        </w:tc>
        <w:tc>
          <w:tcPr>
            <w:tcW w:w="1468" w:type="dxa"/>
            <w:tcBorders>
              <w:top w:val="nil"/>
              <w:left w:val="nil"/>
              <w:bottom w:val="single" w:sz="4" w:space="0" w:color="auto"/>
              <w:right w:val="single" w:sz="4" w:space="0" w:color="auto"/>
            </w:tcBorders>
            <w:shd w:val="clear" w:color="000000" w:fill="FFFFFF"/>
            <w:noWrap/>
            <w:vAlign w:val="bottom"/>
            <w:hideMark/>
          </w:tcPr>
          <w:p w14:paraId="7084F359" w14:textId="77777777" w:rsidR="007B6D63" w:rsidRPr="007B6D63" w:rsidRDefault="007B6D63" w:rsidP="007B6D63">
            <w:pPr>
              <w:spacing w:after="0"/>
              <w:jc w:val="center"/>
              <w:rPr>
                <w:color w:val="auto"/>
                <w:sz w:val="21"/>
                <w:szCs w:val="21"/>
              </w:rPr>
            </w:pPr>
            <w:r w:rsidRPr="007B6D63">
              <w:rPr>
                <w:color w:val="auto"/>
                <w:sz w:val="21"/>
                <w:szCs w:val="21"/>
              </w:rPr>
              <w:t>5.640</w:t>
            </w:r>
          </w:p>
        </w:tc>
        <w:tc>
          <w:tcPr>
            <w:tcW w:w="1590" w:type="dxa"/>
            <w:tcBorders>
              <w:top w:val="nil"/>
              <w:left w:val="nil"/>
              <w:bottom w:val="single" w:sz="4" w:space="0" w:color="auto"/>
              <w:right w:val="single" w:sz="4" w:space="0" w:color="auto"/>
            </w:tcBorders>
            <w:shd w:val="clear" w:color="000000" w:fill="FFFFFF"/>
            <w:noWrap/>
            <w:vAlign w:val="bottom"/>
            <w:hideMark/>
          </w:tcPr>
          <w:p w14:paraId="3778870F" w14:textId="77777777" w:rsidR="007B6D63" w:rsidRPr="007B6D63" w:rsidRDefault="007B6D63" w:rsidP="007B6D63">
            <w:pPr>
              <w:spacing w:after="0"/>
              <w:jc w:val="center"/>
              <w:rPr>
                <w:color w:val="auto"/>
                <w:sz w:val="21"/>
                <w:szCs w:val="21"/>
              </w:rPr>
            </w:pPr>
            <w:r w:rsidRPr="007B6D63">
              <w:rPr>
                <w:color w:val="auto"/>
                <w:sz w:val="21"/>
                <w:szCs w:val="21"/>
              </w:rPr>
              <w:t>8.509</w:t>
            </w:r>
          </w:p>
        </w:tc>
        <w:tc>
          <w:tcPr>
            <w:tcW w:w="1835" w:type="dxa"/>
            <w:tcBorders>
              <w:top w:val="nil"/>
              <w:left w:val="nil"/>
              <w:bottom w:val="single" w:sz="4" w:space="0" w:color="auto"/>
              <w:right w:val="single" w:sz="4" w:space="0" w:color="auto"/>
            </w:tcBorders>
            <w:shd w:val="clear" w:color="auto" w:fill="auto"/>
            <w:noWrap/>
            <w:vAlign w:val="bottom"/>
            <w:hideMark/>
          </w:tcPr>
          <w:p w14:paraId="25E20951" w14:textId="77777777" w:rsidR="007B6D63" w:rsidRPr="007B6D63" w:rsidRDefault="007B6D63" w:rsidP="007B6D63">
            <w:pPr>
              <w:spacing w:after="0"/>
              <w:jc w:val="center"/>
              <w:rPr>
                <w:color w:val="auto"/>
                <w:sz w:val="21"/>
                <w:szCs w:val="21"/>
              </w:rPr>
            </w:pPr>
            <w:r w:rsidRPr="007B6D63">
              <w:rPr>
                <w:color w:val="auto"/>
                <w:sz w:val="21"/>
                <w:szCs w:val="21"/>
              </w:rPr>
              <w:t>50,9%</w:t>
            </w:r>
          </w:p>
        </w:tc>
      </w:tr>
      <w:tr w:rsidR="007B6D63" w:rsidRPr="007B6D63" w14:paraId="4B3E15D5" w14:textId="77777777" w:rsidTr="006A5A78">
        <w:trPr>
          <w:trHeight w:val="289"/>
        </w:trPr>
        <w:tc>
          <w:tcPr>
            <w:tcW w:w="3421" w:type="dxa"/>
            <w:tcBorders>
              <w:top w:val="nil"/>
              <w:left w:val="single" w:sz="4" w:space="0" w:color="auto"/>
              <w:bottom w:val="single" w:sz="4" w:space="0" w:color="auto"/>
              <w:right w:val="single" w:sz="4" w:space="0" w:color="auto"/>
            </w:tcBorders>
            <w:shd w:val="clear" w:color="000000" w:fill="FFFFFF"/>
            <w:vAlign w:val="bottom"/>
            <w:hideMark/>
          </w:tcPr>
          <w:p w14:paraId="7B5EC455" w14:textId="77777777" w:rsidR="007B6D63" w:rsidRPr="007B6D63" w:rsidRDefault="007B6D63" w:rsidP="007B6D63">
            <w:pPr>
              <w:spacing w:after="0"/>
              <w:rPr>
                <w:color w:val="auto"/>
                <w:sz w:val="21"/>
                <w:szCs w:val="21"/>
              </w:rPr>
            </w:pPr>
            <w:r w:rsidRPr="007B6D63">
              <w:rPr>
                <w:color w:val="auto"/>
                <w:sz w:val="21"/>
                <w:szCs w:val="21"/>
              </w:rPr>
              <w:t>Πωλήσεις αγαθών και υπηρεσιών</w:t>
            </w:r>
          </w:p>
        </w:tc>
        <w:tc>
          <w:tcPr>
            <w:tcW w:w="1468" w:type="dxa"/>
            <w:tcBorders>
              <w:top w:val="nil"/>
              <w:left w:val="nil"/>
              <w:bottom w:val="single" w:sz="4" w:space="0" w:color="auto"/>
              <w:right w:val="single" w:sz="4" w:space="0" w:color="auto"/>
            </w:tcBorders>
            <w:shd w:val="clear" w:color="000000" w:fill="FFFFFF"/>
            <w:noWrap/>
            <w:vAlign w:val="bottom"/>
            <w:hideMark/>
          </w:tcPr>
          <w:p w14:paraId="7D9EF81F" w14:textId="77777777" w:rsidR="007B6D63" w:rsidRPr="007B6D63" w:rsidRDefault="007B6D63" w:rsidP="007B6D63">
            <w:pPr>
              <w:spacing w:after="0"/>
              <w:jc w:val="center"/>
              <w:rPr>
                <w:color w:val="auto"/>
                <w:sz w:val="21"/>
                <w:szCs w:val="21"/>
              </w:rPr>
            </w:pPr>
            <w:r w:rsidRPr="007B6D63">
              <w:rPr>
                <w:color w:val="auto"/>
                <w:sz w:val="21"/>
                <w:szCs w:val="21"/>
              </w:rPr>
              <w:t>1.650</w:t>
            </w:r>
          </w:p>
        </w:tc>
        <w:tc>
          <w:tcPr>
            <w:tcW w:w="1590" w:type="dxa"/>
            <w:tcBorders>
              <w:top w:val="nil"/>
              <w:left w:val="nil"/>
              <w:bottom w:val="single" w:sz="4" w:space="0" w:color="auto"/>
              <w:right w:val="single" w:sz="4" w:space="0" w:color="auto"/>
            </w:tcBorders>
            <w:shd w:val="clear" w:color="000000" w:fill="FFFFFF"/>
            <w:noWrap/>
            <w:vAlign w:val="bottom"/>
            <w:hideMark/>
          </w:tcPr>
          <w:p w14:paraId="56A1B838" w14:textId="77777777" w:rsidR="007B6D63" w:rsidRPr="007B6D63" w:rsidRDefault="007B6D63" w:rsidP="007B6D63">
            <w:pPr>
              <w:spacing w:after="0"/>
              <w:jc w:val="center"/>
              <w:rPr>
                <w:color w:val="auto"/>
                <w:sz w:val="21"/>
                <w:szCs w:val="21"/>
              </w:rPr>
            </w:pPr>
            <w:r w:rsidRPr="007B6D63">
              <w:rPr>
                <w:color w:val="auto"/>
                <w:sz w:val="21"/>
                <w:szCs w:val="21"/>
              </w:rPr>
              <w:t>1.742</w:t>
            </w:r>
          </w:p>
        </w:tc>
        <w:tc>
          <w:tcPr>
            <w:tcW w:w="1835" w:type="dxa"/>
            <w:tcBorders>
              <w:top w:val="nil"/>
              <w:left w:val="nil"/>
              <w:bottom w:val="single" w:sz="4" w:space="0" w:color="auto"/>
              <w:right w:val="single" w:sz="4" w:space="0" w:color="auto"/>
            </w:tcBorders>
            <w:shd w:val="clear" w:color="auto" w:fill="auto"/>
            <w:noWrap/>
            <w:vAlign w:val="bottom"/>
            <w:hideMark/>
          </w:tcPr>
          <w:p w14:paraId="15251908" w14:textId="77777777" w:rsidR="007B6D63" w:rsidRPr="007B6D63" w:rsidRDefault="007B6D63" w:rsidP="007B6D63">
            <w:pPr>
              <w:spacing w:after="0"/>
              <w:jc w:val="center"/>
              <w:rPr>
                <w:color w:val="auto"/>
                <w:sz w:val="21"/>
                <w:szCs w:val="21"/>
              </w:rPr>
            </w:pPr>
            <w:r w:rsidRPr="007B6D63">
              <w:rPr>
                <w:color w:val="auto"/>
                <w:sz w:val="21"/>
                <w:szCs w:val="21"/>
              </w:rPr>
              <w:t>5,6%</w:t>
            </w:r>
          </w:p>
        </w:tc>
      </w:tr>
      <w:tr w:rsidR="007B6D63" w:rsidRPr="007B6D63" w14:paraId="1DF7E8B5" w14:textId="77777777" w:rsidTr="007B6D63">
        <w:trPr>
          <w:trHeight w:val="277"/>
        </w:trPr>
        <w:tc>
          <w:tcPr>
            <w:tcW w:w="3421" w:type="dxa"/>
            <w:tcBorders>
              <w:top w:val="nil"/>
              <w:left w:val="single" w:sz="4" w:space="0" w:color="auto"/>
              <w:bottom w:val="single" w:sz="4" w:space="0" w:color="auto"/>
              <w:right w:val="single" w:sz="4" w:space="0" w:color="auto"/>
            </w:tcBorders>
            <w:shd w:val="clear" w:color="000000" w:fill="FFFFFF"/>
            <w:vAlign w:val="bottom"/>
            <w:hideMark/>
          </w:tcPr>
          <w:p w14:paraId="27D862A0" w14:textId="77777777" w:rsidR="007B6D63" w:rsidRPr="007B6D63" w:rsidRDefault="007B6D63" w:rsidP="007B6D63">
            <w:pPr>
              <w:spacing w:after="0"/>
              <w:rPr>
                <w:color w:val="auto"/>
                <w:sz w:val="21"/>
                <w:szCs w:val="21"/>
              </w:rPr>
            </w:pPr>
            <w:r w:rsidRPr="007B6D63">
              <w:rPr>
                <w:color w:val="auto"/>
                <w:sz w:val="21"/>
                <w:szCs w:val="21"/>
              </w:rPr>
              <w:t>Λοιπά  Έσοδα</w:t>
            </w:r>
          </w:p>
        </w:tc>
        <w:tc>
          <w:tcPr>
            <w:tcW w:w="1468" w:type="dxa"/>
            <w:tcBorders>
              <w:top w:val="nil"/>
              <w:left w:val="nil"/>
              <w:bottom w:val="single" w:sz="4" w:space="0" w:color="auto"/>
              <w:right w:val="single" w:sz="4" w:space="0" w:color="auto"/>
            </w:tcBorders>
            <w:shd w:val="clear" w:color="000000" w:fill="FFFFFF"/>
            <w:noWrap/>
            <w:vAlign w:val="bottom"/>
            <w:hideMark/>
          </w:tcPr>
          <w:p w14:paraId="334C4A39" w14:textId="77777777" w:rsidR="007B6D63" w:rsidRPr="007B6D63" w:rsidRDefault="007B6D63" w:rsidP="007B6D63">
            <w:pPr>
              <w:spacing w:after="0"/>
              <w:jc w:val="center"/>
              <w:rPr>
                <w:color w:val="auto"/>
                <w:sz w:val="21"/>
                <w:szCs w:val="21"/>
              </w:rPr>
            </w:pPr>
            <w:r w:rsidRPr="007B6D63">
              <w:rPr>
                <w:color w:val="auto"/>
                <w:sz w:val="21"/>
                <w:szCs w:val="21"/>
              </w:rPr>
              <w:t>684</w:t>
            </w:r>
          </w:p>
        </w:tc>
        <w:tc>
          <w:tcPr>
            <w:tcW w:w="1590" w:type="dxa"/>
            <w:tcBorders>
              <w:top w:val="nil"/>
              <w:left w:val="nil"/>
              <w:bottom w:val="single" w:sz="4" w:space="0" w:color="auto"/>
              <w:right w:val="single" w:sz="4" w:space="0" w:color="auto"/>
            </w:tcBorders>
            <w:shd w:val="clear" w:color="000000" w:fill="FFFFFF"/>
            <w:noWrap/>
            <w:vAlign w:val="bottom"/>
            <w:hideMark/>
          </w:tcPr>
          <w:p w14:paraId="10C84C18" w14:textId="77777777" w:rsidR="007B6D63" w:rsidRPr="007B6D63" w:rsidRDefault="007B6D63" w:rsidP="007B6D63">
            <w:pPr>
              <w:spacing w:after="0"/>
              <w:jc w:val="center"/>
              <w:rPr>
                <w:color w:val="auto"/>
                <w:sz w:val="21"/>
                <w:szCs w:val="21"/>
              </w:rPr>
            </w:pPr>
            <w:r w:rsidRPr="007B6D63">
              <w:rPr>
                <w:color w:val="auto"/>
                <w:sz w:val="21"/>
                <w:szCs w:val="21"/>
              </w:rPr>
              <w:t>764</w:t>
            </w:r>
          </w:p>
        </w:tc>
        <w:tc>
          <w:tcPr>
            <w:tcW w:w="1835" w:type="dxa"/>
            <w:tcBorders>
              <w:top w:val="nil"/>
              <w:left w:val="nil"/>
              <w:bottom w:val="single" w:sz="4" w:space="0" w:color="auto"/>
              <w:right w:val="single" w:sz="4" w:space="0" w:color="auto"/>
            </w:tcBorders>
            <w:shd w:val="clear" w:color="auto" w:fill="auto"/>
            <w:noWrap/>
            <w:vAlign w:val="bottom"/>
            <w:hideMark/>
          </w:tcPr>
          <w:p w14:paraId="6F1BF0F5" w14:textId="77777777" w:rsidR="007B6D63" w:rsidRPr="007B6D63" w:rsidRDefault="007B6D63" w:rsidP="007B6D63">
            <w:pPr>
              <w:spacing w:after="0"/>
              <w:jc w:val="center"/>
              <w:rPr>
                <w:color w:val="auto"/>
                <w:sz w:val="21"/>
                <w:szCs w:val="21"/>
              </w:rPr>
            </w:pPr>
            <w:r w:rsidRPr="007B6D63">
              <w:rPr>
                <w:color w:val="auto"/>
                <w:sz w:val="21"/>
                <w:szCs w:val="21"/>
              </w:rPr>
              <w:t>11,7%</w:t>
            </w:r>
          </w:p>
        </w:tc>
      </w:tr>
      <w:tr w:rsidR="007B6D63" w:rsidRPr="007B6D63" w14:paraId="734BFE91" w14:textId="77777777" w:rsidTr="007B6D63">
        <w:trPr>
          <w:trHeight w:val="277"/>
        </w:trPr>
        <w:tc>
          <w:tcPr>
            <w:tcW w:w="3421" w:type="dxa"/>
            <w:tcBorders>
              <w:top w:val="nil"/>
              <w:left w:val="single" w:sz="4" w:space="0" w:color="auto"/>
              <w:bottom w:val="single" w:sz="4" w:space="0" w:color="auto"/>
              <w:right w:val="single" w:sz="4" w:space="0" w:color="auto"/>
            </w:tcBorders>
            <w:shd w:val="clear" w:color="000000" w:fill="FFFFFF"/>
            <w:vAlign w:val="bottom"/>
            <w:hideMark/>
          </w:tcPr>
          <w:p w14:paraId="4AA72B6A" w14:textId="77777777" w:rsidR="007B6D63" w:rsidRPr="007B6D63" w:rsidRDefault="007B6D63" w:rsidP="007B6D63">
            <w:pPr>
              <w:spacing w:after="0"/>
              <w:rPr>
                <w:b/>
                <w:color w:val="auto"/>
                <w:sz w:val="21"/>
                <w:szCs w:val="21"/>
              </w:rPr>
            </w:pPr>
            <w:r w:rsidRPr="007B6D63">
              <w:rPr>
                <w:b/>
                <w:color w:val="auto"/>
                <w:sz w:val="21"/>
                <w:szCs w:val="21"/>
              </w:rPr>
              <w:t>Β.Δαπάνες</w:t>
            </w:r>
          </w:p>
        </w:tc>
        <w:tc>
          <w:tcPr>
            <w:tcW w:w="1468" w:type="dxa"/>
            <w:tcBorders>
              <w:top w:val="nil"/>
              <w:left w:val="nil"/>
              <w:bottom w:val="single" w:sz="4" w:space="0" w:color="auto"/>
              <w:right w:val="single" w:sz="4" w:space="0" w:color="auto"/>
            </w:tcBorders>
            <w:shd w:val="clear" w:color="000000" w:fill="FFFFFF"/>
            <w:noWrap/>
            <w:vAlign w:val="bottom"/>
            <w:hideMark/>
          </w:tcPr>
          <w:p w14:paraId="0A395C2D" w14:textId="77777777" w:rsidR="007B6D63" w:rsidRPr="007B6D63" w:rsidRDefault="007B6D63" w:rsidP="007B6D63">
            <w:pPr>
              <w:spacing w:after="0"/>
              <w:jc w:val="center"/>
              <w:rPr>
                <w:b/>
                <w:color w:val="auto"/>
                <w:sz w:val="21"/>
                <w:szCs w:val="21"/>
              </w:rPr>
            </w:pPr>
            <w:r w:rsidRPr="007B6D63">
              <w:rPr>
                <w:b/>
                <w:color w:val="auto"/>
                <w:sz w:val="21"/>
                <w:szCs w:val="21"/>
              </w:rPr>
              <w:t>58.805</w:t>
            </w:r>
          </w:p>
        </w:tc>
        <w:tc>
          <w:tcPr>
            <w:tcW w:w="1590" w:type="dxa"/>
            <w:tcBorders>
              <w:top w:val="nil"/>
              <w:left w:val="nil"/>
              <w:bottom w:val="single" w:sz="4" w:space="0" w:color="auto"/>
              <w:right w:val="single" w:sz="4" w:space="0" w:color="auto"/>
            </w:tcBorders>
            <w:shd w:val="clear" w:color="000000" w:fill="FFFFFF"/>
            <w:noWrap/>
            <w:vAlign w:val="bottom"/>
            <w:hideMark/>
          </w:tcPr>
          <w:p w14:paraId="5591D595" w14:textId="77777777" w:rsidR="007B6D63" w:rsidRPr="007B6D63" w:rsidRDefault="007B6D63" w:rsidP="007B6D63">
            <w:pPr>
              <w:spacing w:after="0"/>
              <w:jc w:val="center"/>
              <w:rPr>
                <w:b/>
                <w:color w:val="auto"/>
                <w:sz w:val="21"/>
                <w:szCs w:val="21"/>
              </w:rPr>
            </w:pPr>
            <w:r w:rsidRPr="007B6D63">
              <w:rPr>
                <w:b/>
                <w:color w:val="auto"/>
                <w:sz w:val="21"/>
                <w:szCs w:val="21"/>
              </w:rPr>
              <w:t>63.561</w:t>
            </w:r>
          </w:p>
        </w:tc>
        <w:tc>
          <w:tcPr>
            <w:tcW w:w="1835" w:type="dxa"/>
            <w:tcBorders>
              <w:top w:val="nil"/>
              <w:left w:val="nil"/>
              <w:bottom w:val="single" w:sz="4" w:space="0" w:color="auto"/>
              <w:right w:val="single" w:sz="4" w:space="0" w:color="auto"/>
            </w:tcBorders>
            <w:shd w:val="clear" w:color="auto" w:fill="auto"/>
            <w:noWrap/>
            <w:vAlign w:val="bottom"/>
            <w:hideMark/>
          </w:tcPr>
          <w:p w14:paraId="56BB878D" w14:textId="77777777" w:rsidR="007B6D63" w:rsidRPr="007B6D63" w:rsidRDefault="007B6D63" w:rsidP="007B6D63">
            <w:pPr>
              <w:spacing w:after="0"/>
              <w:jc w:val="center"/>
              <w:rPr>
                <w:b/>
                <w:color w:val="auto"/>
                <w:sz w:val="21"/>
                <w:szCs w:val="21"/>
              </w:rPr>
            </w:pPr>
            <w:r w:rsidRPr="007B6D63">
              <w:rPr>
                <w:b/>
                <w:color w:val="auto"/>
                <w:sz w:val="21"/>
                <w:szCs w:val="21"/>
              </w:rPr>
              <w:t>8,1%</w:t>
            </w:r>
          </w:p>
        </w:tc>
      </w:tr>
      <w:tr w:rsidR="007B6D63" w:rsidRPr="007B6D63" w14:paraId="5CB7CFA7" w14:textId="77777777" w:rsidTr="007B6D63">
        <w:trPr>
          <w:trHeight w:val="277"/>
        </w:trPr>
        <w:tc>
          <w:tcPr>
            <w:tcW w:w="3421" w:type="dxa"/>
            <w:tcBorders>
              <w:top w:val="nil"/>
              <w:left w:val="single" w:sz="4" w:space="0" w:color="auto"/>
              <w:bottom w:val="single" w:sz="4" w:space="0" w:color="auto"/>
              <w:right w:val="single" w:sz="4" w:space="0" w:color="auto"/>
            </w:tcBorders>
            <w:shd w:val="clear" w:color="000000" w:fill="FFFFFF"/>
            <w:vAlign w:val="bottom"/>
            <w:hideMark/>
          </w:tcPr>
          <w:p w14:paraId="4571F26B" w14:textId="77777777" w:rsidR="007B6D63" w:rsidRPr="007B6D63" w:rsidRDefault="007B6D63" w:rsidP="007B6D63">
            <w:pPr>
              <w:spacing w:after="0"/>
              <w:rPr>
                <w:color w:val="auto"/>
                <w:sz w:val="21"/>
                <w:szCs w:val="21"/>
              </w:rPr>
            </w:pPr>
            <w:r w:rsidRPr="007B6D63">
              <w:rPr>
                <w:color w:val="auto"/>
                <w:sz w:val="21"/>
                <w:szCs w:val="21"/>
              </w:rPr>
              <w:t>Αμοιβές προσωπικού</w:t>
            </w:r>
          </w:p>
        </w:tc>
        <w:tc>
          <w:tcPr>
            <w:tcW w:w="1468" w:type="dxa"/>
            <w:tcBorders>
              <w:top w:val="nil"/>
              <w:left w:val="nil"/>
              <w:bottom w:val="single" w:sz="4" w:space="0" w:color="auto"/>
              <w:right w:val="single" w:sz="4" w:space="0" w:color="auto"/>
            </w:tcBorders>
            <w:shd w:val="clear" w:color="000000" w:fill="FFFFFF"/>
            <w:noWrap/>
            <w:vAlign w:val="bottom"/>
            <w:hideMark/>
          </w:tcPr>
          <w:p w14:paraId="3F6DC285" w14:textId="77777777" w:rsidR="007B6D63" w:rsidRPr="007B6D63" w:rsidRDefault="007B6D63" w:rsidP="007B6D63">
            <w:pPr>
              <w:spacing w:after="0"/>
              <w:jc w:val="center"/>
              <w:rPr>
                <w:color w:val="auto"/>
                <w:sz w:val="21"/>
                <w:szCs w:val="21"/>
              </w:rPr>
            </w:pPr>
            <w:r w:rsidRPr="007B6D63">
              <w:rPr>
                <w:color w:val="auto"/>
                <w:sz w:val="21"/>
                <w:szCs w:val="21"/>
              </w:rPr>
              <w:t>13.465</w:t>
            </w:r>
          </w:p>
        </w:tc>
        <w:tc>
          <w:tcPr>
            <w:tcW w:w="1590" w:type="dxa"/>
            <w:tcBorders>
              <w:top w:val="nil"/>
              <w:left w:val="nil"/>
              <w:bottom w:val="single" w:sz="4" w:space="0" w:color="auto"/>
              <w:right w:val="single" w:sz="4" w:space="0" w:color="auto"/>
            </w:tcBorders>
            <w:shd w:val="clear" w:color="000000" w:fill="FFFFFF"/>
            <w:noWrap/>
            <w:vAlign w:val="bottom"/>
            <w:hideMark/>
          </w:tcPr>
          <w:p w14:paraId="70CC4560" w14:textId="77777777" w:rsidR="007B6D63" w:rsidRPr="007B6D63" w:rsidRDefault="007B6D63" w:rsidP="007B6D63">
            <w:pPr>
              <w:spacing w:after="0"/>
              <w:jc w:val="center"/>
              <w:rPr>
                <w:color w:val="auto"/>
                <w:sz w:val="21"/>
                <w:szCs w:val="21"/>
              </w:rPr>
            </w:pPr>
            <w:r w:rsidRPr="007B6D63">
              <w:rPr>
                <w:color w:val="auto"/>
                <w:sz w:val="21"/>
                <w:szCs w:val="21"/>
              </w:rPr>
              <w:t>13.726</w:t>
            </w:r>
          </w:p>
        </w:tc>
        <w:tc>
          <w:tcPr>
            <w:tcW w:w="1835" w:type="dxa"/>
            <w:tcBorders>
              <w:top w:val="nil"/>
              <w:left w:val="nil"/>
              <w:bottom w:val="single" w:sz="4" w:space="0" w:color="auto"/>
              <w:right w:val="single" w:sz="4" w:space="0" w:color="auto"/>
            </w:tcBorders>
            <w:shd w:val="clear" w:color="auto" w:fill="auto"/>
            <w:noWrap/>
            <w:vAlign w:val="bottom"/>
            <w:hideMark/>
          </w:tcPr>
          <w:p w14:paraId="678E64A4" w14:textId="77777777" w:rsidR="007B6D63" w:rsidRPr="007B6D63" w:rsidRDefault="007B6D63" w:rsidP="007B6D63">
            <w:pPr>
              <w:spacing w:after="0"/>
              <w:jc w:val="center"/>
              <w:rPr>
                <w:color w:val="auto"/>
                <w:sz w:val="21"/>
                <w:szCs w:val="21"/>
              </w:rPr>
            </w:pPr>
            <w:r w:rsidRPr="007B6D63">
              <w:rPr>
                <w:color w:val="auto"/>
                <w:sz w:val="21"/>
                <w:szCs w:val="21"/>
              </w:rPr>
              <w:t>1,9%</w:t>
            </w:r>
          </w:p>
        </w:tc>
      </w:tr>
      <w:tr w:rsidR="007B6D63" w:rsidRPr="007B6D63" w14:paraId="0324414A" w14:textId="77777777" w:rsidTr="007B6D63">
        <w:trPr>
          <w:trHeight w:val="277"/>
        </w:trPr>
        <w:tc>
          <w:tcPr>
            <w:tcW w:w="3421" w:type="dxa"/>
            <w:tcBorders>
              <w:top w:val="nil"/>
              <w:left w:val="single" w:sz="4" w:space="0" w:color="auto"/>
              <w:bottom w:val="single" w:sz="4" w:space="0" w:color="auto"/>
              <w:right w:val="single" w:sz="4" w:space="0" w:color="auto"/>
            </w:tcBorders>
            <w:shd w:val="clear" w:color="000000" w:fill="FFFFFF"/>
            <w:vAlign w:val="bottom"/>
            <w:hideMark/>
          </w:tcPr>
          <w:p w14:paraId="12A61EF9" w14:textId="77777777" w:rsidR="007B6D63" w:rsidRPr="007B6D63" w:rsidRDefault="007B6D63" w:rsidP="007B6D63">
            <w:pPr>
              <w:spacing w:after="0"/>
              <w:rPr>
                <w:color w:val="auto"/>
                <w:sz w:val="21"/>
                <w:szCs w:val="21"/>
              </w:rPr>
            </w:pPr>
            <w:r w:rsidRPr="007B6D63">
              <w:rPr>
                <w:color w:val="auto"/>
                <w:sz w:val="21"/>
                <w:szCs w:val="21"/>
              </w:rPr>
              <w:t>Κοινωνικές παροχές</w:t>
            </w:r>
          </w:p>
        </w:tc>
        <w:tc>
          <w:tcPr>
            <w:tcW w:w="1468" w:type="dxa"/>
            <w:tcBorders>
              <w:top w:val="nil"/>
              <w:left w:val="nil"/>
              <w:bottom w:val="single" w:sz="4" w:space="0" w:color="auto"/>
              <w:right w:val="single" w:sz="4" w:space="0" w:color="auto"/>
            </w:tcBorders>
            <w:shd w:val="clear" w:color="000000" w:fill="FFFFFF"/>
            <w:noWrap/>
            <w:vAlign w:val="bottom"/>
            <w:hideMark/>
          </w:tcPr>
          <w:p w14:paraId="09FF001D" w14:textId="77777777" w:rsidR="007B6D63" w:rsidRPr="007B6D63" w:rsidRDefault="007B6D63" w:rsidP="007B6D63">
            <w:pPr>
              <w:spacing w:after="0"/>
              <w:jc w:val="center"/>
              <w:rPr>
                <w:color w:val="auto"/>
                <w:sz w:val="21"/>
                <w:szCs w:val="21"/>
              </w:rPr>
            </w:pPr>
            <w:r w:rsidRPr="007B6D63">
              <w:rPr>
                <w:color w:val="auto"/>
                <w:sz w:val="21"/>
                <w:szCs w:val="21"/>
              </w:rPr>
              <w:t>28.937</w:t>
            </w:r>
          </w:p>
        </w:tc>
        <w:tc>
          <w:tcPr>
            <w:tcW w:w="1590" w:type="dxa"/>
            <w:tcBorders>
              <w:top w:val="nil"/>
              <w:left w:val="nil"/>
              <w:bottom w:val="single" w:sz="4" w:space="0" w:color="auto"/>
              <w:right w:val="single" w:sz="4" w:space="0" w:color="auto"/>
            </w:tcBorders>
            <w:shd w:val="clear" w:color="000000" w:fill="FFFFFF"/>
            <w:noWrap/>
            <w:vAlign w:val="bottom"/>
            <w:hideMark/>
          </w:tcPr>
          <w:p w14:paraId="16B42138" w14:textId="77777777" w:rsidR="007B6D63" w:rsidRPr="007B6D63" w:rsidRDefault="007B6D63" w:rsidP="007B6D63">
            <w:pPr>
              <w:spacing w:after="0"/>
              <w:jc w:val="center"/>
              <w:rPr>
                <w:color w:val="auto"/>
                <w:sz w:val="21"/>
                <w:szCs w:val="21"/>
              </w:rPr>
            </w:pPr>
            <w:r w:rsidRPr="007B6D63">
              <w:rPr>
                <w:color w:val="auto"/>
                <w:sz w:val="21"/>
                <w:szCs w:val="21"/>
              </w:rPr>
              <w:t>30.182</w:t>
            </w:r>
          </w:p>
        </w:tc>
        <w:tc>
          <w:tcPr>
            <w:tcW w:w="1835" w:type="dxa"/>
            <w:tcBorders>
              <w:top w:val="nil"/>
              <w:left w:val="nil"/>
              <w:bottom w:val="single" w:sz="4" w:space="0" w:color="auto"/>
              <w:right w:val="single" w:sz="4" w:space="0" w:color="auto"/>
            </w:tcBorders>
            <w:shd w:val="clear" w:color="auto" w:fill="auto"/>
            <w:noWrap/>
            <w:vAlign w:val="bottom"/>
            <w:hideMark/>
          </w:tcPr>
          <w:p w14:paraId="176B1C2A" w14:textId="77777777" w:rsidR="007B6D63" w:rsidRPr="007B6D63" w:rsidRDefault="007B6D63" w:rsidP="007B6D63">
            <w:pPr>
              <w:spacing w:after="0"/>
              <w:jc w:val="center"/>
              <w:rPr>
                <w:color w:val="auto"/>
                <w:sz w:val="21"/>
                <w:szCs w:val="21"/>
              </w:rPr>
            </w:pPr>
            <w:r w:rsidRPr="007B6D63">
              <w:rPr>
                <w:color w:val="auto"/>
                <w:sz w:val="21"/>
                <w:szCs w:val="21"/>
              </w:rPr>
              <w:t>4,3%</w:t>
            </w:r>
          </w:p>
        </w:tc>
      </w:tr>
      <w:tr w:rsidR="007B6D63" w:rsidRPr="007B6D63" w14:paraId="7BAF3C52" w14:textId="77777777" w:rsidTr="007B6D63">
        <w:trPr>
          <w:trHeight w:val="277"/>
        </w:trPr>
        <w:tc>
          <w:tcPr>
            <w:tcW w:w="3421" w:type="dxa"/>
            <w:tcBorders>
              <w:top w:val="nil"/>
              <w:left w:val="single" w:sz="4" w:space="0" w:color="auto"/>
              <w:bottom w:val="single" w:sz="4" w:space="0" w:color="auto"/>
              <w:right w:val="single" w:sz="4" w:space="0" w:color="auto"/>
            </w:tcBorders>
            <w:shd w:val="clear" w:color="000000" w:fill="FFFFFF"/>
            <w:vAlign w:val="bottom"/>
            <w:hideMark/>
          </w:tcPr>
          <w:p w14:paraId="20E9790B" w14:textId="77777777" w:rsidR="007B6D63" w:rsidRPr="007B6D63" w:rsidRDefault="007B6D63" w:rsidP="007B6D63">
            <w:pPr>
              <w:spacing w:after="0"/>
              <w:rPr>
                <w:color w:val="auto"/>
                <w:sz w:val="21"/>
                <w:szCs w:val="21"/>
              </w:rPr>
            </w:pPr>
            <w:r w:rsidRPr="007B6D63">
              <w:rPr>
                <w:color w:val="auto"/>
                <w:sz w:val="21"/>
                <w:szCs w:val="21"/>
              </w:rPr>
              <w:t>Μεταβιβάσεις</w:t>
            </w:r>
          </w:p>
        </w:tc>
        <w:tc>
          <w:tcPr>
            <w:tcW w:w="1468" w:type="dxa"/>
            <w:tcBorders>
              <w:top w:val="nil"/>
              <w:left w:val="nil"/>
              <w:bottom w:val="single" w:sz="4" w:space="0" w:color="auto"/>
              <w:right w:val="single" w:sz="4" w:space="0" w:color="auto"/>
            </w:tcBorders>
            <w:shd w:val="clear" w:color="000000" w:fill="FFFFFF"/>
            <w:noWrap/>
            <w:vAlign w:val="bottom"/>
            <w:hideMark/>
          </w:tcPr>
          <w:p w14:paraId="37D56793" w14:textId="77777777" w:rsidR="007B6D63" w:rsidRPr="007B6D63" w:rsidRDefault="007B6D63" w:rsidP="007B6D63">
            <w:pPr>
              <w:spacing w:after="0"/>
              <w:jc w:val="center"/>
              <w:rPr>
                <w:color w:val="auto"/>
                <w:sz w:val="21"/>
                <w:szCs w:val="21"/>
              </w:rPr>
            </w:pPr>
            <w:r w:rsidRPr="007B6D63">
              <w:rPr>
                <w:color w:val="auto"/>
                <w:sz w:val="21"/>
                <w:szCs w:val="21"/>
              </w:rPr>
              <w:t>4.829</w:t>
            </w:r>
          </w:p>
        </w:tc>
        <w:tc>
          <w:tcPr>
            <w:tcW w:w="1590" w:type="dxa"/>
            <w:tcBorders>
              <w:top w:val="nil"/>
              <w:left w:val="nil"/>
              <w:bottom w:val="single" w:sz="4" w:space="0" w:color="auto"/>
              <w:right w:val="single" w:sz="4" w:space="0" w:color="auto"/>
            </w:tcBorders>
            <w:shd w:val="clear" w:color="000000" w:fill="FFFFFF"/>
            <w:noWrap/>
            <w:vAlign w:val="bottom"/>
            <w:hideMark/>
          </w:tcPr>
          <w:p w14:paraId="10F35550" w14:textId="77777777" w:rsidR="007B6D63" w:rsidRPr="007B6D63" w:rsidRDefault="007B6D63" w:rsidP="007B6D63">
            <w:pPr>
              <w:spacing w:after="0"/>
              <w:jc w:val="center"/>
              <w:rPr>
                <w:color w:val="auto"/>
                <w:sz w:val="21"/>
                <w:szCs w:val="21"/>
              </w:rPr>
            </w:pPr>
            <w:r w:rsidRPr="007B6D63">
              <w:rPr>
                <w:color w:val="auto"/>
                <w:sz w:val="21"/>
                <w:szCs w:val="21"/>
              </w:rPr>
              <w:t>7.750</w:t>
            </w:r>
          </w:p>
        </w:tc>
        <w:tc>
          <w:tcPr>
            <w:tcW w:w="1835" w:type="dxa"/>
            <w:tcBorders>
              <w:top w:val="nil"/>
              <w:left w:val="nil"/>
              <w:bottom w:val="single" w:sz="4" w:space="0" w:color="auto"/>
              <w:right w:val="single" w:sz="4" w:space="0" w:color="auto"/>
            </w:tcBorders>
            <w:shd w:val="clear" w:color="auto" w:fill="auto"/>
            <w:noWrap/>
            <w:vAlign w:val="bottom"/>
            <w:hideMark/>
          </w:tcPr>
          <w:p w14:paraId="621C888C" w14:textId="77777777" w:rsidR="007B6D63" w:rsidRPr="007B6D63" w:rsidRDefault="007B6D63" w:rsidP="007B6D63">
            <w:pPr>
              <w:spacing w:after="0"/>
              <w:jc w:val="center"/>
              <w:rPr>
                <w:color w:val="auto"/>
                <w:sz w:val="21"/>
                <w:szCs w:val="21"/>
              </w:rPr>
            </w:pPr>
            <w:r w:rsidRPr="007B6D63">
              <w:rPr>
                <w:color w:val="auto"/>
                <w:sz w:val="21"/>
                <w:szCs w:val="21"/>
              </w:rPr>
              <w:t>60,5%</w:t>
            </w:r>
          </w:p>
        </w:tc>
      </w:tr>
      <w:tr w:rsidR="007B6D63" w:rsidRPr="007B6D63" w14:paraId="5D219C64" w14:textId="77777777" w:rsidTr="007B6D63">
        <w:trPr>
          <w:trHeight w:val="277"/>
        </w:trPr>
        <w:tc>
          <w:tcPr>
            <w:tcW w:w="3421" w:type="dxa"/>
            <w:tcBorders>
              <w:top w:val="nil"/>
              <w:left w:val="single" w:sz="4" w:space="0" w:color="auto"/>
              <w:bottom w:val="single" w:sz="4" w:space="0" w:color="auto"/>
              <w:right w:val="single" w:sz="4" w:space="0" w:color="auto"/>
            </w:tcBorders>
            <w:shd w:val="clear" w:color="000000" w:fill="FFFFFF"/>
            <w:vAlign w:val="bottom"/>
            <w:hideMark/>
          </w:tcPr>
          <w:p w14:paraId="0CAA1159" w14:textId="77777777" w:rsidR="007B6D63" w:rsidRPr="007B6D63" w:rsidRDefault="007B6D63" w:rsidP="007B6D63">
            <w:pPr>
              <w:spacing w:after="0"/>
              <w:rPr>
                <w:color w:val="auto"/>
                <w:sz w:val="21"/>
                <w:szCs w:val="21"/>
              </w:rPr>
            </w:pPr>
            <w:r w:rsidRPr="007B6D63">
              <w:rPr>
                <w:color w:val="auto"/>
                <w:sz w:val="21"/>
                <w:szCs w:val="21"/>
              </w:rPr>
              <w:t>Αγορά αγαθών και υπηρεσιών</w:t>
            </w:r>
          </w:p>
        </w:tc>
        <w:tc>
          <w:tcPr>
            <w:tcW w:w="1468" w:type="dxa"/>
            <w:tcBorders>
              <w:top w:val="nil"/>
              <w:left w:val="nil"/>
              <w:bottom w:val="single" w:sz="4" w:space="0" w:color="auto"/>
              <w:right w:val="single" w:sz="4" w:space="0" w:color="auto"/>
            </w:tcBorders>
            <w:shd w:val="clear" w:color="000000" w:fill="FFFFFF"/>
            <w:noWrap/>
            <w:vAlign w:val="bottom"/>
            <w:hideMark/>
          </w:tcPr>
          <w:p w14:paraId="73684B09" w14:textId="77777777" w:rsidR="007B6D63" w:rsidRPr="007B6D63" w:rsidRDefault="007B6D63" w:rsidP="007B6D63">
            <w:pPr>
              <w:spacing w:after="0"/>
              <w:jc w:val="center"/>
              <w:rPr>
                <w:color w:val="auto"/>
                <w:sz w:val="21"/>
                <w:szCs w:val="21"/>
              </w:rPr>
            </w:pPr>
            <w:r w:rsidRPr="007B6D63">
              <w:rPr>
                <w:color w:val="auto"/>
                <w:sz w:val="21"/>
                <w:szCs w:val="21"/>
              </w:rPr>
              <w:t>4.091</w:t>
            </w:r>
          </w:p>
        </w:tc>
        <w:tc>
          <w:tcPr>
            <w:tcW w:w="1590" w:type="dxa"/>
            <w:tcBorders>
              <w:top w:val="nil"/>
              <w:left w:val="nil"/>
              <w:bottom w:val="single" w:sz="4" w:space="0" w:color="auto"/>
              <w:right w:val="single" w:sz="4" w:space="0" w:color="auto"/>
            </w:tcBorders>
            <w:shd w:val="clear" w:color="000000" w:fill="FFFFFF"/>
            <w:noWrap/>
            <w:vAlign w:val="bottom"/>
            <w:hideMark/>
          </w:tcPr>
          <w:p w14:paraId="031391F5" w14:textId="77777777" w:rsidR="007B6D63" w:rsidRPr="007B6D63" w:rsidRDefault="007B6D63" w:rsidP="007B6D63">
            <w:pPr>
              <w:spacing w:after="0"/>
              <w:jc w:val="center"/>
              <w:rPr>
                <w:color w:val="auto"/>
                <w:sz w:val="21"/>
                <w:szCs w:val="21"/>
              </w:rPr>
            </w:pPr>
            <w:r w:rsidRPr="007B6D63">
              <w:rPr>
                <w:color w:val="auto"/>
                <w:sz w:val="21"/>
                <w:szCs w:val="21"/>
              </w:rPr>
              <w:t>4.993</w:t>
            </w:r>
          </w:p>
        </w:tc>
        <w:tc>
          <w:tcPr>
            <w:tcW w:w="1835" w:type="dxa"/>
            <w:tcBorders>
              <w:top w:val="nil"/>
              <w:left w:val="nil"/>
              <w:bottom w:val="single" w:sz="4" w:space="0" w:color="auto"/>
              <w:right w:val="single" w:sz="4" w:space="0" w:color="auto"/>
            </w:tcBorders>
            <w:shd w:val="clear" w:color="auto" w:fill="auto"/>
            <w:noWrap/>
            <w:vAlign w:val="bottom"/>
            <w:hideMark/>
          </w:tcPr>
          <w:p w14:paraId="20D316E2" w14:textId="77777777" w:rsidR="007B6D63" w:rsidRPr="007B6D63" w:rsidRDefault="007B6D63" w:rsidP="007B6D63">
            <w:pPr>
              <w:spacing w:after="0"/>
              <w:jc w:val="center"/>
              <w:rPr>
                <w:color w:val="auto"/>
                <w:sz w:val="21"/>
                <w:szCs w:val="21"/>
              </w:rPr>
            </w:pPr>
            <w:r w:rsidRPr="007B6D63">
              <w:rPr>
                <w:color w:val="auto"/>
                <w:sz w:val="21"/>
                <w:szCs w:val="21"/>
              </w:rPr>
              <w:t>22,0%</w:t>
            </w:r>
          </w:p>
        </w:tc>
      </w:tr>
      <w:tr w:rsidR="007B6D63" w:rsidRPr="007B6D63" w14:paraId="22F0D211" w14:textId="77777777" w:rsidTr="007B6D63">
        <w:trPr>
          <w:trHeight w:val="277"/>
        </w:trPr>
        <w:tc>
          <w:tcPr>
            <w:tcW w:w="3421" w:type="dxa"/>
            <w:tcBorders>
              <w:top w:val="nil"/>
              <w:left w:val="single" w:sz="4" w:space="0" w:color="auto"/>
              <w:bottom w:val="single" w:sz="4" w:space="0" w:color="auto"/>
              <w:right w:val="single" w:sz="4" w:space="0" w:color="auto"/>
            </w:tcBorders>
            <w:shd w:val="clear" w:color="000000" w:fill="FFFFFF"/>
            <w:vAlign w:val="bottom"/>
            <w:hideMark/>
          </w:tcPr>
          <w:p w14:paraId="6D799353" w14:textId="77777777" w:rsidR="007B6D63" w:rsidRPr="007B6D63" w:rsidRDefault="007B6D63" w:rsidP="007B6D63">
            <w:pPr>
              <w:spacing w:after="0"/>
              <w:rPr>
                <w:color w:val="auto"/>
                <w:sz w:val="21"/>
                <w:szCs w:val="21"/>
              </w:rPr>
            </w:pPr>
            <w:r w:rsidRPr="007B6D63">
              <w:rPr>
                <w:color w:val="auto"/>
                <w:sz w:val="21"/>
                <w:szCs w:val="21"/>
              </w:rPr>
              <w:t>Επιδοτήσεις</w:t>
            </w:r>
          </w:p>
        </w:tc>
        <w:tc>
          <w:tcPr>
            <w:tcW w:w="1468" w:type="dxa"/>
            <w:tcBorders>
              <w:top w:val="nil"/>
              <w:left w:val="nil"/>
              <w:bottom w:val="single" w:sz="4" w:space="0" w:color="auto"/>
              <w:right w:val="single" w:sz="4" w:space="0" w:color="auto"/>
            </w:tcBorders>
            <w:shd w:val="clear" w:color="000000" w:fill="FFFFFF"/>
            <w:noWrap/>
            <w:vAlign w:val="bottom"/>
            <w:hideMark/>
          </w:tcPr>
          <w:p w14:paraId="6C15BFAD" w14:textId="77777777" w:rsidR="007B6D63" w:rsidRPr="007B6D63" w:rsidRDefault="007B6D63" w:rsidP="007B6D63">
            <w:pPr>
              <w:spacing w:after="0"/>
              <w:jc w:val="center"/>
              <w:rPr>
                <w:color w:val="auto"/>
                <w:sz w:val="21"/>
                <w:szCs w:val="21"/>
              </w:rPr>
            </w:pPr>
            <w:r w:rsidRPr="007B6D63">
              <w:rPr>
                <w:color w:val="auto"/>
                <w:sz w:val="21"/>
                <w:szCs w:val="21"/>
              </w:rPr>
              <w:t>3.738</w:t>
            </w:r>
          </w:p>
        </w:tc>
        <w:tc>
          <w:tcPr>
            <w:tcW w:w="1590" w:type="dxa"/>
            <w:tcBorders>
              <w:top w:val="nil"/>
              <w:left w:val="nil"/>
              <w:bottom w:val="single" w:sz="4" w:space="0" w:color="auto"/>
              <w:right w:val="single" w:sz="4" w:space="0" w:color="auto"/>
            </w:tcBorders>
            <w:shd w:val="clear" w:color="000000" w:fill="FFFFFF"/>
            <w:noWrap/>
            <w:vAlign w:val="bottom"/>
            <w:hideMark/>
          </w:tcPr>
          <w:p w14:paraId="196738AD" w14:textId="77777777" w:rsidR="007B6D63" w:rsidRPr="007B6D63" w:rsidRDefault="007B6D63" w:rsidP="007B6D63">
            <w:pPr>
              <w:spacing w:after="0"/>
              <w:jc w:val="center"/>
              <w:rPr>
                <w:color w:val="auto"/>
                <w:sz w:val="21"/>
                <w:szCs w:val="21"/>
              </w:rPr>
            </w:pPr>
            <w:r w:rsidRPr="007B6D63">
              <w:rPr>
                <w:color w:val="auto"/>
                <w:sz w:val="21"/>
                <w:szCs w:val="21"/>
              </w:rPr>
              <w:t>3.103</w:t>
            </w:r>
          </w:p>
        </w:tc>
        <w:tc>
          <w:tcPr>
            <w:tcW w:w="1835" w:type="dxa"/>
            <w:tcBorders>
              <w:top w:val="nil"/>
              <w:left w:val="nil"/>
              <w:bottom w:val="single" w:sz="4" w:space="0" w:color="auto"/>
              <w:right w:val="single" w:sz="4" w:space="0" w:color="auto"/>
            </w:tcBorders>
            <w:shd w:val="clear" w:color="auto" w:fill="auto"/>
            <w:noWrap/>
            <w:vAlign w:val="bottom"/>
            <w:hideMark/>
          </w:tcPr>
          <w:p w14:paraId="27F5FCD2" w14:textId="77777777" w:rsidR="007B6D63" w:rsidRPr="007B6D63" w:rsidRDefault="007B6D63" w:rsidP="007B6D63">
            <w:pPr>
              <w:spacing w:after="0"/>
              <w:jc w:val="center"/>
              <w:rPr>
                <w:color w:val="auto"/>
                <w:sz w:val="21"/>
                <w:szCs w:val="21"/>
              </w:rPr>
            </w:pPr>
            <w:r w:rsidRPr="007B6D63">
              <w:rPr>
                <w:color w:val="auto"/>
                <w:sz w:val="21"/>
                <w:szCs w:val="21"/>
              </w:rPr>
              <w:t>-17,0%</w:t>
            </w:r>
          </w:p>
        </w:tc>
      </w:tr>
      <w:tr w:rsidR="007B6D63" w:rsidRPr="007B6D63" w14:paraId="6C97C19E" w14:textId="77777777" w:rsidTr="007B6D63">
        <w:trPr>
          <w:trHeight w:val="277"/>
        </w:trPr>
        <w:tc>
          <w:tcPr>
            <w:tcW w:w="3421" w:type="dxa"/>
            <w:tcBorders>
              <w:top w:val="nil"/>
              <w:left w:val="single" w:sz="4" w:space="0" w:color="auto"/>
              <w:bottom w:val="single" w:sz="4" w:space="0" w:color="auto"/>
              <w:right w:val="single" w:sz="4" w:space="0" w:color="auto"/>
            </w:tcBorders>
            <w:shd w:val="clear" w:color="000000" w:fill="FFFFFF"/>
            <w:vAlign w:val="bottom"/>
            <w:hideMark/>
          </w:tcPr>
          <w:p w14:paraId="0BB79E7C" w14:textId="77777777" w:rsidR="007B6D63" w:rsidRPr="007B6D63" w:rsidRDefault="007B6D63" w:rsidP="007B6D63">
            <w:pPr>
              <w:spacing w:after="0"/>
              <w:rPr>
                <w:color w:val="auto"/>
                <w:sz w:val="21"/>
                <w:szCs w:val="21"/>
              </w:rPr>
            </w:pPr>
            <w:r w:rsidRPr="007B6D63">
              <w:rPr>
                <w:color w:val="auto"/>
                <w:sz w:val="21"/>
                <w:szCs w:val="21"/>
              </w:rPr>
              <w:t>Τόκοι καταβληθέντες</w:t>
            </w:r>
          </w:p>
        </w:tc>
        <w:tc>
          <w:tcPr>
            <w:tcW w:w="1468" w:type="dxa"/>
            <w:tcBorders>
              <w:top w:val="nil"/>
              <w:left w:val="nil"/>
              <w:bottom w:val="single" w:sz="4" w:space="0" w:color="auto"/>
              <w:right w:val="single" w:sz="4" w:space="0" w:color="auto"/>
            </w:tcBorders>
            <w:shd w:val="clear" w:color="000000" w:fill="FFFFFF"/>
            <w:noWrap/>
            <w:vAlign w:val="bottom"/>
            <w:hideMark/>
          </w:tcPr>
          <w:p w14:paraId="1E47B964" w14:textId="77777777" w:rsidR="007B6D63" w:rsidRPr="007B6D63" w:rsidRDefault="007B6D63" w:rsidP="007B6D63">
            <w:pPr>
              <w:spacing w:after="0"/>
              <w:jc w:val="center"/>
              <w:rPr>
                <w:color w:val="auto"/>
                <w:sz w:val="21"/>
                <w:szCs w:val="21"/>
              </w:rPr>
            </w:pPr>
            <w:r w:rsidRPr="007B6D63">
              <w:rPr>
                <w:color w:val="auto"/>
                <w:sz w:val="21"/>
                <w:szCs w:val="21"/>
              </w:rPr>
              <w:t>3.739</w:t>
            </w:r>
          </w:p>
        </w:tc>
        <w:tc>
          <w:tcPr>
            <w:tcW w:w="1590" w:type="dxa"/>
            <w:tcBorders>
              <w:top w:val="nil"/>
              <w:left w:val="nil"/>
              <w:bottom w:val="single" w:sz="4" w:space="0" w:color="auto"/>
              <w:right w:val="single" w:sz="4" w:space="0" w:color="auto"/>
            </w:tcBorders>
            <w:shd w:val="clear" w:color="000000" w:fill="FFFFFF"/>
            <w:noWrap/>
            <w:vAlign w:val="bottom"/>
            <w:hideMark/>
          </w:tcPr>
          <w:p w14:paraId="409FE999" w14:textId="77777777" w:rsidR="007B6D63" w:rsidRPr="007B6D63" w:rsidRDefault="007B6D63" w:rsidP="007B6D63">
            <w:pPr>
              <w:spacing w:after="0"/>
              <w:jc w:val="center"/>
              <w:rPr>
                <w:color w:val="auto"/>
                <w:sz w:val="21"/>
                <w:szCs w:val="21"/>
              </w:rPr>
            </w:pPr>
            <w:r w:rsidRPr="007B6D63">
              <w:rPr>
                <w:color w:val="auto"/>
                <w:sz w:val="21"/>
                <w:szCs w:val="21"/>
              </w:rPr>
              <w:t>3.802</w:t>
            </w:r>
          </w:p>
        </w:tc>
        <w:tc>
          <w:tcPr>
            <w:tcW w:w="1835" w:type="dxa"/>
            <w:tcBorders>
              <w:top w:val="nil"/>
              <w:left w:val="nil"/>
              <w:bottom w:val="single" w:sz="4" w:space="0" w:color="auto"/>
              <w:right w:val="single" w:sz="4" w:space="0" w:color="auto"/>
            </w:tcBorders>
            <w:shd w:val="clear" w:color="auto" w:fill="auto"/>
            <w:noWrap/>
            <w:vAlign w:val="bottom"/>
            <w:hideMark/>
          </w:tcPr>
          <w:p w14:paraId="51D17C3B" w14:textId="77777777" w:rsidR="007B6D63" w:rsidRPr="007B6D63" w:rsidRDefault="007B6D63" w:rsidP="007B6D63">
            <w:pPr>
              <w:spacing w:after="0"/>
              <w:jc w:val="center"/>
              <w:rPr>
                <w:color w:val="auto"/>
                <w:sz w:val="21"/>
                <w:szCs w:val="21"/>
              </w:rPr>
            </w:pPr>
            <w:r w:rsidRPr="007B6D63">
              <w:rPr>
                <w:color w:val="auto"/>
                <w:sz w:val="21"/>
                <w:szCs w:val="21"/>
              </w:rPr>
              <w:t>1,7%</w:t>
            </w:r>
          </w:p>
        </w:tc>
      </w:tr>
      <w:tr w:rsidR="007B6D63" w:rsidRPr="007B6D63" w14:paraId="2794BF62" w14:textId="77777777" w:rsidTr="007B6D63">
        <w:trPr>
          <w:trHeight w:val="277"/>
        </w:trPr>
        <w:tc>
          <w:tcPr>
            <w:tcW w:w="3421" w:type="dxa"/>
            <w:tcBorders>
              <w:top w:val="nil"/>
              <w:left w:val="single" w:sz="4" w:space="0" w:color="auto"/>
              <w:bottom w:val="single" w:sz="4" w:space="0" w:color="auto"/>
              <w:right w:val="single" w:sz="4" w:space="0" w:color="auto"/>
            </w:tcBorders>
            <w:shd w:val="clear" w:color="000000" w:fill="FFFFFF"/>
            <w:vAlign w:val="bottom"/>
            <w:hideMark/>
          </w:tcPr>
          <w:p w14:paraId="14EBB09B" w14:textId="77777777" w:rsidR="007B6D63" w:rsidRPr="007B6D63" w:rsidRDefault="007B6D63" w:rsidP="007B6D63">
            <w:pPr>
              <w:spacing w:after="0"/>
              <w:rPr>
                <w:color w:val="auto"/>
                <w:sz w:val="21"/>
                <w:szCs w:val="21"/>
              </w:rPr>
            </w:pPr>
            <w:r w:rsidRPr="007B6D63">
              <w:rPr>
                <w:color w:val="auto"/>
                <w:sz w:val="21"/>
                <w:szCs w:val="21"/>
              </w:rPr>
              <w:t>Λοιπές δαπάνες</w:t>
            </w:r>
          </w:p>
        </w:tc>
        <w:tc>
          <w:tcPr>
            <w:tcW w:w="1468" w:type="dxa"/>
            <w:tcBorders>
              <w:top w:val="nil"/>
              <w:left w:val="nil"/>
              <w:bottom w:val="single" w:sz="4" w:space="0" w:color="auto"/>
              <w:right w:val="single" w:sz="4" w:space="0" w:color="auto"/>
            </w:tcBorders>
            <w:shd w:val="clear" w:color="000000" w:fill="FFFFFF"/>
            <w:noWrap/>
            <w:vAlign w:val="bottom"/>
            <w:hideMark/>
          </w:tcPr>
          <w:p w14:paraId="30E2D47F" w14:textId="77777777" w:rsidR="007B6D63" w:rsidRPr="007B6D63" w:rsidRDefault="007B6D63" w:rsidP="007B6D63">
            <w:pPr>
              <w:spacing w:after="0"/>
              <w:jc w:val="center"/>
              <w:rPr>
                <w:color w:val="auto"/>
                <w:sz w:val="21"/>
                <w:szCs w:val="21"/>
              </w:rPr>
            </w:pPr>
            <w:r w:rsidRPr="007B6D63">
              <w:rPr>
                <w:color w:val="auto"/>
                <w:sz w:val="21"/>
                <w:szCs w:val="21"/>
              </w:rPr>
              <w:t>5</w:t>
            </w:r>
          </w:p>
        </w:tc>
        <w:tc>
          <w:tcPr>
            <w:tcW w:w="1590" w:type="dxa"/>
            <w:tcBorders>
              <w:top w:val="nil"/>
              <w:left w:val="nil"/>
              <w:bottom w:val="single" w:sz="4" w:space="0" w:color="auto"/>
              <w:right w:val="single" w:sz="4" w:space="0" w:color="auto"/>
            </w:tcBorders>
            <w:shd w:val="clear" w:color="000000" w:fill="FFFFFF"/>
            <w:noWrap/>
            <w:vAlign w:val="bottom"/>
            <w:hideMark/>
          </w:tcPr>
          <w:p w14:paraId="08FEC9BB" w14:textId="77777777" w:rsidR="007B6D63" w:rsidRPr="007B6D63" w:rsidRDefault="007B6D63" w:rsidP="007B6D63">
            <w:pPr>
              <w:spacing w:after="0"/>
              <w:jc w:val="center"/>
              <w:rPr>
                <w:color w:val="auto"/>
                <w:sz w:val="21"/>
                <w:szCs w:val="21"/>
              </w:rPr>
            </w:pPr>
            <w:r w:rsidRPr="007B6D63">
              <w:rPr>
                <w:color w:val="auto"/>
                <w:sz w:val="21"/>
                <w:szCs w:val="21"/>
              </w:rPr>
              <w:t>5</w:t>
            </w:r>
          </w:p>
        </w:tc>
        <w:tc>
          <w:tcPr>
            <w:tcW w:w="1835" w:type="dxa"/>
            <w:tcBorders>
              <w:top w:val="nil"/>
              <w:left w:val="nil"/>
              <w:bottom w:val="single" w:sz="4" w:space="0" w:color="auto"/>
              <w:right w:val="single" w:sz="4" w:space="0" w:color="auto"/>
            </w:tcBorders>
            <w:shd w:val="clear" w:color="auto" w:fill="auto"/>
            <w:noWrap/>
            <w:vAlign w:val="bottom"/>
            <w:hideMark/>
          </w:tcPr>
          <w:p w14:paraId="318DCA40" w14:textId="77777777" w:rsidR="007B6D63" w:rsidRPr="007B6D63" w:rsidRDefault="007B6D63" w:rsidP="007B6D63">
            <w:pPr>
              <w:spacing w:after="0"/>
              <w:jc w:val="center"/>
              <w:rPr>
                <w:color w:val="auto"/>
                <w:sz w:val="21"/>
                <w:szCs w:val="21"/>
              </w:rPr>
            </w:pPr>
            <w:r w:rsidRPr="007B6D63">
              <w:rPr>
                <w:color w:val="auto"/>
                <w:sz w:val="21"/>
                <w:szCs w:val="21"/>
              </w:rPr>
              <w:t>0,0%</w:t>
            </w:r>
          </w:p>
        </w:tc>
      </w:tr>
      <w:tr w:rsidR="007B6D63" w:rsidRPr="007B6D63" w14:paraId="3CBE68C6" w14:textId="77777777" w:rsidTr="007B6D63">
        <w:trPr>
          <w:trHeight w:val="679"/>
        </w:trPr>
        <w:tc>
          <w:tcPr>
            <w:tcW w:w="3421" w:type="dxa"/>
            <w:tcBorders>
              <w:top w:val="nil"/>
              <w:left w:val="single" w:sz="4" w:space="0" w:color="auto"/>
              <w:bottom w:val="single" w:sz="4" w:space="0" w:color="auto"/>
              <w:right w:val="single" w:sz="4" w:space="0" w:color="auto"/>
            </w:tcBorders>
            <w:shd w:val="clear" w:color="000000" w:fill="FFFFFF"/>
            <w:vAlign w:val="bottom"/>
            <w:hideMark/>
          </w:tcPr>
          <w:p w14:paraId="107EED0B" w14:textId="77777777" w:rsidR="007B6D63" w:rsidRPr="007B6D63" w:rsidRDefault="007B6D63" w:rsidP="007B6D63">
            <w:pPr>
              <w:spacing w:after="0"/>
              <w:rPr>
                <w:b/>
                <w:color w:val="auto"/>
                <w:sz w:val="21"/>
                <w:szCs w:val="21"/>
              </w:rPr>
            </w:pPr>
            <w:r w:rsidRPr="007B6D63">
              <w:rPr>
                <w:b/>
                <w:color w:val="auto"/>
                <w:sz w:val="21"/>
                <w:szCs w:val="21"/>
              </w:rPr>
              <w:t>Γ.Καθαρή απόκτηση μη χρημ/κών περιουσιακών στοιχείων</w:t>
            </w:r>
          </w:p>
        </w:tc>
        <w:tc>
          <w:tcPr>
            <w:tcW w:w="1468" w:type="dxa"/>
            <w:tcBorders>
              <w:top w:val="nil"/>
              <w:left w:val="nil"/>
              <w:bottom w:val="single" w:sz="4" w:space="0" w:color="auto"/>
              <w:right w:val="single" w:sz="4" w:space="0" w:color="auto"/>
            </w:tcBorders>
            <w:shd w:val="clear" w:color="000000" w:fill="FFFFFF"/>
            <w:noWrap/>
            <w:vAlign w:val="bottom"/>
            <w:hideMark/>
          </w:tcPr>
          <w:p w14:paraId="70587BAF" w14:textId="77777777" w:rsidR="007B6D63" w:rsidRPr="007B6D63" w:rsidRDefault="007B6D63" w:rsidP="007B6D63">
            <w:pPr>
              <w:spacing w:after="0"/>
              <w:jc w:val="center"/>
              <w:rPr>
                <w:b/>
                <w:color w:val="auto"/>
                <w:sz w:val="21"/>
                <w:szCs w:val="21"/>
              </w:rPr>
            </w:pPr>
            <w:r w:rsidRPr="007B6D63">
              <w:rPr>
                <w:b/>
                <w:color w:val="auto"/>
                <w:sz w:val="21"/>
                <w:szCs w:val="21"/>
              </w:rPr>
              <w:t>3.343</w:t>
            </w:r>
          </w:p>
        </w:tc>
        <w:tc>
          <w:tcPr>
            <w:tcW w:w="1590" w:type="dxa"/>
            <w:tcBorders>
              <w:top w:val="nil"/>
              <w:left w:val="nil"/>
              <w:bottom w:val="single" w:sz="4" w:space="0" w:color="auto"/>
              <w:right w:val="single" w:sz="4" w:space="0" w:color="auto"/>
            </w:tcBorders>
            <w:shd w:val="clear" w:color="000000" w:fill="FFFFFF"/>
            <w:noWrap/>
            <w:vAlign w:val="bottom"/>
            <w:hideMark/>
          </w:tcPr>
          <w:p w14:paraId="0D8DEDBA" w14:textId="77777777" w:rsidR="007B6D63" w:rsidRPr="007B6D63" w:rsidRDefault="007B6D63" w:rsidP="007B6D63">
            <w:pPr>
              <w:spacing w:after="0"/>
              <w:jc w:val="center"/>
              <w:rPr>
                <w:b/>
                <w:color w:val="auto"/>
                <w:sz w:val="21"/>
                <w:szCs w:val="21"/>
              </w:rPr>
            </w:pPr>
            <w:r w:rsidRPr="007B6D63">
              <w:rPr>
                <w:b/>
                <w:color w:val="auto"/>
                <w:sz w:val="21"/>
                <w:szCs w:val="21"/>
              </w:rPr>
              <w:t>5.756</w:t>
            </w:r>
          </w:p>
        </w:tc>
        <w:tc>
          <w:tcPr>
            <w:tcW w:w="1835" w:type="dxa"/>
            <w:tcBorders>
              <w:top w:val="nil"/>
              <w:left w:val="nil"/>
              <w:bottom w:val="single" w:sz="4" w:space="0" w:color="auto"/>
              <w:right w:val="single" w:sz="4" w:space="0" w:color="auto"/>
            </w:tcBorders>
            <w:shd w:val="clear" w:color="auto" w:fill="auto"/>
            <w:noWrap/>
            <w:vAlign w:val="bottom"/>
            <w:hideMark/>
          </w:tcPr>
          <w:p w14:paraId="18E5A382" w14:textId="77777777" w:rsidR="007B6D63" w:rsidRPr="007B6D63" w:rsidRDefault="007B6D63" w:rsidP="007B6D63">
            <w:pPr>
              <w:spacing w:after="0"/>
              <w:jc w:val="center"/>
              <w:rPr>
                <w:b/>
                <w:color w:val="auto"/>
                <w:sz w:val="21"/>
                <w:szCs w:val="21"/>
              </w:rPr>
            </w:pPr>
            <w:r w:rsidRPr="007B6D63">
              <w:rPr>
                <w:b/>
                <w:color w:val="auto"/>
                <w:sz w:val="21"/>
                <w:szCs w:val="21"/>
              </w:rPr>
              <w:t>72,2%</w:t>
            </w:r>
          </w:p>
        </w:tc>
      </w:tr>
      <w:tr w:rsidR="007B6D63" w:rsidRPr="007B6D63" w14:paraId="3595D797" w14:textId="77777777" w:rsidTr="007B6D63">
        <w:trPr>
          <w:trHeight w:val="390"/>
        </w:trPr>
        <w:tc>
          <w:tcPr>
            <w:tcW w:w="3421"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FC656C2" w14:textId="77777777" w:rsidR="007B6D63" w:rsidRPr="007B6D63" w:rsidRDefault="007B6D63" w:rsidP="007B6D63">
            <w:pPr>
              <w:spacing w:after="0"/>
              <w:rPr>
                <w:b/>
                <w:color w:val="auto"/>
                <w:sz w:val="21"/>
                <w:szCs w:val="21"/>
              </w:rPr>
            </w:pPr>
            <w:r w:rsidRPr="007B6D63">
              <w:rPr>
                <w:b/>
                <w:color w:val="auto"/>
                <w:sz w:val="21"/>
                <w:szCs w:val="21"/>
              </w:rPr>
              <w:t>Ισοζύγιο (έλλειμμα) ( Α-Β-Γ)</w:t>
            </w:r>
          </w:p>
        </w:tc>
        <w:tc>
          <w:tcPr>
            <w:tcW w:w="1468" w:type="dxa"/>
            <w:tcBorders>
              <w:top w:val="nil"/>
              <w:left w:val="nil"/>
              <w:bottom w:val="single" w:sz="4" w:space="0" w:color="auto"/>
              <w:right w:val="single" w:sz="4" w:space="0" w:color="auto"/>
            </w:tcBorders>
            <w:shd w:val="clear" w:color="auto" w:fill="F2F2F2" w:themeFill="background1" w:themeFillShade="F2"/>
            <w:noWrap/>
            <w:vAlign w:val="bottom"/>
            <w:hideMark/>
          </w:tcPr>
          <w:p w14:paraId="26FB40B9" w14:textId="77777777" w:rsidR="007B6D63" w:rsidRPr="007B6D63" w:rsidRDefault="007B6D63" w:rsidP="007B6D63">
            <w:pPr>
              <w:spacing w:after="0"/>
              <w:jc w:val="center"/>
              <w:rPr>
                <w:b/>
                <w:color w:val="auto"/>
                <w:sz w:val="21"/>
                <w:szCs w:val="21"/>
              </w:rPr>
            </w:pPr>
            <w:r w:rsidRPr="007B6D63">
              <w:rPr>
                <w:b/>
                <w:color w:val="auto"/>
                <w:sz w:val="21"/>
                <w:szCs w:val="21"/>
              </w:rPr>
              <w:t>-8.961</w:t>
            </w:r>
          </w:p>
        </w:tc>
        <w:tc>
          <w:tcPr>
            <w:tcW w:w="1590" w:type="dxa"/>
            <w:tcBorders>
              <w:top w:val="nil"/>
              <w:left w:val="nil"/>
              <w:bottom w:val="single" w:sz="4" w:space="0" w:color="auto"/>
              <w:right w:val="single" w:sz="4" w:space="0" w:color="auto"/>
            </w:tcBorders>
            <w:shd w:val="clear" w:color="auto" w:fill="F2F2F2" w:themeFill="background1" w:themeFillShade="F2"/>
            <w:noWrap/>
            <w:vAlign w:val="bottom"/>
            <w:hideMark/>
          </w:tcPr>
          <w:p w14:paraId="0FEEB095" w14:textId="77777777" w:rsidR="007B6D63" w:rsidRPr="007B6D63" w:rsidRDefault="007B6D63" w:rsidP="007B6D63">
            <w:pPr>
              <w:spacing w:after="0"/>
              <w:jc w:val="center"/>
              <w:rPr>
                <w:b/>
                <w:color w:val="auto"/>
                <w:sz w:val="21"/>
                <w:szCs w:val="21"/>
              </w:rPr>
            </w:pPr>
            <w:r w:rsidRPr="007B6D63">
              <w:rPr>
                <w:b/>
                <w:color w:val="auto"/>
                <w:sz w:val="21"/>
                <w:szCs w:val="21"/>
              </w:rPr>
              <w:t>-9.546</w:t>
            </w:r>
          </w:p>
        </w:tc>
        <w:tc>
          <w:tcPr>
            <w:tcW w:w="1835" w:type="dxa"/>
            <w:tcBorders>
              <w:top w:val="nil"/>
              <w:left w:val="nil"/>
              <w:bottom w:val="single" w:sz="4" w:space="0" w:color="auto"/>
              <w:right w:val="single" w:sz="4" w:space="0" w:color="auto"/>
            </w:tcBorders>
            <w:shd w:val="clear" w:color="auto" w:fill="F2F2F2" w:themeFill="background1" w:themeFillShade="F2"/>
            <w:noWrap/>
            <w:vAlign w:val="bottom"/>
            <w:hideMark/>
          </w:tcPr>
          <w:p w14:paraId="52F90085" w14:textId="77777777" w:rsidR="007B6D63" w:rsidRPr="007B6D63" w:rsidRDefault="007B6D63" w:rsidP="007B6D63">
            <w:pPr>
              <w:spacing w:after="0"/>
              <w:jc w:val="center"/>
              <w:rPr>
                <w:b/>
                <w:color w:val="auto"/>
                <w:sz w:val="21"/>
                <w:szCs w:val="21"/>
              </w:rPr>
            </w:pPr>
            <w:r w:rsidRPr="007B6D63">
              <w:rPr>
                <w:b/>
                <w:color w:val="auto"/>
                <w:sz w:val="21"/>
                <w:szCs w:val="21"/>
              </w:rPr>
              <w:t>6,5%</w:t>
            </w:r>
          </w:p>
        </w:tc>
      </w:tr>
      <w:tr w:rsidR="007B6D63" w:rsidRPr="007B6D63" w14:paraId="6D7D78C3" w14:textId="77777777" w:rsidTr="007B6D63">
        <w:trPr>
          <w:trHeight w:val="383"/>
        </w:trPr>
        <w:tc>
          <w:tcPr>
            <w:tcW w:w="3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07C9D90" w14:textId="77777777" w:rsidR="007B6D63" w:rsidRPr="007B6D63" w:rsidRDefault="007B6D63" w:rsidP="007B6D63">
            <w:pPr>
              <w:spacing w:after="0"/>
              <w:rPr>
                <w:b/>
                <w:i/>
                <w:color w:val="auto"/>
                <w:sz w:val="21"/>
                <w:szCs w:val="21"/>
              </w:rPr>
            </w:pPr>
            <w:r w:rsidRPr="007B6D63">
              <w:rPr>
                <w:b/>
                <w:i/>
                <w:color w:val="auto"/>
                <w:sz w:val="21"/>
                <w:szCs w:val="21"/>
              </w:rPr>
              <w:t>Ισοζύγιο (έλλειμμα) ως % ΑΕΠ</w:t>
            </w:r>
          </w:p>
        </w:tc>
        <w:tc>
          <w:tcPr>
            <w:tcW w:w="1468"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57B571C1" w14:textId="77777777" w:rsidR="007B6D63" w:rsidRPr="007B6D63" w:rsidRDefault="007B6D63" w:rsidP="007B6D63">
            <w:pPr>
              <w:spacing w:after="0"/>
              <w:jc w:val="center"/>
              <w:rPr>
                <w:b/>
                <w:i/>
                <w:color w:val="auto"/>
                <w:sz w:val="21"/>
                <w:szCs w:val="21"/>
              </w:rPr>
            </w:pPr>
            <w:r w:rsidRPr="007B6D63">
              <w:rPr>
                <w:b/>
                <w:i/>
                <w:color w:val="auto"/>
                <w:sz w:val="21"/>
                <w:szCs w:val="21"/>
              </w:rPr>
              <w:t>-5,4%</w:t>
            </w:r>
          </w:p>
        </w:tc>
        <w:tc>
          <w:tcPr>
            <w:tcW w:w="159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66D9EE26" w14:textId="77777777" w:rsidR="007B6D63" w:rsidRPr="007B6D63" w:rsidRDefault="007B6D63" w:rsidP="007B6D63">
            <w:pPr>
              <w:spacing w:after="0"/>
              <w:jc w:val="center"/>
              <w:rPr>
                <w:b/>
                <w:i/>
                <w:color w:val="auto"/>
                <w:sz w:val="21"/>
                <w:szCs w:val="21"/>
              </w:rPr>
            </w:pPr>
            <w:r w:rsidRPr="007B6D63">
              <w:rPr>
                <w:b/>
                <w:i/>
                <w:color w:val="auto"/>
                <w:sz w:val="21"/>
                <w:szCs w:val="21"/>
              </w:rPr>
              <w:t>-5,5%</w:t>
            </w:r>
          </w:p>
        </w:tc>
        <w:tc>
          <w:tcPr>
            <w:tcW w:w="1835"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51921D5E" w14:textId="77777777" w:rsidR="007B6D63" w:rsidRPr="007B6D63" w:rsidRDefault="007B6D63" w:rsidP="007B6D63">
            <w:pPr>
              <w:spacing w:after="0"/>
              <w:jc w:val="center"/>
              <w:rPr>
                <w:b/>
                <w:i/>
                <w:color w:val="auto"/>
                <w:sz w:val="21"/>
                <w:szCs w:val="21"/>
              </w:rPr>
            </w:pPr>
          </w:p>
        </w:tc>
      </w:tr>
      <w:tr w:rsidR="007B6D63" w:rsidRPr="007B6D63" w14:paraId="042616EE" w14:textId="77777777" w:rsidTr="007B6D63">
        <w:trPr>
          <w:trHeight w:val="380"/>
        </w:trPr>
        <w:tc>
          <w:tcPr>
            <w:tcW w:w="3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018EB3F9" w14:textId="77777777" w:rsidR="007B6D63" w:rsidRPr="007B6D63" w:rsidRDefault="007B6D63" w:rsidP="007B6D63">
            <w:pPr>
              <w:spacing w:after="0"/>
              <w:rPr>
                <w:b/>
                <w:color w:val="auto"/>
                <w:sz w:val="21"/>
                <w:szCs w:val="21"/>
              </w:rPr>
            </w:pPr>
            <w:r w:rsidRPr="007B6D63">
              <w:rPr>
                <w:b/>
                <w:color w:val="auto"/>
                <w:sz w:val="21"/>
                <w:szCs w:val="21"/>
              </w:rPr>
              <w:t xml:space="preserve">Πρωτογενές έλλειμμα </w:t>
            </w:r>
          </w:p>
        </w:tc>
        <w:tc>
          <w:tcPr>
            <w:tcW w:w="1468"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A9B16EC" w14:textId="77777777" w:rsidR="007B6D63" w:rsidRPr="007B6D63" w:rsidRDefault="007B6D63" w:rsidP="007B6D63">
            <w:pPr>
              <w:spacing w:after="0"/>
              <w:jc w:val="center"/>
              <w:rPr>
                <w:b/>
                <w:color w:val="auto"/>
                <w:sz w:val="21"/>
                <w:szCs w:val="21"/>
              </w:rPr>
            </w:pPr>
            <w:r w:rsidRPr="007B6D63">
              <w:rPr>
                <w:b/>
                <w:color w:val="auto"/>
                <w:sz w:val="21"/>
                <w:szCs w:val="21"/>
              </w:rPr>
              <w:t>-5.222</w:t>
            </w:r>
          </w:p>
        </w:tc>
        <w:tc>
          <w:tcPr>
            <w:tcW w:w="159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ACB2FCF" w14:textId="77777777" w:rsidR="007B6D63" w:rsidRPr="007B6D63" w:rsidRDefault="007B6D63" w:rsidP="007B6D63">
            <w:pPr>
              <w:spacing w:after="0"/>
              <w:jc w:val="center"/>
              <w:rPr>
                <w:b/>
                <w:color w:val="auto"/>
                <w:sz w:val="21"/>
                <w:szCs w:val="21"/>
              </w:rPr>
            </w:pPr>
            <w:r w:rsidRPr="007B6D63">
              <w:rPr>
                <w:b/>
                <w:color w:val="auto"/>
                <w:sz w:val="21"/>
                <w:szCs w:val="21"/>
              </w:rPr>
              <w:t>-5.744</w:t>
            </w:r>
          </w:p>
        </w:tc>
        <w:tc>
          <w:tcPr>
            <w:tcW w:w="1835"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2FF5CF7F" w14:textId="77777777" w:rsidR="007B6D63" w:rsidRPr="007B6D63" w:rsidRDefault="007B6D63" w:rsidP="007B6D63">
            <w:pPr>
              <w:spacing w:after="0"/>
              <w:jc w:val="center"/>
              <w:rPr>
                <w:b/>
                <w:color w:val="auto"/>
                <w:sz w:val="21"/>
                <w:szCs w:val="21"/>
              </w:rPr>
            </w:pPr>
            <w:r w:rsidRPr="007B6D63">
              <w:rPr>
                <w:b/>
                <w:color w:val="auto"/>
                <w:sz w:val="21"/>
                <w:szCs w:val="21"/>
              </w:rPr>
              <w:t>10,0 %</w:t>
            </w:r>
          </w:p>
        </w:tc>
      </w:tr>
      <w:tr w:rsidR="007B6D63" w:rsidRPr="007B6D63" w14:paraId="425983C3" w14:textId="77777777" w:rsidTr="007B6D63">
        <w:trPr>
          <w:trHeight w:val="380"/>
        </w:trPr>
        <w:tc>
          <w:tcPr>
            <w:tcW w:w="3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44A4921" w14:textId="77777777" w:rsidR="007B6D63" w:rsidRPr="007B6D63" w:rsidRDefault="007B6D63" w:rsidP="007B6D63">
            <w:pPr>
              <w:spacing w:after="0"/>
              <w:rPr>
                <w:b/>
                <w:i/>
                <w:color w:val="auto"/>
                <w:sz w:val="21"/>
                <w:szCs w:val="21"/>
              </w:rPr>
            </w:pPr>
            <w:r w:rsidRPr="007B6D63">
              <w:rPr>
                <w:b/>
                <w:i/>
                <w:color w:val="auto"/>
                <w:sz w:val="21"/>
                <w:szCs w:val="21"/>
              </w:rPr>
              <w:t>Πρωτογενές έλλειμμα ως % ΑΕΠ</w:t>
            </w:r>
          </w:p>
        </w:tc>
        <w:tc>
          <w:tcPr>
            <w:tcW w:w="1468"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70E45851" w14:textId="77777777" w:rsidR="007B6D63" w:rsidRPr="007B6D63" w:rsidRDefault="007B6D63" w:rsidP="007B6D63">
            <w:pPr>
              <w:spacing w:after="0"/>
              <w:jc w:val="center"/>
              <w:rPr>
                <w:b/>
                <w:i/>
                <w:color w:val="auto"/>
                <w:sz w:val="21"/>
                <w:szCs w:val="21"/>
              </w:rPr>
            </w:pPr>
            <w:r w:rsidRPr="007B6D63">
              <w:rPr>
                <w:b/>
                <w:i/>
                <w:color w:val="auto"/>
                <w:sz w:val="21"/>
                <w:szCs w:val="21"/>
              </w:rPr>
              <w:t>-3,2%</w:t>
            </w:r>
          </w:p>
        </w:tc>
        <w:tc>
          <w:tcPr>
            <w:tcW w:w="1590"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031D19C2" w14:textId="77777777" w:rsidR="007B6D63" w:rsidRPr="007B6D63" w:rsidRDefault="007B6D63" w:rsidP="007B6D63">
            <w:pPr>
              <w:spacing w:after="0"/>
              <w:jc w:val="center"/>
              <w:rPr>
                <w:b/>
                <w:i/>
                <w:color w:val="auto"/>
                <w:sz w:val="21"/>
                <w:szCs w:val="21"/>
              </w:rPr>
            </w:pPr>
            <w:r w:rsidRPr="007B6D63">
              <w:rPr>
                <w:b/>
                <w:i/>
                <w:color w:val="auto"/>
                <w:sz w:val="21"/>
                <w:szCs w:val="21"/>
              </w:rPr>
              <w:t>-3,3%</w:t>
            </w:r>
          </w:p>
        </w:tc>
        <w:tc>
          <w:tcPr>
            <w:tcW w:w="1835" w:type="dxa"/>
            <w:tcBorders>
              <w:top w:val="single" w:sz="4" w:space="0" w:color="auto"/>
              <w:left w:val="nil"/>
              <w:bottom w:val="single" w:sz="4" w:space="0" w:color="auto"/>
              <w:right w:val="single" w:sz="4" w:space="0" w:color="auto"/>
            </w:tcBorders>
            <w:shd w:val="clear" w:color="auto" w:fill="F2F2F2" w:themeFill="background1" w:themeFillShade="F2"/>
            <w:noWrap/>
            <w:vAlign w:val="bottom"/>
          </w:tcPr>
          <w:p w14:paraId="0E71E48C" w14:textId="77777777" w:rsidR="007B6D63" w:rsidRPr="007B6D63" w:rsidRDefault="007B6D63" w:rsidP="007B6D63">
            <w:pPr>
              <w:spacing w:after="0"/>
              <w:jc w:val="center"/>
              <w:rPr>
                <w:b/>
                <w:i/>
                <w:color w:val="auto"/>
                <w:sz w:val="21"/>
                <w:szCs w:val="21"/>
                <w:lang w:val="en-US"/>
              </w:rPr>
            </w:pPr>
          </w:p>
        </w:tc>
      </w:tr>
    </w:tbl>
    <w:p w14:paraId="7F20A375" w14:textId="77777777" w:rsidR="007B6D63" w:rsidRPr="007B6D63" w:rsidRDefault="007B6D63" w:rsidP="007B6D63">
      <w:pPr>
        <w:spacing w:after="0" w:line="240" w:lineRule="auto"/>
        <w:rPr>
          <w:i/>
          <w:color w:val="00B0F0"/>
          <w:sz w:val="18"/>
          <w:szCs w:val="18"/>
        </w:rPr>
      </w:pPr>
      <w:r w:rsidRPr="00DD1570">
        <w:rPr>
          <w:i/>
          <w:sz w:val="18"/>
          <w:szCs w:val="18"/>
        </w:rPr>
        <w:t>Πηγή</w:t>
      </w:r>
      <w:r w:rsidRPr="007B6D63">
        <w:rPr>
          <w:i/>
          <w:color w:val="00B0F0"/>
          <w:sz w:val="18"/>
          <w:szCs w:val="18"/>
        </w:rPr>
        <w:t>: Δελτίο Μηναίων Στοιχείων Γενικής Κυβέρνησης Σεπτεμβρίου 2021, βάση δεδομένων ΓΛΚ, ΜΠΔΣ 2022-2025</w:t>
      </w:r>
    </w:p>
    <w:p w14:paraId="2EE2E734" w14:textId="77777777" w:rsidR="006A5A78" w:rsidRDefault="006A5A78" w:rsidP="007B6D63">
      <w:pPr>
        <w:spacing w:after="160" w:line="360" w:lineRule="auto"/>
        <w:rPr>
          <w:color w:val="auto"/>
        </w:rPr>
      </w:pPr>
    </w:p>
    <w:p w14:paraId="24D55D8B" w14:textId="43159ADD" w:rsidR="007B6D63" w:rsidRPr="007B6D63" w:rsidRDefault="006A5A78" w:rsidP="006A5A78">
      <w:pPr>
        <w:spacing w:after="160"/>
        <w:rPr>
          <w:color w:val="auto"/>
        </w:rPr>
      </w:pPr>
      <w:r>
        <w:rPr>
          <w:color w:val="auto"/>
        </w:rPr>
        <w:t>Ο</w:t>
      </w:r>
      <w:r w:rsidR="007B6D63" w:rsidRPr="007B6D63">
        <w:rPr>
          <w:color w:val="auto"/>
        </w:rPr>
        <w:t xml:space="preserve">ι δαπάνες της ΓΚ παρουσιάζουν σημαντική αύξηση κατά 8,1% σε σχέση με πέρυσι και διαμορφώνονται σε 63.561 εκατ. ευρώ. Η σημαντικότερη αύξηση εμφανίζεται στις μεταβιβάσεις (61%) και συνδέεται με τα μέτρα στήριξης της οικονομίας λόγω της πανδημικής κρίσης. </w:t>
      </w:r>
    </w:p>
    <w:p w14:paraId="470F5B0A" w14:textId="36081CE9" w:rsidR="007B6D63" w:rsidRPr="007B6D63" w:rsidRDefault="007B6D63" w:rsidP="006A5A78">
      <w:pPr>
        <w:spacing w:after="160"/>
      </w:pPr>
      <w:r w:rsidRPr="007B6D63">
        <w:rPr>
          <w:color w:val="auto"/>
        </w:rPr>
        <w:t xml:space="preserve">Το δημοσιονομικό αποτέλεσμα παραμένει αρνητικό κατά 9.546 εκατ.  ευρώ,  επιβαρυμένο κατά 585 εκατ. ευρώ σε σχέση με πέρυσι ενώ το πρωτογενές έλλειμμα </w:t>
      </w:r>
      <w:r w:rsidRPr="006A5A78">
        <w:rPr>
          <w:color w:val="auto"/>
        </w:rPr>
        <w:t>διαμορφώνεται στα  5.744 εκατ. ευρώ (3,3% του ΑΕΠ), αυξημένο κατά 522 εκατ. ευρώ, σε σχέση με το 2020. Σημειώνεται πάντως ότι το πρωτογενές έλλειμμα σε επίπεδο ΓΚ ως ποσοστό του ΑΕΠ βαίνει μειούμενο (</w:t>
      </w:r>
      <w:r w:rsidR="006A5A78">
        <w:rPr>
          <w:color w:val="auto"/>
        </w:rPr>
        <w:fldChar w:fldCharType="begin"/>
      </w:r>
      <w:r w:rsidR="006A5A78">
        <w:rPr>
          <w:color w:val="auto"/>
        </w:rPr>
        <w:instrText xml:space="preserve"> REF _Ref87963643 \h </w:instrText>
      </w:r>
      <w:r w:rsidR="006A5A78">
        <w:rPr>
          <w:color w:val="auto"/>
        </w:rPr>
      </w:r>
      <w:r w:rsidR="006A5A78">
        <w:rPr>
          <w:color w:val="auto"/>
        </w:rPr>
        <w:fldChar w:fldCharType="separate"/>
      </w:r>
      <w:r w:rsidR="0038196B" w:rsidRPr="00F87DDD">
        <w:rPr>
          <w:b/>
          <w:bCs/>
        </w:rPr>
        <w:t xml:space="preserve">Διάγραμμα </w:t>
      </w:r>
      <w:r w:rsidR="0038196B">
        <w:rPr>
          <w:b/>
          <w:bCs/>
          <w:noProof/>
        </w:rPr>
        <w:t>27</w:t>
      </w:r>
      <w:r w:rsidR="006A5A78">
        <w:rPr>
          <w:color w:val="auto"/>
        </w:rPr>
        <w:fldChar w:fldCharType="end"/>
      </w:r>
      <w:r w:rsidRPr="006A5A78">
        <w:rPr>
          <w:color w:val="auto"/>
        </w:rPr>
        <w:t xml:space="preserve">) κυρίως ως αποτέλεσμα της ανάκαμψης της οικονομίας, λόγω της άρσης των περιοριστικών μέτρων, αλλά και της ισχυρής ανάκαμψης της τουριστικής κίνησης σε σχέση με πέρυσι. Επιπλέον, οι δαπάνες σε επίπεδο ΓΚ δεν αναμένεται να αυξηθούν σημαντικά μέχρι το τέλος του έτους. </w:t>
      </w:r>
    </w:p>
    <w:p w14:paraId="33246E05" w14:textId="7FEF2312" w:rsidR="007B6D63" w:rsidRPr="007B6D63" w:rsidRDefault="007B6D63" w:rsidP="006A5A78">
      <w:pPr>
        <w:pStyle w:val="Web"/>
        <w:shd w:val="clear" w:color="auto" w:fill="FFFFFF"/>
        <w:spacing w:before="0" w:beforeAutospacing="0" w:after="150" w:afterAutospacing="0" w:line="276" w:lineRule="auto"/>
        <w:jc w:val="both"/>
        <w:rPr>
          <w:rFonts w:ascii="Trebuchet MS" w:eastAsiaTheme="minorHAnsi" w:hAnsi="Trebuchet MS" w:cstheme="minorBidi"/>
          <w:sz w:val="22"/>
          <w:szCs w:val="22"/>
          <w:lang w:eastAsia="en-US"/>
        </w:rPr>
      </w:pPr>
      <w:r w:rsidRPr="007B6D63">
        <w:rPr>
          <w:rFonts w:ascii="Trebuchet MS" w:eastAsiaTheme="minorHAnsi" w:hAnsi="Trebuchet MS" w:cstheme="minorBidi"/>
          <w:sz w:val="22"/>
          <w:szCs w:val="22"/>
          <w:lang w:eastAsia="en-US"/>
        </w:rPr>
        <w:t>Υπό το</w:t>
      </w:r>
      <w:r w:rsidR="007735B6">
        <w:rPr>
          <w:rFonts w:ascii="Trebuchet MS" w:eastAsiaTheme="minorHAnsi" w:hAnsi="Trebuchet MS" w:cstheme="minorBidi"/>
          <w:sz w:val="22"/>
          <w:szCs w:val="22"/>
          <w:lang w:eastAsia="en-US"/>
        </w:rPr>
        <w:t xml:space="preserve"> πρίσμα αυτό  διατηρείται η εκτίμησή </w:t>
      </w:r>
      <w:r w:rsidRPr="007B6D63">
        <w:rPr>
          <w:rFonts w:ascii="Trebuchet MS" w:eastAsiaTheme="minorHAnsi" w:hAnsi="Trebuchet MS" w:cstheme="minorBidi"/>
          <w:sz w:val="22"/>
          <w:szCs w:val="22"/>
          <w:lang w:eastAsia="en-US"/>
        </w:rPr>
        <w:t xml:space="preserve">μας για διαμόρφωση του πρωτογενούς ελλείμματος 2021 εντός </w:t>
      </w:r>
      <w:r w:rsidR="0028351C">
        <w:rPr>
          <w:rFonts w:ascii="Trebuchet MS" w:eastAsiaTheme="minorHAnsi" w:hAnsi="Trebuchet MS" w:cstheme="minorBidi"/>
          <w:sz w:val="22"/>
          <w:szCs w:val="22"/>
          <w:lang w:eastAsia="en-US"/>
        </w:rPr>
        <w:t xml:space="preserve">του </w:t>
      </w:r>
      <w:r w:rsidRPr="007B6D63">
        <w:rPr>
          <w:rFonts w:ascii="Trebuchet MS" w:eastAsiaTheme="minorHAnsi" w:hAnsi="Trebuchet MS" w:cstheme="minorBidi"/>
          <w:sz w:val="22"/>
          <w:szCs w:val="22"/>
          <w:lang w:eastAsia="en-US"/>
        </w:rPr>
        <w:t xml:space="preserve">στόχου </w:t>
      </w:r>
      <w:r w:rsidR="0028351C">
        <w:rPr>
          <w:rFonts w:ascii="Trebuchet MS" w:eastAsiaTheme="minorHAnsi" w:hAnsi="Trebuchet MS" w:cstheme="minorBidi"/>
          <w:sz w:val="22"/>
          <w:szCs w:val="22"/>
          <w:lang w:eastAsia="en-US"/>
        </w:rPr>
        <w:t xml:space="preserve">του </w:t>
      </w:r>
      <w:r w:rsidRPr="007B6D63">
        <w:rPr>
          <w:rFonts w:ascii="Trebuchet MS" w:eastAsiaTheme="minorHAnsi" w:hAnsi="Trebuchet MS" w:cstheme="minorBidi"/>
          <w:sz w:val="22"/>
          <w:szCs w:val="22"/>
          <w:lang w:eastAsia="en-US"/>
        </w:rPr>
        <w:t xml:space="preserve">ΜΠΔΣ 2022-2025, δηλαδή περί το  7% του ΑΕΠ, πιθανώς και χαμηλότερα. </w:t>
      </w:r>
    </w:p>
    <w:p w14:paraId="179D8911" w14:textId="77777777" w:rsidR="007B6D63" w:rsidRPr="00DD1570" w:rsidRDefault="007B6D63" w:rsidP="007B6D63">
      <w:pPr>
        <w:spacing w:after="0" w:line="240" w:lineRule="auto"/>
        <w:rPr>
          <w:i/>
          <w:sz w:val="18"/>
          <w:szCs w:val="18"/>
        </w:rPr>
      </w:pPr>
    </w:p>
    <w:p w14:paraId="119FFD16" w14:textId="02387A8B" w:rsidR="007B6D63" w:rsidRPr="0070234D" w:rsidRDefault="006A5A78" w:rsidP="006A5A78">
      <w:pPr>
        <w:spacing w:after="0" w:line="240" w:lineRule="auto"/>
        <w:rPr>
          <w:b/>
        </w:rPr>
      </w:pPr>
      <w:bookmarkStart w:id="123" w:name="_Ref87963643"/>
      <w:bookmarkStart w:id="124" w:name="_Toc89172889"/>
      <w:r w:rsidRPr="00F87DDD">
        <w:rPr>
          <w:b/>
          <w:bCs/>
        </w:rPr>
        <w:lastRenderedPageBreak/>
        <w:t xml:space="preserve">Διάγραμμα </w:t>
      </w:r>
      <w:r w:rsidRPr="00F87DDD">
        <w:rPr>
          <w:b/>
          <w:bCs/>
        </w:rPr>
        <w:fldChar w:fldCharType="begin"/>
      </w:r>
      <w:r w:rsidRPr="00F87DDD">
        <w:rPr>
          <w:b/>
          <w:bCs/>
        </w:rPr>
        <w:instrText xml:space="preserve"> SEQ Διάγραμμα \* ARABIC </w:instrText>
      </w:r>
      <w:r w:rsidRPr="00F87DDD">
        <w:rPr>
          <w:b/>
          <w:bCs/>
        </w:rPr>
        <w:fldChar w:fldCharType="separate"/>
      </w:r>
      <w:r w:rsidR="0038196B">
        <w:rPr>
          <w:b/>
          <w:bCs/>
          <w:noProof/>
        </w:rPr>
        <w:t>27</w:t>
      </w:r>
      <w:r w:rsidRPr="00F87DDD">
        <w:rPr>
          <w:b/>
          <w:bCs/>
        </w:rPr>
        <w:fldChar w:fldCharType="end"/>
      </w:r>
      <w:bookmarkEnd w:id="123"/>
      <w:r w:rsidRPr="00F87DDD">
        <w:rPr>
          <w:b/>
          <w:bCs/>
          <w:sz w:val="20"/>
          <w:szCs w:val="20"/>
        </w:rPr>
        <w:t>:</w:t>
      </w:r>
      <w:r w:rsidRPr="00F87DDD">
        <w:rPr>
          <w:b/>
          <w:sz w:val="20"/>
          <w:szCs w:val="20"/>
        </w:rPr>
        <w:t xml:space="preserve"> </w:t>
      </w:r>
      <w:r w:rsidR="007B6D63" w:rsidRPr="006A5A78">
        <w:rPr>
          <w:color w:val="00A3E0"/>
          <w:sz w:val="20"/>
          <w:szCs w:val="20"/>
        </w:rPr>
        <w:t xml:space="preserve">Μηνιαία αποτύπωση πρωτογενούς ελλείμματος Γενικής Κυβέρνησης </w:t>
      </w:r>
      <w:r w:rsidRPr="006A5A78">
        <w:rPr>
          <w:color w:val="00A3E0"/>
          <w:sz w:val="20"/>
          <w:szCs w:val="20"/>
        </w:rPr>
        <w:t>2021</w:t>
      </w:r>
      <w:bookmarkEnd w:id="124"/>
    </w:p>
    <w:p w14:paraId="41BCF967" w14:textId="77777777" w:rsidR="007B6D63" w:rsidRDefault="007B6D63" w:rsidP="007B6D63">
      <w:pPr>
        <w:rPr>
          <w:b/>
          <w:sz w:val="28"/>
          <w:szCs w:val="28"/>
          <w:u w:val="single"/>
        </w:rPr>
      </w:pPr>
      <w:r>
        <w:rPr>
          <w:noProof/>
          <w:lang w:eastAsia="el-GR"/>
        </w:rPr>
        <w:drawing>
          <wp:inline distT="0" distB="0" distL="0" distR="0" wp14:anchorId="58C253C5" wp14:editId="4CAA123B">
            <wp:extent cx="6019800" cy="3257550"/>
            <wp:effectExtent l="0" t="0" r="0" b="0"/>
            <wp:docPr id="2"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8312953" w14:textId="1E9EC6EF" w:rsidR="00EB58A6" w:rsidRDefault="00D17235" w:rsidP="00D85054">
      <w:pPr>
        <w:autoSpaceDE w:val="0"/>
        <w:autoSpaceDN w:val="0"/>
        <w:adjustRightInd w:val="0"/>
        <w:rPr>
          <w:rFonts w:cstheme="minorHAnsi"/>
          <w:color w:val="000000"/>
        </w:rPr>
      </w:pPr>
      <w:r w:rsidRPr="00D17235">
        <w:rPr>
          <w:rFonts w:cstheme="minorHAnsi"/>
          <w:color w:val="000000"/>
        </w:rPr>
        <w:t xml:space="preserve"> </w:t>
      </w:r>
    </w:p>
    <w:tbl>
      <w:tblPr>
        <w:tblStyle w:val="100"/>
        <w:tblW w:w="0" w:type="auto"/>
        <w:tblInd w:w="-142" w:type="dxa"/>
        <w:shd w:val="clear" w:color="auto" w:fill="BDEEFF"/>
        <w:tblLook w:val="04A0" w:firstRow="1" w:lastRow="0" w:firstColumn="1" w:lastColumn="0" w:noHBand="0" w:noVBand="1"/>
      </w:tblPr>
      <w:tblGrid>
        <w:gridCol w:w="8444"/>
      </w:tblGrid>
      <w:tr w:rsidR="00AC76DA" w:rsidRPr="00AC76DA" w14:paraId="2787A332" w14:textId="77777777" w:rsidTr="000908EA">
        <w:tc>
          <w:tcPr>
            <w:tcW w:w="8400" w:type="dxa"/>
            <w:shd w:val="clear" w:color="auto" w:fill="E1F7FF"/>
          </w:tcPr>
          <w:p w14:paraId="6067376F" w14:textId="01BADB85" w:rsidR="00AC76DA" w:rsidRPr="00AC76DA" w:rsidRDefault="00DF3DBC" w:rsidP="00AC76DA">
            <w:pPr>
              <w:outlineLvl w:val="0"/>
              <w:rPr>
                <w:b/>
                <w:i/>
                <w:color w:val="84BD00"/>
                <w:spacing w:val="20"/>
                <w:lang w:eastAsia="el-GR"/>
              </w:rPr>
            </w:pPr>
            <w:bookmarkStart w:id="125" w:name="_Toc43376811"/>
            <w:bookmarkStart w:id="126" w:name="_Toc89172834"/>
            <w:r>
              <w:rPr>
                <w:b/>
                <w:i/>
                <w:color w:val="84BD00"/>
                <w:spacing w:val="20"/>
                <w:lang w:eastAsia="el-GR"/>
              </w:rPr>
              <w:t>Ένθετο</w:t>
            </w:r>
            <w:r w:rsidR="00AC76DA" w:rsidRPr="00AC76DA">
              <w:rPr>
                <w:b/>
                <w:i/>
                <w:color w:val="84BD00"/>
                <w:spacing w:val="20"/>
                <w:lang w:eastAsia="el-GR"/>
              </w:rPr>
              <w:t xml:space="preserve">: </w:t>
            </w:r>
            <w:r w:rsidR="00EB58A6" w:rsidRPr="00EB58A6">
              <w:rPr>
                <w:b/>
                <w:i/>
                <w:color w:val="84BD00"/>
                <w:spacing w:val="20"/>
                <w:lang w:eastAsia="el-GR"/>
              </w:rPr>
              <w:t>Μισθολογικό κόστος, προσωπικό και φορείς Γενικής Κυβέρνησης 2015-2020</w:t>
            </w:r>
            <w:r w:rsidR="00AC76DA" w:rsidRPr="00AC76DA">
              <w:rPr>
                <w:b/>
                <w:i/>
                <w:color w:val="84BD00"/>
                <w:spacing w:val="20"/>
                <w:lang w:eastAsia="el-GR"/>
              </w:rPr>
              <w:t>.</w:t>
            </w:r>
            <w:bookmarkEnd w:id="125"/>
            <w:bookmarkEnd w:id="126"/>
          </w:p>
          <w:p w14:paraId="5CD6576F" w14:textId="77777777" w:rsidR="00EB58A6" w:rsidRDefault="00EB58A6" w:rsidP="00EB58A6">
            <w:pPr>
              <w:spacing w:after="0"/>
              <w:rPr>
                <w:rFonts w:eastAsia="Times New Roman" w:cs="Calibri"/>
                <w:iCs/>
                <w:color w:val="auto"/>
                <w:lang w:eastAsia="el-GR"/>
              </w:rPr>
            </w:pPr>
            <w:r>
              <w:rPr>
                <w:rFonts w:eastAsia="Times New Roman" w:cs="Calibri"/>
                <w:iCs/>
                <w:color w:val="auto"/>
                <w:lang w:eastAsia="el-GR"/>
              </w:rPr>
              <w:t>Το μισθολογικό κόστος των φορέων της Γενικής Κυβέρνησης αποτελεί τη δεύτερη μεγαλύτερη δαπάνη του προϋπολογισμού μετά τις συντάξεις. Συγκεκριμένα, το 2020 ανήλθε σε 18,1 δισ. ευρώ, ήτοι 19,8% επί του συνόλου των δαπανών. Αποτελεί δαπάνη ανελαστική η οποία δύσκολα μπορεί να προσαρμοστεί σε χαμηλότερα επίπεδα εάν οι δημοσιονομικές συνθήκες το απαιτήσουν. Για τους λόγους αυτούς απαιτείται τακτική παρακολούθηση της εξέλιξης του μισθολογικού κόστους</w:t>
            </w:r>
            <w:r>
              <w:rPr>
                <w:rStyle w:val="af1"/>
                <w:rFonts w:eastAsia="Times New Roman" w:cs="Calibri"/>
                <w:iCs/>
                <w:color w:val="auto"/>
                <w:lang w:eastAsia="el-GR"/>
              </w:rPr>
              <w:footnoteReference w:id="9"/>
            </w:r>
            <w:r>
              <w:rPr>
                <w:rFonts w:eastAsia="Times New Roman" w:cs="Calibri"/>
                <w:iCs/>
                <w:color w:val="auto"/>
                <w:lang w:eastAsia="el-GR"/>
              </w:rPr>
              <w:t xml:space="preserve"> ούτως ώστε να αποφευχθεί τυχόν απότομη και αδικαιολόγητη άνοδος που θα θέσει σε κίνδυνο τη μακροχρόνια διατηρησιμότητα των δημοσίων οικονομικών. </w:t>
            </w:r>
          </w:p>
          <w:p w14:paraId="25E53609" w14:textId="77777777" w:rsidR="00EB58A6" w:rsidRDefault="00EB58A6" w:rsidP="00EB58A6">
            <w:pPr>
              <w:spacing w:after="0"/>
              <w:rPr>
                <w:rFonts w:eastAsia="Times New Roman" w:cs="Calibri"/>
                <w:iCs/>
                <w:color w:val="auto"/>
                <w:lang w:eastAsia="el-GR"/>
              </w:rPr>
            </w:pPr>
          </w:p>
          <w:p w14:paraId="6556C2A5" w14:textId="08DC30B6" w:rsidR="00EB58A6" w:rsidRPr="00BF719D" w:rsidRDefault="00EB58A6" w:rsidP="00EB58A6">
            <w:pPr>
              <w:spacing w:after="0"/>
              <w:rPr>
                <w:rFonts w:eastAsia="Times New Roman" w:cs="Calibri"/>
                <w:iCs/>
                <w:color w:val="auto"/>
                <w:lang w:eastAsia="el-GR"/>
              </w:rPr>
            </w:pPr>
            <w:r>
              <w:rPr>
                <w:rFonts w:eastAsia="Times New Roman" w:cs="Calibri"/>
                <w:iCs/>
                <w:color w:val="auto"/>
                <w:lang w:eastAsia="el-GR"/>
              </w:rPr>
              <w:t xml:space="preserve">Ειδικότερα, μετά τις σημαντικές περικοπές </w:t>
            </w:r>
            <w:r w:rsidRPr="00D30E66">
              <w:rPr>
                <w:rFonts w:eastAsia="Times New Roman" w:cs="Calibri"/>
                <w:iCs/>
                <w:color w:val="auto"/>
                <w:lang w:eastAsia="el-GR"/>
              </w:rPr>
              <w:t xml:space="preserve">κατά περίπου 10 δισ. ευρώ </w:t>
            </w:r>
            <w:r>
              <w:rPr>
                <w:rFonts w:eastAsia="Times New Roman" w:cs="Calibri"/>
                <w:iCs/>
                <w:color w:val="auto"/>
                <w:lang w:eastAsia="el-GR"/>
              </w:rPr>
              <w:t>στο πλαίσιο των δύο πρώτων προγραμμάτων οικονομικής προσαρμογής, η δαπάνη μισθοδοσίας της Γενικής Κυβέρνησης περιορίστηκε σε 15,6 δισ. ευρώ το 2015. Έκτοτε παρουσίασε σταδιακή ανάκαμψη, ιδίως από το 2017 και εντεύθεν (</w:t>
            </w:r>
            <w:r>
              <w:rPr>
                <w:rFonts w:eastAsia="Times New Roman" w:cs="Calibri"/>
                <w:iCs/>
                <w:color w:val="auto"/>
                <w:lang w:eastAsia="el-GR"/>
              </w:rPr>
              <w:fldChar w:fldCharType="begin"/>
            </w:r>
            <w:r>
              <w:rPr>
                <w:rFonts w:eastAsia="Times New Roman" w:cs="Calibri"/>
                <w:iCs/>
                <w:color w:val="auto"/>
                <w:lang w:eastAsia="el-GR"/>
              </w:rPr>
              <w:instrText xml:space="preserve"> REF _Ref8642835 \h  \* MERGEFORMAT </w:instrText>
            </w:r>
            <w:r>
              <w:rPr>
                <w:rFonts w:eastAsia="Times New Roman" w:cs="Calibri"/>
                <w:iCs/>
                <w:color w:val="auto"/>
                <w:lang w:eastAsia="el-GR"/>
              </w:rPr>
            </w:r>
            <w:r>
              <w:rPr>
                <w:rFonts w:eastAsia="Times New Roman" w:cs="Calibri"/>
                <w:iCs/>
                <w:color w:val="auto"/>
                <w:lang w:eastAsia="el-GR"/>
              </w:rPr>
              <w:fldChar w:fldCharType="separate"/>
            </w:r>
            <w:r w:rsidR="0038196B" w:rsidRPr="0038196B">
              <w:rPr>
                <w:rFonts w:eastAsia="Times New Roman" w:cs="Calibri"/>
                <w:iCs/>
                <w:color w:val="auto"/>
                <w:lang w:eastAsia="el-GR"/>
              </w:rPr>
              <w:t>Πίνακας 8</w:t>
            </w:r>
            <w:r>
              <w:rPr>
                <w:rFonts w:eastAsia="Times New Roman" w:cs="Calibri"/>
                <w:iCs/>
                <w:color w:val="auto"/>
                <w:lang w:eastAsia="el-GR"/>
              </w:rPr>
              <w:fldChar w:fldCharType="end"/>
            </w:r>
            <w:r>
              <w:rPr>
                <w:rFonts w:eastAsia="Times New Roman" w:cs="Calibri"/>
                <w:iCs/>
                <w:color w:val="auto"/>
                <w:lang w:eastAsia="el-GR"/>
              </w:rPr>
              <w:t>). Η αύξηση αυτή κατά 2,46 δισ. ευρώ προέρχεται από τους εξής παράγοντες:</w:t>
            </w:r>
          </w:p>
          <w:p w14:paraId="4C7629CE" w14:textId="77777777" w:rsidR="00EB58A6" w:rsidRPr="00BF719D" w:rsidRDefault="00EB58A6" w:rsidP="00EB58A6">
            <w:pPr>
              <w:spacing w:after="0"/>
              <w:rPr>
                <w:rFonts w:eastAsia="Times New Roman" w:cs="Calibri"/>
                <w:iCs/>
                <w:color w:val="auto"/>
                <w:lang w:eastAsia="el-GR"/>
              </w:rPr>
            </w:pPr>
          </w:p>
          <w:p w14:paraId="6C2E92F5" w14:textId="4DF7F6DD" w:rsidR="00EB58A6" w:rsidRDefault="00EB58A6" w:rsidP="00EB58A6">
            <w:pPr>
              <w:spacing w:after="0"/>
              <w:rPr>
                <w:rFonts w:eastAsia="Times New Roman" w:cs="Calibri"/>
                <w:iCs/>
                <w:color w:val="auto"/>
                <w:lang w:eastAsia="el-GR"/>
              </w:rPr>
            </w:pPr>
            <w:r>
              <w:rPr>
                <w:rFonts w:eastAsia="Times New Roman" w:cs="Calibri"/>
                <w:iCs/>
                <w:color w:val="auto"/>
                <w:lang w:eastAsia="el-GR"/>
              </w:rPr>
              <w:t xml:space="preserve">α) Την αύξηση των ασφαλιστικών εισφορών εργοδότη κατά 1,26 δισ. ευρώ, </w:t>
            </w:r>
            <w:r w:rsidR="007735B6">
              <w:rPr>
                <w:rFonts w:eastAsia="Times New Roman" w:cs="Calibri"/>
                <w:iCs/>
                <w:color w:val="auto"/>
                <w:lang w:eastAsia="el-GR"/>
              </w:rPr>
              <w:t>λόγω</w:t>
            </w:r>
            <w:r>
              <w:rPr>
                <w:rFonts w:eastAsia="Times New Roman" w:cs="Calibri"/>
                <w:iCs/>
                <w:color w:val="auto"/>
                <w:lang w:eastAsia="el-GR"/>
              </w:rPr>
              <w:t xml:space="preserve"> αναπροσαρμογή</w:t>
            </w:r>
            <w:r w:rsidR="007735B6">
              <w:rPr>
                <w:rFonts w:eastAsia="Times New Roman" w:cs="Calibri"/>
                <w:iCs/>
                <w:color w:val="auto"/>
                <w:lang w:eastAsia="el-GR"/>
              </w:rPr>
              <w:t>ς</w:t>
            </w:r>
            <w:r>
              <w:rPr>
                <w:rFonts w:eastAsia="Times New Roman" w:cs="Calibri"/>
                <w:iCs/>
                <w:color w:val="auto"/>
                <w:lang w:eastAsia="el-GR"/>
              </w:rPr>
              <w:t xml:space="preserve"> των εισφορών</w:t>
            </w:r>
            <w:r>
              <w:rPr>
                <w:rStyle w:val="af1"/>
                <w:rFonts w:eastAsia="Times New Roman" w:cs="Calibri"/>
                <w:iCs/>
                <w:color w:val="auto"/>
                <w:lang w:eastAsia="el-GR"/>
              </w:rPr>
              <w:footnoteReference w:id="10"/>
            </w:r>
            <w:r w:rsidRPr="00260E10">
              <w:rPr>
                <w:rFonts w:eastAsia="Times New Roman" w:cs="Calibri"/>
                <w:iCs/>
                <w:color w:val="auto"/>
                <w:lang w:eastAsia="el-GR"/>
              </w:rPr>
              <w:t>.</w:t>
            </w:r>
            <w:r>
              <w:rPr>
                <w:rFonts w:eastAsia="Times New Roman" w:cs="Calibri"/>
                <w:iCs/>
                <w:color w:val="auto"/>
                <w:lang w:eastAsia="el-GR"/>
              </w:rPr>
              <w:t xml:space="preserve"> Συγκεκριμένα, μέχρι τις 31/12/2016, το Δημόσιο κατά κανόνα δεν κατέβαλλε για τους υπαλλήλους του εργοδοτικές εισφορές για κύρια σύνταξη. Από 1/1/2017 και εφεξής το Δημόσιο άρχισε να καταβάλει ποσοστό κλάδου σύνταξης 3,33% το οποίο αυξανόταν ισόποσα κατ’ έτος μέχρι που εξισώθηκε με το αντίστοιχο του ιδιωτικού τομέα (13,33%) από 1/1/2020. Σημειώνεται πως η </w:t>
            </w:r>
            <w:r>
              <w:rPr>
                <w:rFonts w:eastAsia="Times New Roman" w:cs="Calibri"/>
                <w:iCs/>
                <w:color w:val="auto"/>
                <w:lang w:eastAsia="el-GR"/>
              </w:rPr>
              <w:lastRenderedPageBreak/>
              <w:t>δαπάνη αυτή είναι δημοσιονομικά ουδέτερη σε επίπεδο Γενικής Κυβέρνησης, καθώς αυξάνονται αντίστοιχα τα έσοδα του ΕΦΚΑ.</w:t>
            </w:r>
          </w:p>
          <w:p w14:paraId="51C8BA03" w14:textId="77777777" w:rsidR="00EB58A6" w:rsidRPr="00BF719D" w:rsidRDefault="00EB58A6" w:rsidP="00EB58A6">
            <w:pPr>
              <w:spacing w:after="0"/>
              <w:rPr>
                <w:rFonts w:eastAsia="Times New Roman" w:cs="Calibri"/>
                <w:iCs/>
                <w:color w:val="auto"/>
                <w:lang w:eastAsia="el-GR"/>
              </w:rPr>
            </w:pPr>
          </w:p>
          <w:p w14:paraId="1C94EC6B" w14:textId="77777777" w:rsidR="00EB58A6" w:rsidRDefault="00EB58A6" w:rsidP="00EB58A6">
            <w:pPr>
              <w:spacing w:after="0"/>
              <w:rPr>
                <w:rFonts w:eastAsia="Times New Roman" w:cs="Calibri"/>
                <w:iCs/>
                <w:color w:val="auto"/>
                <w:lang w:eastAsia="el-GR"/>
              </w:rPr>
            </w:pPr>
            <w:r>
              <w:rPr>
                <w:rFonts w:eastAsia="Times New Roman" w:cs="Calibri"/>
                <w:iCs/>
                <w:color w:val="auto"/>
                <w:lang w:eastAsia="el-GR"/>
              </w:rPr>
              <w:t>β) Την αύξηση του έκτακτου προσωπικού του Δημοσίου κατά 73 χιλ. υπαλλήλους. Η αύξηση αυτή αφορά κυρίως υπαλλήλους που προσλήφθηκαν στο πλαίσιο προγραμμάτων χρηματοδοτούμενων μέσω ΕΣΠΑ/ανταποδοτικών τελών/ΟΑΕΔ (+29 χιλ.), καθώς και υπαλλήλων για την αντιμετώπιση της πανδημίας, της προσφυγικής κρίσης και των φυσικών καταστροφών (+18 χιλ.). Αύξηση παρουσιάστηκε και στις θέσεις αιρετών/προέδρων-μελών ΔΣ/μετακλητών (+5,6 χιλ.). Από την άλλη πλευρά, το τακτικό προσωπικό του Δημοσίου παρέμεινε σχεδόν σταθερό στο επίπεδο των 600 χιλ. υπαλλήλων (+2,3 χιλ.).</w:t>
            </w:r>
            <w:r w:rsidRPr="00C77E09">
              <w:rPr>
                <w:rFonts w:eastAsia="Times New Roman" w:cs="Calibri"/>
                <w:iCs/>
                <w:color w:val="auto"/>
                <w:lang w:eastAsia="el-GR"/>
              </w:rPr>
              <w:t xml:space="preserve"> </w:t>
            </w:r>
          </w:p>
          <w:p w14:paraId="183E8ADB" w14:textId="77777777" w:rsidR="00EB58A6" w:rsidRPr="00370ED6" w:rsidRDefault="00EB58A6" w:rsidP="00EB58A6">
            <w:pPr>
              <w:spacing w:after="0"/>
              <w:rPr>
                <w:rFonts w:eastAsia="Times New Roman" w:cs="Calibri"/>
                <w:iCs/>
                <w:color w:val="auto"/>
                <w:lang w:eastAsia="el-GR"/>
              </w:rPr>
            </w:pPr>
          </w:p>
          <w:p w14:paraId="3261C010" w14:textId="77777777" w:rsidR="00EB58A6" w:rsidRDefault="00EB58A6" w:rsidP="00EB58A6">
            <w:pPr>
              <w:spacing w:after="0"/>
              <w:rPr>
                <w:rFonts w:eastAsia="Times New Roman" w:cs="Calibri"/>
                <w:iCs/>
                <w:color w:val="auto"/>
                <w:lang w:eastAsia="el-GR"/>
              </w:rPr>
            </w:pPr>
            <w:r>
              <w:rPr>
                <w:rFonts w:eastAsia="Times New Roman" w:cs="Calibri"/>
                <w:iCs/>
                <w:color w:val="auto"/>
                <w:lang w:eastAsia="el-GR"/>
              </w:rPr>
              <w:t>γ) Την άρση από 1/1/2018 της αναστολής της μισθολογικής εξέλιξης των δημοσίων υπαλλήλων η οποία είχε επιβληθεί από 1/1/2016</w:t>
            </w:r>
            <w:r>
              <w:rPr>
                <w:rStyle w:val="af1"/>
                <w:rFonts w:eastAsia="Times New Roman" w:cs="Calibri"/>
                <w:iCs/>
                <w:color w:val="auto"/>
                <w:lang w:eastAsia="el-GR"/>
              </w:rPr>
              <w:footnoteReference w:id="11"/>
            </w:r>
            <w:r>
              <w:rPr>
                <w:rFonts w:eastAsia="Times New Roman" w:cs="Calibri"/>
                <w:iCs/>
                <w:color w:val="auto"/>
                <w:lang w:eastAsia="el-GR"/>
              </w:rPr>
              <w:t>.</w:t>
            </w:r>
          </w:p>
          <w:p w14:paraId="6B11EABF" w14:textId="77777777" w:rsidR="00EB58A6" w:rsidRDefault="00EB58A6" w:rsidP="00EB58A6">
            <w:pPr>
              <w:spacing w:after="0"/>
              <w:rPr>
                <w:rFonts w:eastAsia="Times New Roman" w:cs="Calibri"/>
                <w:iCs/>
                <w:color w:val="auto"/>
                <w:lang w:eastAsia="el-GR"/>
              </w:rPr>
            </w:pPr>
          </w:p>
          <w:p w14:paraId="29677F6C" w14:textId="68FD45E9" w:rsidR="00EB58A6" w:rsidRDefault="00EB58A6" w:rsidP="00EB58A6">
            <w:pPr>
              <w:spacing w:after="120"/>
              <w:rPr>
                <w:color w:val="00A3E0"/>
                <w:sz w:val="20"/>
                <w:szCs w:val="20"/>
              </w:rPr>
            </w:pPr>
            <w:bookmarkStart w:id="127" w:name="_Ref8642835"/>
            <w:bookmarkStart w:id="128" w:name="_Toc8647400"/>
            <w:bookmarkStart w:id="129" w:name="_Toc9621736"/>
            <w:bookmarkStart w:id="130" w:name="_Toc86671831"/>
            <w:bookmarkStart w:id="131" w:name="_Toc89172853"/>
            <w:r w:rsidRPr="00AB452D">
              <w:rPr>
                <w:b/>
                <w:sz w:val="20"/>
                <w:szCs w:val="20"/>
              </w:rPr>
              <w:t xml:space="preserve">Πίνακας </w:t>
            </w:r>
            <w:r w:rsidRPr="00AB452D">
              <w:rPr>
                <w:b/>
                <w:sz w:val="20"/>
                <w:szCs w:val="20"/>
              </w:rPr>
              <w:fldChar w:fldCharType="begin"/>
            </w:r>
            <w:r w:rsidRPr="00AB452D">
              <w:rPr>
                <w:b/>
                <w:sz w:val="20"/>
                <w:szCs w:val="20"/>
              </w:rPr>
              <w:instrText xml:space="preserve"> SEQ Πίνακας \* ARABIC </w:instrText>
            </w:r>
            <w:r w:rsidRPr="00AB452D">
              <w:rPr>
                <w:b/>
                <w:sz w:val="20"/>
                <w:szCs w:val="20"/>
              </w:rPr>
              <w:fldChar w:fldCharType="separate"/>
            </w:r>
            <w:r w:rsidR="0038196B">
              <w:rPr>
                <w:b/>
                <w:noProof/>
                <w:sz w:val="20"/>
                <w:szCs w:val="20"/>
              </w:rPr>
              <w:t>8</w:t>
            </w:r>
            <w:r w:rsidRPr="00AB452D">
              <w:rPr>
                <w:b/>
                <w:sz w:val="20"/>
                <w:szCs w:val="20"/>
              </w:rPr>
              <w:fldChar w:fldCharType="end"/>
            </w:r>
            <w:bookmarkEnd w:id="127"/>
            <w:r w:rsidRPr="00AB452D">
              <w:rPr>
                <w:b/>
                <w:sz w:val="20"/>
                <w:szCs w:val="20"/>
              </w:rPr>
              <w:t>:</w:t>
            </w:r>
            <w:r w:rsidRPr="00AB452D">
              <w:rPr>
                <w:color w:val="auto"/>
              </w:rPr>
              <w:t xml:space="preserve"> </w:t>
            </w:r>
            <w:bookmarkEnd w:id="128"/>
            <w:bookmarkEnd w:id="129"/>
            <w:r>
              <w:rPr>
                <w:color w:val="00A3E0"/>
                <w:sz w:val="20"/>
                <w:szCs w:val="20"/>
              </w:rPr>
              <w:t>Εξέλιξη μισθολογικού κόστους, προσωπικού και φορέων Γενικής Κυβέρνησης</w:t>
            </w:r>
            <w:bookmarkEnd w:id="130"/>
            <w:bookmarkEnd w:id="131"/>
          </w:p>
          <w:tbl>
            <w:tblPr>
              <w:tblW w:w="8317" w:type="dxa"/>
              <w:tblLook w:val="04A0" w:firstRow="1" w:lastRow="0" w:firstColumn="1" w:lastColumn="0" w:noHBand="0" w:noVBand="1"/>
            </w:tblPr>
            <w:tblGrid>
              <w:gridCol w:w="2424"/>
              <w:gridCol w:w="927"/>
              <w:gridCol w:w="735"/>
              <w:gridCol w:w="815"/>
              <w:gridCol w:w="815"/>
              <w:gridCol w:w="815"/>
              <w:gridCol w:w="815"/>
              <w:gridCol w:w="882"/>
            </w:tblGrid>
            <w:tr w:rsidR="00EB58A6" w:rsidRPr="0033113E" w14:paraId="44D4B402" w14:textId="77777777" w:rsidTr="00247B52">
              <w:trPr>
                <w:trHeight w:val="617"/>
              </w:trPr>
              <w:tc>
                <w:tcPr>
                  <w:tcW w:w="2471" w:type="dxa"/>
                  <w:tcBorders>
                    <w:top w:val="single" w:sz="8" w:space="0" w:color="676A6E"/>
                    <w:left w:val="nil"/>
                    <w:bottom w:val="nil"/>
                    <w:right w:val="nil"/>
                  </w:tcBorders>
                  <w:shd w:val="clear" w:color="000000" w:fill="00A3E0"/>
                  <w:tcMar>
                    <w:left w:w="0" w:type="dxa"/>
                    <w:right w:w="0" w:type="dxa"/>
                  </w:tcMar>
                  <w:vAlign w:val="center"/>
                  <w:hideMark/>
                </w:tcPr>
                <w:p w14:paraId="02902A94" w14:textId="77777777" w:rsidR="00EB58A6" w:rsidRPr="00A6717D" w:rsidRDefault="00EB58A6" w:rsidP="00EB58A6">
                  <w:pPr>
                    <w:spacing w:after="0" w:line="240" w:lineRule="auto"/>
                    <w:jc w:val="left"/>
                    <w:rPr>
                      <w:rFonts w:eastAsia="Times New Roman" w:cs="Times New Roman"/>
                      <w:b/>
                      <w:bCs/>
                      <w:color w:val="auto"/>
                      <w:sz w:val="20"/>
                      <w:szCs w:val="20"/>
                    </w:rPr>
                  </w:pPr>
                  <w:r w:rsidRPr="00A6717D">
                    <w:rPr>
                      <w:rFonts w:eastAsia="Times New Roman" w:cs="Times New Roman"/>
                      <w:b/>
                      <w:bCs/>
                      <w:color w:val="auto"/>
                      <w:sz w:val="20"/>
                      <w:szCs w:val="20"/>
                      <w:lang w:val="en-US"/>
                    </w:rPr>
                    <w:t> </w:t>
                  </w:r>
                </w:p>
              </w:tc>
              <w:tc>
                <w:tcPr>
                  <w:tcW w:w="935" w:type="dxa"/>
                  <w:tcBorders>
                    <w:top w:val="single" w:sz="8" w:space="0" w:color="676A6E"/>
                    <w:left w:val="nil"/>
                    <w:bottom w:val="nil"/>
                    <w:right w:val="nil"/>
                  </w:tcBorders>
                  <w:shd w:val="clear" w:color="000000" w:fill="00A3E0"/>
                  <w:tcMar>
                    <w:left w:w="0" w:type="dxa"/>
                    <w:right w:w="0" w:type="dxa"/>
                  </w:tcMar>
                  <w:vAlign w:val="center"/>
                  <w:hideMark/>
                </w:tcPr>
                <w:p w14:paraId="6FBE2928" w14:textId="77777777" w:rsidR="00EB58A6" w:rsidRPr="00A6717D" w:rsidRDefault="00EB58A6" w:rsidP="00EB58A6">
                  <w:pPr>
                    <w:spacing w:after="0" w:line="240" w:lineRule="auto"/>
                    <w:jc w:val="center"/>
                    <w:rPr>
                      <w:rFonts w:eastAsia="Times New Roman" w:cs="Times New Roman"/>
                      <w:b/>
                      <w:bCs/>
                      <w:color w:val="auto"/>
                      <w:sz w:val="20"/>
                      <w:szCs w:val="20"/>
                      <w:lang w:val="en-US"/>
                    </w:rPr>
                  </w:pPr>
                  <w:r w:rsidRPr="00A6717D">
                    <w:rPr>
                      <w:rFonts w:eastAsia="Times New Roman" w:cs="Times New Roman"/>
                      <w:b/>
                      <w:bCs/>
                      <w:color w:val="auto"/>
                      <w:sz w:val="20"/>
                      <w:szCs w:val="20"/>
                      <w:lang w:val="en-US"/>
                    </w:rPr>
                    <w:t>2015</w:t>
                  </w:r>
                </w:p>
              </w:tc>
              <w:tc>
                <w:tcPr>
                  <w:tcW w:w="738" w:type="dxa"/>
                  <w:tcBorders>
                    <w:top w:val="single" w:sz="8" w:space="0" w:color="676A6E"/>
                    <w:left w:val="nil"/>
                    <w:bottom w:val="nil"/>
                    <w:right w:val="nil"/>
                  </w:tcBorders>
                  <w:shd w:val="clear" w:color="000000" w:fill="00A3E0"/>
                  <w:tcMar>
                    <w:left w:w="0" w:type="dxa"/>
                    <w:right w:w="0" w:type="dxa"/>
                  </w:tcMar>
                  <w:vAlign w:val="center"/>
                  <w:hideMark/>
                </w:tcPr>
                <w:p w14:paraId="6D3DE8FA" w14:textId="77777777" w:rsidR="00EB58A6" w:rsidRPr="00A6717D" w:rsidRDefault="00EB58A6" w:rsidP="00EB58A6">
                  <w:pPr>
                    <w:spacing w:after="0" w:line="240" w:lineRule="auto"/>
                    <w:jc w:val="center"/>
                    <w:rPr>
                      <w:rFonts w:eastAsia="Times New Roman" w:cs="Times New Roman"/>
                      <w:b/>
                      <w:bCs/>
                      <w:color w:val="auto"/>
                      <w:sz w:val="20"/>
                      <w:szCs w:val="20"/>
                      <w:lang w:val="en-US"/>
                    </w:rPr>
                  </w:pPr>
                  <w:r w:rsidRPr="00A6717D">
                    <w:rPr>
                      <w:rFonts w:eastAsia="Times New Roman" w:cs="Times New Roman"/>
                      <w:b/>
                      <w:bCs/>
                      <w:color w:val="auto"/>
                      <w:sz w:val="20"/>
                      <w:szCs w:val="20"/>
                      <w:lang w:val="en-US"/>
                    </w:rPr>
                    <w:t>2016</w:t>
                  </w:r>
                </w:p>
              </w:tc>
              <w:tc>
                <w:tcPr>
                  <w:tcW w:w="821" w:type="dxa"/>
                  <w:tcBorders>
                    <w:top w:val="single" w:sz="8" w:space="0" w:color="676A6E"/>
                    <w:left w:val="nil"/>
                    <w:bottom w:val="nil"/>
                    <w:right w:val="nil"/>
                  </w:tcBorders>
                  <w:shd w:val="clear" w:color="000000" w:fill="00A3E0"/>
                  <w:tcMar>
                    <w:left w:w="0" w:type="dxa"/>
                    <w:right w:w="0" w:type="dxa"/>
                  </w:tcMar>
                  <w:vAlign w:val="center"/>
                  <w:hideMark/>
                </w:tcPr>
                <w:p w14:paraId="7B1FC2EA" w14:textId="77777777" w:rsidR="00EB58A6" w:rsidRPr="00A6717D" w:rsidRDefault="00EB58A6" w:rsidP="00EB58A6">
                  <w:pPr>
                    <w:spacing w:after="0" w:line="240" w:lineRule="auto"/>
                    <w:jc w:val="center"/>
                    <w:rPr>
                      <w:rFonts w:eastAsia="Times New Roman" w:cs="Times New Roman"/>
                      <w:b/>
                      <w:bCs/>
                      <w:color w:val="auto"/>
                      <w:sz w:val="20"/>
                      <w:szCs w:val="20"/>
                      <w:lang w:val="en-US"/>
                    </w:rPr>
                  </w:pPr>
                  <w:r w:rsidRPr="00A6717D">
                    <w:rPr>
                      <w:rFonts w:eastAsia="Times New Roman" w:cs="Times New Roman"/>
                      <w:b/>
                      <w:bCs/>
                      <w:color w:val="auto"/>
                      <w:sz w:val="20"/>
                      <w:szCs w:val="20"/>
                      <w:lang w:val="en-US"/>
                    </w:rPr>
                    <w:t>2017</w:t>
                  </w:r>
                </w:p>
              </w:tc>
              <w:tc>
                <w:tcPr>
                  <w:tcW w:w="821" w:type="dxa"/>
                  <w:tcBorders>
                    <w:top w:val="single" w:sz="8" w:space="0" w:color="676A6E"/>
                    <w:left w:val="nil"/>
                    <w:bottom w:val="nil"/>
                    <w:right w:val="nil"/>
                  </w:tcBorders>
                  <w:shd w:val="clear" w:color="000000" w:fill="00A3E0"/>
                  <w:tcMar>
                    <w:left w:w="0" w:type="dxa"/>
                    <w:right w:w="0" w:type="dxa"/>
                  </w:tcMar>
                  <w:vAlign w:val="center"/>
                  <w:hideMark/>
                </w:tcPr>
                <w:p w14:paraId="0C859434" w14:textId="77777777" w:rsidR="00EB58A6" w:rsidRPr="00A6717D" w:rsidRDefault="00EB58A6" w:rsidP="00EB58A6">
                  <w:pPr>
                    <w:spacing w:after="0" w:line="240" w:lineRule="auto"/>
                    <w:jc w:val="center"/>
                    <w:rPr>
                      <w:rFonts w:eastAsia="Times New Roman" w:cs="Times New Roman"/>
                      <w:b/>
                      <w:bCs/>
                      <w:color w:val="auto"/>
                      <w:sz w:val="20"/>
                      <w:szCs w:val="20"/>
                      <w:lang w:val="en-US"/>
                    </w:rPr>
                  </w:pPr>
                  <w:r w:rsidRPr="00A6717D">
                    <w:rPr>
                      <w:rFonts w:eastAsia="Times New Roman" w:cs="Times New Roman"/>
                      <w:b/>
                      <w:bCs/>
                      <w:color w:val="auto"/>
                      <w:sz w:val="20"/>
                      <w:szCs w:val="20"/>
                      <w:lang w:val="en-US"/>
                    </w:rPr>
                    <w:t>2018</w:t>
                  </w:r>
                </w:p>
              </w:tc>
              <w:tc>
                <w:tcPr>
                  <w:tcW w:w="821" w:type="dxa"/>
                  <w:tcBorders>
                    <w:top w:val="single" w:sz="8" w:space="0" w:color="676A6E"/>
                    <w:left w:val="nil"/>
                    <w:bottom w:val="nil"/>
                    <w:right w:val="nil"/>
                  </w:tcBorders>
                  <w:shd w:val="clear" w:color="000000" w:fill="00A3E0"/>
                  <w:tcMar>
                    <w:left w:w="0" w:type="dxa"/>
                    <w:right w:w="0" w:type="dxa"/>
                  </w:tcMar>
                  <w:vAlign w:val="center"/>
                  <w:hideMark/>
                </w:tcPr>
                <w:p w14:paraId="7B9358D7" w14:textId="77777777" w:rsidR="00EB58A6" w:rsidRPr="00A6717D" w:rsidRDefault="00EB58A6" w:rsidP="00EB58A6">
                  <w:pPr>
                    <w:spacing w:after="0" w:line="240" w:lineRule="auto"/>
                    <w:jc w:val="center"/>
                    <w:rPr>
                      <w:rFonts w:eastAsia="Times New Roman" w:cs="Times New Roman"/>
                      <w:b/>
                      <w:bCs/>
                      <w:color w:val="auto"/>
                      <w:sz w:val="20"/>
                      <w:szCs w:val="20"/>
                      <w:lang w:val="en-US"/>
                    </w:rPr>
                  </w:pPr>
                  <w:r w:rsidRPr="00A6717D">
                    <w:rPr>
                      <w:rFonts w:eastAsia="Times New Roman" w:cs="Times New Roman"/>
                      <w:b/>
                      <w:bCs/>
                      <w:color w:val="auto"/>
                      <w:sz w:val="20"/>
                      <w:szCs w:val="20"/>
                      <w:lang w:val="en-US"/>
                    </w:rPr>
                    <w:t>2019</w:t>
                  </w:r>
                </w:p>
              </w:tc>
              <w:tc>
                <w:tcPr>
                  <w:tcW w:w="821" w:type="dxa"/>
                  <w:tcBorders>
                    <w:top w:val="single" w:sz="8" w:space="0" w:color="676A6E"/>
                    <w:left w:val="nil"/>
                    <w:bottom w:val="nil"/>
                    <w:right w:val="nil"/>
                  </w:tcBorders>
                  <w:shd w:val="clear" w:color="000000" w:fill="00A3E0"/>
                  <w:tcMar>
                    <w:left w:w="0" w:type="dxa"/>
                    <w:right w:w="0" w:type="dxa"/>
                  </w:tcMar>
                  <w:vAlign w:val="center"/>
                  <w:hideMark/>
                </w:tcPr>
                <w:p w14:paraId="5EC43B05" w14:textId="77777777" w:rsidR="00EB58A6" w:rsidRPr="00A6717D" w:rsidRDefault="00EB58A6" w:rsidP="00EB58A6">
                  <w:pPr>
                    <w:spacing w:after="0" w:line="240" w:lineRule="auto"/>
                    <w:jc w:val="center"/>
                    <w:rPr>
                      <w:rFonts w:eastAsia="Times New Roman" w:cs="Times New Roman"/>
                      <w:b/>
                      <w:bCs/>
                      <w:color w:val="auto"/>
                      <w:sz w:val="20"/>
                      <w:szCs w:val="20"/>
                      <w:lang w:val="en-US"/>
                    </w:rPr>
                  </w:pPr>
                  <w:r w:rsidRPr="00A6717D">
                    <w:rPr>
                      <w:rFonts w:eastAsia="Times New Roman" w:cs="Times New Roman"/>
                      <w:b/>
                      <w:bCs/>
                      <w:color w:val="auto"/>
                      <w:sz w:val="20"/>
                      <w:szCs w:val="20"/>
                      <w:lang w:val="en-US"/>
                    </w:rPr>
                    <w:t>2020</w:t>
                  </w:r>
                </w:p>
              </w:tc>
              <w:tc>
                <w:tcPr>
                  <w:tcW w:w="889" w:type="dxa"/>
                  <w:tcBorders>
                    <w:top w:val="single" w:sz="8" w:space="0" w:color="676A6E"/>
                    <w:left w:val="nil"/>
                    <w:bottom w:val="nil"/>
                    <w:right w:val="nil"/>
                  </w:tcBorders>
                  <w:shd w:val="clear" w:color="000000" w:fill="00A3E0"/>
                  <w:tcMar>
                    <w:left w:w="0" w:type="dxa"/>
                    <w:right w:w="0" w:type="dxa"/>
                  </w:tcMar>
                  <w:vAlign w:val="center"/>
                  <w:hideMark/>
                </w:tcPr>
                <w:p w14:paraId="29192607" w14:textId="77777777" w:rsidR="00EB58A6" w:rsidRPr="002B17E6" w:rsidRDefault="00EB58A6" w:rsidP="00EB58A6">
                  <w:pPr>
                    <w:spacing w:after="0" w:line="240" w:lineRule="auto"/>
                    <w:jc w:val="center"/>
                    <w:rPr>
                      <w:rFonts w:eastAsia="Times New Roman" w:cs="Times New Roman"/>
                      <w:b/>
                      <w:bCs/>
                      <w:color w:val="auto"/>
                      <w:sz w:val="20"/>
                      <w:szCs w:val="20"/>
                    </w:rPr>
                  </w:pPr>
                  <w:r w:rsidRPr="00A6717D">
                    <w:rPr>
                      <w:rFonts w:eastAsia="Times New Roman" w:cs="Times New Roman"/>
                      <w:b/>
                      <w:bCs/>
                      <w:color w:val="auto"/>
                      <w:sz w:val="20"/>
                      <w:szCs w:val="20"/>
                      <w:lang w:val="en-US"/>
                    </w:rPr>
                    <w:t>Δ 2020/1</w:t>
                  </w:r>
                  <w:r>
                    <w:rPr>
                      <w:rFonts w:eastAsia="Times New Roman" w:cs="Times New Roman"/>
                      <w:b/>
                      <w:bCs/>
                      <w:color w:val="auto"/>
                      <w:sz w:val="20"/>
                      <w:szCs w:val="20"/>
                    </w:rPr>
                    <w:t>5</w:t>
                  </w:r>
                </w:p>
              </w:tc>
            </w:tr>
            <w:tr w:rsidR="00EB58A6" w:rsidRPr="0033113E" w14:paraId="3D7F9A27" w14:textId="77777777" w:rsidTr="00247B52">
              <w:trPr>
                <w:trHeight w:val="485"/>
              </w:trPr>
              <w:tc>
                <w:tcPr>
                  <w:tcW w:w="2471" w:type="dxa"/>
                  <w:tcBorders>
                    <w:top w:val="nil"/>
                    <w:left w:val="nil"/>
                    <w:bottom w:val="nil"/>
                    <w:right w:val="nil"/>
                  </w:tcBorders>
                  <w:shd w:val="clear" w:color="000000" w:fill="D9D9D9"/>
                  <w:noWrap/>
                  <w:tcMar>
                    <w:left w:w="0" w:type="dxa"/>
                    <w:right w:w="0" w:type="dxa"/>
                  </w:tcMar>
                  <w:vAlign w:val="center"/>
                  <w:hideMark/>
                </w:tcPr>
                <w:p w14:paraId="2F0A85EC" w14:textId="77777777" w:rsidR="00EB58A6" w:rsidRPr="00A6717D" w:rsidRDefault="00EB58A6" w:rsidP="00EB58A6">
                  <w:pPr>
                    <w:spacing w:after="0" w:line="240" w:lineRule="auto"/>
                    <w:jc w:val="left"/>
                    <w:rPr>
                      <w:rFonts w:eastAsia="Times New Roman" w:cs="Times New Roman"/>
                      <w:b/>
                      <w:bCs/>
                      <w:color w:val="000000"/>
                      <w:sz w:val="20"/>
                      <w:szCs w:val="20"/>
                    </w:rPr>
                  </w:pPr>
                  <w:r w:rsidRPr="00A6717D">
                    <w:rPr>
                      <w:rFonts w:eastAsia="Times New Roman" w:cs="Times New Roman"/>
                      <w:b/>
                      <w:bCs/>
                      <w:color w:val="000000"/>
                      <w:sz w:val="20"/>
                      <w:szCs w:val="20"/>
                      <w:lang w:val="en-US"/>
                    </w:rPr>
                    <w:t>I</w:t>
                  </w:r>
                  <w:r w:rsidRPr="00A6717D">
                    <w:rPr>
                      <w:rFonts w:eastAsia="Times New Roman" w:cs="Times New Roman"/>
                      <w:b/>
                      <w:bCs/>
                      <w:color w:val="000000"/>
                      <w:sz w:val="20"/>
                      <w:szCs w:val="20"/>
                    </w:rPr>
                    <w:t>. Αμοιβές προσωπικού ΓΚ (εκατ. ευρώ)</w:t>
                  </w:r>
                </w:p>
              </w:tc>
              <w:tc>
                <w:tcPr>
                  <w:tcW w:w="935" w:type="dxa"/>
                  <w:tcBorders>
                    <w:top w:val="nil"/>
                    <w:left w:val="nil"/>
                    <w:bottom w:val="nil"/>
                    <w:right w:val="nil"/>
                  </w:tcBorders>
                  <w:shd w:val="clear" w:color="000000" w:fill="D9D9D9"/>
                  <w:noWrap/>
                  <w:tcMar>
                    <w:left w:w="0" w:type="dxa"/>
                    <w:right w:w="0" w:type="dxa"/>
                  </w:tcMar>
                  <w:vAlign w:val="center"/>
                  <w:hideMark/>
                </w:tcPr>
                <w:p w14:paraId="41C0765E" w14:textId="77777777" w:rsidR="00EB58A6" w:rsidRPr="00A6717D" w:rsidRDefault="00EB58A6" w:rsidP="00EB58A6">
                  <w:pPr>
                    <w:spacing w:after="0" w:line="240" w:lineRule="auto"/>
                    <w:jc w:val="center"/>
                    <w:rPr>
                      <w:rFonts w:eastAsia="Times New Roman" w:cs="Times New Roman"/>
                      <w:color w:val="auto"/>
                      <w:sz w:val="20"/>
                      <w:szCs w:val="20"/>
                      <w:lang w:val="en-US"/>
                    </w:rPr>
                  </w:pPr>
                  <w:r w:rsidRPr="00A6717D">
                    <w:rPr>
                      <w:rFonts w:eastAsia="Times New Roman" w:cs="Times New Roman"/>
                      <w:color w:val="auto"/>
                      <w:sz w:val="20"/>
                      <w:szCs w:val="20"/>
                      <w:lang w:val="en-US"/>
                    </w:rPr>
                    <w:t>15.640</w:t>
                  </w:r>
                </w:p>
              </w:tc>
              <w:tc>
                <w:tcPr>
                  <w:tcW w:w="738" w:type="dxa"/>
                  <w:tcBorders>
                    <w:top w:val="nil"/>
                    <w:left w:val="nil"/>
                    <w:bottom w:val="nil"/>
                    <w:right w:val="nil"/>
                  </w:tcBorders>
                  <w:shd w:val="clear" w:color="000000" w:fill="D9D9D9"/>
                  <w:noWrap/>
                  <w:tcMar>
                    <w:left w:w="0" w:type="dxa"/>
                    <w:right w:w="0" w:type="dxa"/>
                  </w:tcMar>
                  <w:vAlign w:val="center"/>
                  <w:hideMark/>
                </w:tcPr>
                <w:p w14:paraId="0F89C081" w14:textId="77777777" w:rsidR="00EB58A6" w:rsidRPr="00A6717D" w:rsidRDefault="00EB58A6" w:rsidP="00EB58A6">
                  <w:pPr>
                    <w:spacing w:after="0" w:line="240" w:lineRule="auto"/>
                    <w:jc w:val="center"/>
                    <w:rPr>
                      <w:rFonts w:eastAsia="Times New Roman" w:cs="Times New Roman"/>
                      <w:color w:val="auto"/>
                      <w:sz w:val="20"/>
                      <w:szCs w:val="20"/>
                      <w:lang w:val="en-US"/>
                    </w:rPr>
                  </w:pPr>
                  <w:r w:rsidRPr="00A6717D">
                    <w:rPr>
                      <w:rFonts w:eastAsia="Times New Roman" w:cs="Times New Roman"/>
                      <w:color w:val="auto"/>
                      <w:sz w:val="20"/>
                      <w:szCs w:val="20"/>
                      <w:lang w:val="en-US"/>
                    </w:rPr>
                    <w:t>15.723</w:t>
                  </w:r>
                </w:p>
              </w:tc>
              <w:tc>
                <w:tcPr>
                  <w:tcW w:w="821" w:type="dxa"/>
                  <w:tcBorders>
                    <w:top w:val="nil"/>
                    <w:left w:val="nil"/>
                    <w:bottom w:val="nil"/>
                    <w:right w:val="nil"/>
                  </w:tcBorders>
                  <w:shd w:val="clear" w:color="000000" w:fill="D9D9D9"/>
                  <w:noWrap/>
                  <w:tcMar>
                    <w:left w:w="0" w:type="dxa"/>
                    <w:right w:w="0" w:type="dxa"/>
                  </w:tcMar>
                  <w:vAlign w:val="center"/>
                  <w:hideMark/>
                </w:tcPr>
                <w:p w14:paraId="32AACBDD" w14:textId="77777777" w:rsidR="00EB58A6" w:rsidRPr="00A6717D" w:rsidRDefault="00EB58A6" w:rsidP="00EB58A6">
                  <w:pPr>
                    <w:spacing w:after="0" w:line="240" w:lineRule="auto"/>
                    <w:jc w:val="center"/>
                    <w:rPr>
                      <w:rFonts w:eastAsia="Times New Roman" w:cs="Times New Roman"/>
                      <w:color w:val="auto"/>
                      <w:sz w:val="20"/>
                      <w:szCs w:val="20"/>
                      <w:lang w:val="en-US"/>
                    </w:rPr>
                  </w:pPr>
                  <w:r w:rsidRPr="00A6717D">
                    <w:rPr>
                      <w:rFonts w:eastAsia="Times New Roman" w:cs="Times New Roman"/>
                      <w:color w:val="auto"/>
                      <w:sz w:val="20"/>
                      <w:szCs w:val="20"/>
                      <w:lang w:val="en-US"/>
                    </w:rPr>
                    <w:t>16.227</w:t>
                  </w:r>
                </w:p>
              </w:tc>
              <w:tc>
                <w:tcPr>
                  <w:tcW w:w="821" w:type="dxa"/>
                  <w:tcBorders>
                    <w:top w:val="nil"/>
                    <w:left w:val="nil"/>
                    <w:bottom w:val="nil"/>
                    <w:right w:val="nil"/>
                  </w:tcBorders>
                  <w:shd w:val="clear" w:color="000000" w:fill="D9D9D9"/>
                  <w:noWrap/>
                  <w:tcMar>
                    <w:left w:w="0" w:type="dxa"/>
                    <w:right w:w="0" w:type="dxa"/>
                  </w:tcMar>
                  <w:vAlign w:val="center"/>
                  <w:hideMark/>
                </w:tcPr>
                <w:p w14:paraId="5D5B9D33" w14:textId="77777777" w:rsidR="00EB58A6" w:rsidRPr="00A6717D" w:rsidRDefault="00EB58A6" w:rsidP="00EB58A6">
                  <w:pPr>
                    <w:spacing w:after="0" w:line="240" w:lineRule="auto"/>
                    <w:jc w:val="center"/>
                    <w:rPr>
                      <w:rFonts w:eastAsia="Times New Roman" w:cs="Times New Roman"/>
                      <w:color w:val="auto"/>
                      <w:sz w:val="20"/>
                      <w:szCs w:val="20"/>
                      <w:lang w:val="en-US"/>
                    </w:rPr>
                  </w:pPr>
                  <w:r w:rsidRPr="00A6717D">
                    <w:rPr>
                      <w:rFonts w:eastAsia="Times New Roman" w:cs="Times New Roman"/>
                      <w:color w:val="auto"/>
                      <w:sz w:val="20"/>
                      <w:szCs w:val="20"/>
                      <w:lang w:val="en-US"/>
                    </w:rPr>
                    <w:t>16.900</w:t>
                  </w:r>
                </w:p>
              </w:tc>
              <w:tc>
                <w:tcPr>
                  <w:tcW w:w="821" w:type="dxa"/>
                  <w:tcBorders>
                    <w:top w:val="nil"/>
                    <w:left w:val="nil"/>
                    <w:bottom w:val="nil"/>
                    <w:right w:val="nil"/>
                  </w:tcBorders>
                  <w:shd w:val="clear" w:color="000000" w:fill="D9D9D9"/>
                  <w:noWrap/>
                  <w:tcMar>
                    <w:left w:w="0" w:type="dxa"/>
                    <w:right w:w="0" w:type="dxa"/>
                  </w:tcMar>
                  <w:vAlign w:val="center"/>
                  <w:hideMark/>
                </w:tcPr>
                <w:p w14:paraId="1EAA850C" w14:textId="77777777" w:rsidR="00EB58A6" w:rsidRPr="00A6717D" w:rsidRDefault="00EB58A6" w:rsidP="00EB58A6">
                  <w:pPr>
                    <w:spacing w:after="0" w:line="240" w:lineRule="auto"/>
                    <w:jc w:val="center"/>
                    <w:rPr>
                      <w:rFonts w:eastAsia="Times New Roman" w:cs="Times New Roman"/>
                      <w:color w:val="auto"/>
                      <w:sz w:val="20"/>
                      <w:szCs w:val="20"/>
                      <w:lang w:val="en-US"/>
                    </w:rPr>
                  </w:pPr>
                  <w:r w:rsidRPr="00A6717D">
                    <w:rPr>
                      <w:rFonts w:eastAsia="Times New Roman" w:cs="Times New Roman"/>
                      <w:color w:val="auto"/>
                      <w:sz w:val="20"/>
                      <w:szCs w:val="20"/>
                      <w:lang w:val="en-US"/>
                    </w:rPr>
                    <w:t>17.441</w:t>
                  </w:r>
                </w:p>
              </w:tc>
              <w:tc>
                <w:tcPr>
                  <w:tcW w:w="821" w:type="dxa"/>
                  <w:tcBorders>
                    <w:top w:val="nil"/>
                    <w:left w:val="nil"/>
                    <w:bottom w:val="nil"/>
                    <w:right w:val="nil"/>
                  </w:tcBorders>
                  <w:shd w:val="clear" w:color="000000" w:fill="D9D9D9"/>
                  <w:noWrap/>
                  <w:tcMar>
                    <w:left w:w="0" w:type="dxa"/>
                    <w:right w:w="0" w:type="dxa"/>
                  </w:tcMar>
                  <w:vAlign w:val="center"/>
                  <w:hideMark/>
                </w:tcPr>
                <w:p w14:paraId="0EBED6D5" w14:textId="77777777" w:rsidR="00EB58A6" w:rsidRPr="00A6717D" w:rsidRDefault="00EB58A6" w:rsidP="00EB58A6">
                  <w:pPr>
                    <w:spacing w:after="0" w:line="240" w:lineRule="auto"/>
                    <w:jc w:val="center"/>
                    <w:rPr>
                      <w:rFonts w:eastAsia="Times New Roman" w:cs="Times New Roman"/>
                      <w:color w:val="auto"/>
                      <w:sz w:val="20"/>
                      <w:szCs w:val="20"/>
                      <w:lang w:val="en-US"/>
                    </w:rPr>
                  </w:pPr>
                  <w:r w:rsidRPr="00A6717D">
                    <w:rPr>
                      <w:rFonts w:eastAsia="Times New Roman" w:cs="Times New Roman"/>
                      <w:color w:val="auto"/>
                      <w:sz w:val="20"/>
                      <w:szCs w:val="20"/>
                      <w:lang w:val="en-US"/>
                    </w:rPr>
                    <w:t>18.098</w:t>
                  </w:r>
                </w:p>
              </w:tc>
              <w:tc>
                <w:tcPr>
                  <w:tcW w:w="889" w:type="dxa"/>
                  <w:tcBorders>
                    <w:top w:val="nil"/>
                    <w:left w:val="nil"/>
                    <w:bottom w:val="nil"/>
                    <w:right w:val="nil"/>
                  </w:tcBorders>
                  <w:shd w:val="clear" w:color="000000" w:fill="D9D9D9"/>
                  <w:noWrap/>
                  <w:tcMar>
                    <w:left w:w="0" w:type="dxa"/>
                    <w:right w:w="0" w:type="dxa"/>
                  </w:tcMar>
                  <w:vAlign w:val="center"/>
                  <w:hideMark/>
                </w:tcPr>
                <w:p w14:paraId="4A446911" w14:textId="77777777" w:rsidR="00EB58A6" w:rsidRPr="00A6717D" w:rsidRDefault="00EB58A6" w:rsidP="00EB58A6">
                  <w:pPr>
                    <w:spacing w:after="0" w:line="240" w:lineRule="auto"/>
                    <w:jc w:val="center"/>
                    <w:rPr>
                      <w:rFonts w:eastAsia="Times New Roman" w:cs="Times New Roman"/>
                      <w:color w:val="000000"/>
                      <w:sz w:val="20"/>
                      <w:szCs w:val="20"/>
                      <w:lang w:val="en-US"/>
                    </w:rPr>
                  </w:pPr>
                  <w:r>
                    <w:rPr>
                      <w:color w:val="000000"/>
                      <w:sz w:val="20"/>
                      <w:szCs w:val="20"/>
                    </w:rPr>
                    <w:t>2.458</w:t>
                  </w:r>
                </w:p>
              </w:tc>
            </w:tr>
            <w:tr w:rsidR="00EB58A6" w:rsidRPr="0033113E" w14:paraId="5B8AEDA9" w14:textId="77777777" w:rsidTr="00247B52">
              <w:trPr>
                <w:trHeight w:val="316"/>
              </w:trPr>
              <w:tc>
                <w:tcPr>
                  <w:tcW w:w="2471" w:type="dxa"/>
                  <w:tcBorders>
                    <w:top w:val="nil"/>
                    <w:left w:val="nil"/>
                    <w:bottom w:val="nil"/>
                    <w:right w:val="nil"/>
                  </w:tcBorders>
                  <w:shd w:val="clear" w:color="000000" w:fill="FFFFFF"/>
                  <w:noWrap/>
                  <w:tcMar>
                    <w:left w:w="0" w:type="dxa"/>
                    <w:right w:w="0" w:type="dxa"/>
                  </w:tcMar>
                  <w:vAlign w:val="center"/>
                  <w:hideMark/>
                </w:tcPr>
                <w:p w14:paraId="63499000" w14:textId="77777777" w:rsidR="00EB58A6" w:rsidRPr="00A6717D" w:rsidRDefault="00EB58A6" w:rsidP="00EB58A6">
                  <w:pPr>
                    <w:spacing w:after="0" w:line="240" w:lineRule="auto"/>
                    <w:jc w:val="left"/>
                    <w:rPr>
                      <w:rFonts w:eastAsia="Times New Roman" w:cs="Times New Roman"/>
                      <w:i/>
                      <w:iCs/>
                      <w:color w:val="000000"/>
                      <w:sz w:val="20"/>
                      <w:szCs w:val="20"/>
                    </w:rPr>
                  </w:pPr>
                  <w:r w:rsidRPr="00A6717D">
                    <w:rPr>
                      <w:rFonts w:eastAsia="Times New Roman" w:cs="Times New Roman"/>
                      <w:i/>
                      <w:iCs/>
                      <w:color w:val="000000"/>
                      <w:sz w:val="20"/>
                      <w:szCs w:val="20"/>
                    </w:rPr>
                    <w:t>εκ των οποίων εργοδοτικές εισφορές</w:t>
                  </w:r>
                </w:p>
              </w:tc>
              <w:tc>
                <w:tcPr>
                  <w:tcW w:w="935" w:type="dxa"/>
                  <w:tcBorders>
                    <w:top w:val="nil"/>
                    <w:left w:val="nil"/>
                    <w:bottom w:val="nil"/>
                    <w:right w:val="nil"/>
                  </w:tcBorders>
                  <w:shd w:val="clear" w:color="000000" w:fill="FFFFFF"/>
                  <w:noWrap/>
                  <w:tcMar>
                    <w:left w:w="0" w:type="dxa"/>
                    <w:right w:w="0" w:type="dxa"/>
                  </w:tcMar>
                  <w:vAlign w:val="center"/>
                  <w:hideMark/>
                </w:tcPr>
                <w:p w14:paraId="182634EE" w14:textId="77777777" w:rsidR="00EB58A6" w:rsidRPr="00A6717D" w:rsidRDefault="00EB58A6" w:rsidP="00EB58A6">
                  <w:pPr>
                    <w:spacing w:after="0" w:line="240" w:lineRule="auto"/>
                    <w:jc w:val="center"/>
                    <w:rPr>
                      <w:rFonts w:eastAsia="Times New Roman" w:cs="Times New Roman"/>
                      <w:i/>
                      <w:iCs/>
                      <w:color w:val="000000"/>
                      <w:sz w:val="20"/>
                      <w:szCs w:val="20"/>
                      <w:lang w:val="en-US"/>
                    </w:rPr>
                  </w:pPr>
                  <w:r w:rsidRPr="00A6717D">
                    <w:rPr>
                      <w:rFonts w:eastAsia="Times New Roman" w:cs="Times New Roman"/>
                      <w:i/>
                      <w:iCs/>
                      <w:color w:val="000000"/>
                      <w:sz w:val="20"/>
                      <w:szCs w:val="20"/>
                      <w:lang w:val="en-US"/>
                    </w:rPr>
                    <w:t>1.371</w:t>
                  </w:r>
                </w:p>
              </w:tc>
              <w:tc>
                <w:tcPr>
                  <w:tcW w:w="738" w:type="dxa"/>
                  <w:tcBorders>
                    <w:top w:val="nil"/>
                    <w:left w:val="nil"/>
                    <w:bottom w:val="nil"/>
                    <w:right w:val="nil"/>
                  </w:tcBorders>
                  <w:shd w:val="clear" w:color="000000" w:fill="FFFFFF"/>
                  <w:noWrap/>
                  <w:tcMar>
                    <w:left w:w="0" w:type="dxa"/>
                    <w:right w:w="0" w:type="dxa"/>
                  </w:tcMar>
                  <w:vAlign w:val="center"/>
                  <w:hideMark/>
                </w:tcPr>
                <w:p w14:paraId="0CC95BA4" w14:textId="77777777" w:rsidR="00EB58A6" w:rsidRPr="00A6717D" w:rsidRDefault="00EB58A6" w:rsidP="00EB58A6">
                  <w:pPr>
                    <w:spacing w:after="0" w:line="240" w:lineRule="auto"/>
                    <w:jc w:val="center"/>
                    <w:rPr>
                      <w:rFonts w:eastAsia="Times New Roman" w:cs="Times New Roman"/>
                      <w:i/>
                      <w:iCs/>
                      <w:color w:val="000000"/>
                      <w:sz w:val="20"/>
                      <w:szCs w:val="20"/>
                      <w:lang w:val="en-US"/>
                    </w:rPr>
                  </w:pPr>
                  <w:r w:rsidRPr="00A6717D">
                    <w:rPr>
                      <w:rFonts w:eastAsia="Times New Roman" w:cs="Times New Roman"/>
                      <w:i/>
                      <w:iCs/>
                      <w:color w:val="000000"/>
                      <w:sz w:val="20"/>
                      <w:szCs w:val="20"/>
                      <w:lang w:val="en-US"/>
                    </w:rPr>
                    <w:t>1.372</w:t>
                  </w:r>
                </w:p>
              </w:tc>
              <w:tc>
                <w:tcPr>
                  <w:tcW w:w="821" w:type="dxa"/>
                  <w:tcBorders>
                    <w:top w:val="nil"/>
                    <w:left w:val="nil"/>
                    <w:bottom w:val="nil"/>
                    <w:right w:val="nil"/>
                  </w:tcBorders>
                  <w:shd w:val="clear" w:color="000000" w:fill="FFFFFF"/>
                  <w:noWrap/>
                  <w:tcMar>
                    <w:left w:w="0" w:type="dxa"/>
                    <w:right w:w="0" w:type="dxa"/>
                  </w:tcMar>
                  <w:vAlign w:val="center"/>
                  <w:hideMark/>
                </w:tcPr>
                <w:p w14:paraId="23CD5981" w14:textId="77777777" w:rsidR="00EB58A6" w:rsidRPr="00A6717D" w:rsidRDefault="00EB58A6" w:rsidP="00EB58A6">
                  <w:pPr>
                    <w:spacing w:after="0" w:line="240" w:lineRule="auto"/>
                    <w:jc w:val="center"/>
                    <w:rPr>
                      <w:rFonts w:eastAsia="Times New Roman" w:cs="Times New Roman"/>
                      <w:i/>
                      <w:iCs/>
                      <w:color w:val="000000"/>
                      <w:sz w:val="20"/>
                      <w:szCs w:val="20"/>
                      <w:lang w:val="en-US"/>
                    </w:rPr>
                  </w:pPr>
                  <w:r w:rsidRPr="00A6717D">
                    <w:rPr>
                      <w:rFonts w:eastAsia="Times New Roman" w:cs="Times New Roman"/>
                      <w:i/>
                      <w:iCs/>
                      <w:color w:val="000000"/>
                      <w:sz w:val="20"/>
                      <w:szCs w:val="20"/>
                      <w:lang w:val="en-US"/>
                    </w:rPr>
                    <w:t>1.606</w:t>
                  </w:r>
                </w:p>
              </w:tc>
              <w:tc>
                <w:tcPr>
                  <w:tcW w:w="821" w:type="dxa"/>
                  <w:tcBorders>
                    <w:top w:val="nil"/>
                    <w:left w:val="nil"/>
                    <w:bottom w:val="nil"/>
                    <w:right w:val="nil"/>
                  </w:tcBorders>
                  <w:shd w:val="clear" w:color="000000" w:fill="FFFFFF"/>
                  <w:noWrap/>
                  <w:tcMar>
                    <w:left w:w="0" w:type="dxa"/>
                    <w:right w:w="0" w:type="dxa"/>
                  </w:tcMar>
                  <w:vAlign w:val="center"/>
                  <w:hideMark/>
                </w:tcPr>
                <w:p w14:paraId="17EF62D0" w14:textId="77777777" w:rsidR="00EB58A6" w:rsidRPr="00A6717D" w:rsidRDefault="00EB58A6" w:rsidP="00EB58A6">
                  <w:pPr>
                    <w:spacing w:after="0" w:line="240" w:lineRule="auto"/>
                    <w:jc w:val="center"/>
                    <w:rPr>
                      <w:rFonts w:eastAsia="Times New Roman" w:cs="Times New Roman"/>
                      <w:i/>
                      <w:iCs/>
                      <w:color w:val="000000"/>
                      <w:sz w:val="20"/>
                      <w:szCs w:val="20"/>
                      <w:lang w:val="en-US"/>
                    </w:rPr>
                  </w:pPr>
                  <w:r w:rsidRPr="00A6717D">
                    <w:rPr>
                      <w:rFonts w:eastAsia="Times New Roman" w:cs="Times New Roman"/>
                      <w:i/>
                      <w:iCs/>
                      <w:color w:val="000000"/>
                      <w:sz w:val="20"/>
                      <w:szCs w:val="20"/>
                      <w:lang w:val="en-US"/>
                    </w:rPr>
                    <w:t>1.988</w:t>
                  </w:r>
                </w:p>
              </w:tc>
              <w:tc>
                <w:tcPr>
                  <w:tcW w:w="821" w:type="dxa"/>
                  <w:tcBorders>
                    <w:top w:val="nil"/>
                    <w:left w:val="nil"/>
                    <w:bottom w:val="nil"/>
                    <w:right w:val="nil"/>
                  </w:tcBorders>
                  <w:shd w:val="clear" w:color="000000" w:fill="FFFFFF"/>
                  <w:noWrap/>
                  <w:tcMar>
                    <w:left w:w="0" w:type="dxa"/>
                    <w:right w:w="0" w:type="dxa"/>
                  </w:tcMar>
                  <w:vAlign w:val="center"/>
                  <w:hideMark/>
                </w:tcPr>
                <w:p w14:paraId="55AE7AD6" w14:textId="77777777" w:rsidR="00EB58A6" w:rsidRPr="00A6717D" w:rsidRDefault="00EB58A6" w:rsidP="00EB58A6">
                  <w:pPr>
                    <w:spacing w:after="0" w:line="240" w:lineRule="auto"/>
                    <w:jc w:val="center"/>
                    <w:rPr>
                      <w:rFonts w:eastAsia="Times New Roman" w:cs="Times New Roman"/>
                      <w:i/>
                      <w:iCs/>
                      <w:color w:val="000000"/>
                      <w:sz w:val="20"/>
                      <w:szCs w:val="20"/>
                      <w:lang w:val="en-US"/>
                    </w:rPr>
                  </w:pPr>
                  <w:r w:rsidRPr="00A6717D">
                    <w:rPr>
                      <w:rFonts w:eastAsia="Times New Roman" w:cs="Times New Roman"/>
                      <w:i/>
                      <w:iCs/>
                      <w:color w:val="000000"/>
                      <w:sz w:val="20"/>
                      <w:szCs w:val="20"/>
                      <w:lang w:val="en-US"/>
                    </w:rPr>
                    <w:t>2.308</w:t>
                  </w:r>
                </w:p>
              </w:tc>
              <w:tc>
                <w:tcPr>
                  <w:tcW w:w="821" w:type="dxa"/>
                  <w:tcBorders>
                    <w:top w:val="nil"/>
                    <w:left w:val="nil"/>
                    <w:bottom w:val="nil"/>
                    <w:right w:val="nil"/>
                  </w:tcBorders>
                  <w:shd w:val="clear" w:color="000000" w:fill="FFFFFF"/>
                  <w:noWrap/>
                  <w:tcMar>
                    <w:left w:w="0" w:type="dxa"/>
                    <w:right w:w="0" w:type="dxa"/>
                  </w:tcMar>
                  <w:vAlign w:val="center"/>
                  <w:hideMark/>
                </w:tcPr>
                <w:p w14:paraId="21AB4334" w14:textId="77777777" w:rsidR="00EB58A6" w:rsidRPr="00A6717D" w:rsidRDefault="00EB58A6" w:rsidP="00EB58A6">
                  <w:pPr>
                    <w:spacing w:after="0" w:line="240" w:lineRule="auto"/>
                    <w:jc w:val="center"/>
                    <w:rPr>
                      <w:rFonts w:eastAsia="Times New Roman" w:cs="Times New Roman"/>
                      <w:i/>
                      <w:iCs/>
                      <w:color w:val="000000"/>
                      <w:sz w:val="20"/>
                      <w:szCs w:val="20"/>
                      <w:lang w:val="en-US"/>
                    </w:rPr>
                  </w:pPr>
                  <w:r w:rsidRPr="00A6717D">
                    <w:rPr>
                      <w:rFonts w:eastAsia="Times New Roman" w:cs="Times New Roman"/>
                      <w:i/>
                      <w:iCs/>
                      <w:color w:val="000000"/>
                      <w:sz w:val="20"/>
                      <w:szCs w:val="20"/>
                      <w:lang w:val="en-US"/>
                    </w:rPr>
                    <w:t>2.630</w:t>
                  </w:r>
                </w:p>
              </w:tc>
              <w:tc>
                <w:tcPr>
                  <w:tcW w:w="889" w:type="dxa"/>
                  <w:tcBorders>
                    <w:top w:val="nil"/>
                    <w:left w:val="nil"/>
                    <w:bottom w:val="nil"/>
                    <w:right w:val="nil"/>
                  </w:tcBorders>
                  <w:shd w:val="clear" w:color="000000" w:fill="FFFFFF"/>
                  <w:noWrap/>
                  <w:tcMar>
                    <w:left w:w="0" w:type="dxa"/>
                    <w:right w:w="0" w:type="dxa"/>
                  </w:tcMar>
                  <w:vAlign w:val="center"/>
                  <w:hideMark/>
                </w:tcPr>
                <w:p w14:paraId="423DE51A" w14:textId="77777777" w:rsidR="00EB58A6" w:rsidRPr="00A6717D" w:rsidRDefault="00EB58A6" w:rsidP="00EB58A6">
                  <w:pPr>
                    <w:spacing w:after="0" w:line="240" w:lineRule="auto"/>
                    <w:jc w:val="center"/>
                    <w:rPr>
                      <w:rFonts w:eastAsia="Times New Roman" w:cs="Times New Roman"/>
                      <w:i/>
                      <w:iCs/>
                      <w:color w:val="000000"/>
                      <w:sz w:val="20"/>
                      <w:szCs w:val="20"/>
                      <w:lang w:val="en-US"/>
                    </w:rPr>
                  </w:pPr>
                  <w:r>
                    <w:rPr>
                      <w:i/>
                      <w:iCs/>
                      <w:color w:val="000000"/>
                      <w:sz w:val="20"/>
                      <w:szCs w:val="20"/>
                    </w:rPr>
                    <w:t>1.258</w:t>
                  </w:r>
                </w:p>
              </w:tc>
            </w:tr>
            <w:tr w:rsidR="00EB58A6" w:rsidRPr="0033113E" w14:paraId="39A08BFE" w14:textId="77777777" w:rsidTr="00247B52">
              <w:trPr>
                <w:trHeight w:val="413"/>
              </w:trPr>
              <w:tc>
                <w:tcPr>
                  <w:tcW w:w="2471" w:type="dxa"/>
                  <w:tcBorders>
                    <w:top w:val="nil"/>
                    <w:left w:val="nil"/>
                    <w:bottom w:val="nil"/>
                    <w:right w:val="nil"/>
                  </w:tcBorders>
                  <w:shd w:val="clear" w:color="000000" w:fill="D9D9D9"/>
                  <w:noWrap/>
                  <w:tcMar>
                    <w:left w:w="0" w:type="dxa"/>
                    <w:right w:w="0" w:type="dxa"/>
                  </w:tcMar>
                  <w:vAlign w:val="center"/>
                  <w:hideMark/>
                </w:tcPr>
                <w:p w14:paraId="7BCC56B7" w14:textId="77777777" w:rsidR="00EB58A6" w:rsidRPr="00A6717D" w:rsidRDefault="00EB58A6" w:rsidP="00EB58A6">
                  <w:pPr>
                    <w:spacing w:after="0" w:line="240" w:lineRule="auto"/>
                    <w:jc w:val="left"/>
                    <w:rPr>
                      <w:rFonts w:eastAsia="Times New Roman" w:cs="Times New Roman"/>
                      <w:b/>
                      <w:bCs/>
                      <w:color w:val="000000"/>
                      <w:sz w:val="20"/>
                      <w:szCs w:val="20"/>
                    </w:rPr>
                  </w:pPr>
                  <w:r w:rsidRPr="00A6717D">
                    <w:rPr>
                      <w:rFonts w:eastAsia="Times New Roman" w:cs="Times New Roman"/>
                      <w:b/>
                      <w:bCs/>
                      <w:color w:val="000000"/>
                      <w:sz w:val="20"/>
                      <w:szCs w:val="20"/>
                      <w:lang w:val="en-US"/>
                    </w:rPr>
                    <w:t>II. Προσωπικό ΓΚ</w:t>
                  </w:r>
                  <w:r>
                    <w:rPr>
                      <w:rFonts w:eastAsia="Times New Roman" w:cs="Times New Roman"/>
                      <w:b/>
                      <w:bCs/>
                      <w:color w:val="000000"/>
                      <w:sz w:val="20"/>
                      <w:szCs w:val="20"/>
                    </w:rPr>
                    <w:t>*</w:t>
                  </w:r>
                </w:p>
              </w:tc>
              <w:tc>
                <w:tcPr>
                  <w:tcW w:w="935" w:type="dxa"/>
                  <w:tcBorders>
                    <w:top w:val="nil"/>
                    <w:left w:val="nil"/>
                    <w:bottom w:val="nil"/>
                    <w:right w:val="nil"/>
                  </w:tcBorders>
                  <w:shd w:val="clear" w:color="000000" w:fill="D9D9D9"/>
                  <w:noWrap/>
                  <w:tcMar>
                    <w:left w:w="0" w:type="dxa"/>
                    <w:right w:w="0" w:type="dxa"/>
                  </w:tcMar>
                  <w:vAlign w:val="center"/>
                  <w:hideMark/>
                </w:tcPr>
                <w:p w14:paraId="6927A104" w14:textId="77777777" w:rsidR="00EB58A6" w:rsidRPr="00A6717D" w:rsidRDefault="00EB58A6" w:rsidP="00EB58A6">
                  <w:pPr>
                    <w:spacing w:after="0" w:line="240" w:lineRule="auto"/>
                    <w:jc w:val="center"/>
                    <w:rPr>
                      <w:rFonts w:eastAsia="Times New Roman" w:cs="Times New Roman"/>
                      <w:color w:val="000000"/>
                      <w:sz w:val="20"/>
                      <w:szCs w:val="20"/>
                      <w:lang w:val="en-US"/>
                    </w:rPr>
                  </w:pPr>
                  <w:r w:rsidRPr="00A6717D">
                    <w:rPr>
                      <w:rFonts w:eastAsia="Times New Roman" w:cs="Times New Roman"/>
                      <w:color w:val="000000"/>
                      <w:sz w:val="20"/>
                      <w:szCs w:val="20"/>
                      <w:lang w:val="en-US"/>
                    </w:rPr>
                    <w:t>686.824</w:t>
                  </w:r>
                </w:p>
              </w:tc>
              <w:tc>
                <w:tcPr>
                  <w:tcW w:w="738" w:type="dxa"/>
                  <w:tcBorders>
                    <w:top w:val="nil"/>
                    <w:left w:val="nil"/>
                    <w:bottom w:val="nil"/>
                    <w:right w:val="nil"/>
                  </w:tcBorders>
                  <w:shd w:val="clear" w:color="000000" w:fill="D9D9D9"/>
                  <w:noWrap/>
                  <w:tcMar>
                    <w:left w:w="0" w:type="dxa"/>
                    <w:right w:w="0" w:type="dxa"/>
                  </w:tcMar>
                  <w:vAlign w:val="center"/>
                  <w:hideMark/>
                </w:tcPr>
                <w:p w14:paraId="3058FE15" w14:textId="77777777" w:rsidR="00EB58A6" w:rsidRPr="00A6717D" w:rsidRDefault="00EB58A6" w:rsidP="00EB58A6">
                  <w:pPr>
                    <w:spacing w:after="0" w:line="240" w:lineRule="auto"/>
                    <w:jc w:val="center"/>
                    <w:rPr>
                      <w:rFonts w:eastAsia="Times New Roman" w:cs="Times New Roman"/>
                      <w:color w:val="000000"/>
                      <w:sz w:val="20"/>
                      <w:szCs w:val="20"/>
                      <w:lang w:val="en-US"/>
                    </w:rPr>
                  </w:pPr>
                  <w:r w:rsidRPr="00A6717D">
                    <w:rPr>
                      <w:rFonts w:eastAsia="Times New Roman" w:cs="Times New Roman"/>
                      <w:color w:val="000000"/>
                      <w:sz w:val="20"/>
                      <w:szCs w:val="20"/>
                      <w:lang w:val="en-US"/>
                    </w:rPr>
                    <w:t>692.183</w:t>
                  </w:r>
                </w:p>
              </w:tc>
              <w:tc>
                <w:tcPr>
                  <w:tcW w:w="821" w:type="dxa"/>
                  <w:tcBorders>
                    <w:top w:val="nil"/>
                    <w:left w:val="nil"/>
                    <w:bottom w:val="nil"/>
                    <w:right w:val="nil"/>
                  </w:tcBorders>
                  <w:shd w:val="clear" w:color="000000" w:fill="D9D9D9"/>
                  <w:noWrap/>
                  <w:tcMar>
                    <w:left w:w="0" w:type="dxa"/>
                    <w:right w:w="0" w:type="dxa"/>
                  </w:tcMar>
                  <w:vAlign w:val="center"/>
                  <w:hideMark/>
                </w:tcPr>
                <w:p w14:paraId="6118271F" w14:textId="77777777" w:rsidR="00EB58A6" w:rsidRPr="00A6717D" w:rsidRDefault="00EB58A6" w:rsidP="00EB58A6">
                  <w:pPr>
                    <w:spacing w:after="0" w:line="240" w:lineRule="auto"/>
                    <w:jc w:val="center"/>
                    <w:rPr>
                      <w:rFonts w:eastAsia="Times New Roman" w:cs="Times New Roman"/>
                      <w:color w:val="000000"/>
                      <w:sz w:val="20"/>
                      <w:szCs w:val="20"/>
                      <w:lang w:val="en-US"/>
                    </w:rPr>
                  </w:pPr>
                  <w:r w:rsidRPr="00A6717D">
                    <w:rPr>
                      <w:rFonts w:eastAsia="Times New Roman" w:cs="Times New Roman"/>
                      <w:color w:val="000000"/>
                      <w:sz w:val="20"/>
                      <w:szCs w:val="20"/>
                      <w:lang w:val="en-US"/>
                    </w:rPr>
                    <w:t>705.563</w:t>
                  </w:r>
                </w:p>
              </w:tc>
              <w:tc>
                <w:tcPr>
                  <w:tcW w:w="821" w:type="dxa"/>
                  <w:tcBorders>
                    <w:top w:val="nil"/>
                    <w:left w:val="nil"/>
                    <w:bottom w:val="nil"/>
                    <w:right w:val="nil"/>
                  </w:tcBorders>
                  <w:shd w:val="clear" w:color="000000" w:fill="D9D9D9"/>
                  <w:noWrap/>
                  <w:tcMar>
                    <w:left w:w="0" w:type="dxa"/>
                    <w:right w:w="0" w:type="dxa"/>
                  </w:tcMar>
                  <w:vAlign w:val="center"/>
                  <w:hideMark/>
                </w:tcPr>
                <w:p w14:paraId="76A1B2A4" w14:textId="77777777" w:rsidR="00EB58A6" w:rsidRPr="00A6717D" w:rsidRDefault="00EB58A6" w:rsidP="00EB58A6">
                  <w:pPr>
                    <w:spacing w:after="0" w:line="240" w:lineRule="auto"/>
                    <w:jc w:val="center"/>
                    <w:rPr>
                      <w:rFonts w:eastAsia="Times New Roman" w:cs="Times New Roman"/>
                      <w:color w:val="000000"/>
                      <w:sz w:val="20"/>
                      <w:szCs w:val="20"/>
                      <w:lang w:val="en-US"/>
                    </w:rPr>
                  </w:pPr>
                  <w:r w:rsidRPr="00A6717D">
                    <w:rPr>
                      <w:rFonts w:eastAsia="Times New Roman" w:cs="Times New Roman"/>
                      <w:color w:val="000000"/>
                      <w:sz w:val="20"/>
                      <w:szCs w:val="20"/>
                      <w:lang w:val="en-US"/>
                    </w:rPr>
                    <w:t>723.791</w:t>
                  </w:r>
                </w:p>
              </w:tc>
              <w:tc>
                <w:tcPr>
                  <w:tcW w:w="821" w:type="dxa"/>
                  <w:tcBorders>
                    <w:top w:val="nil"/>
                    <w:left w:val="nil"/>
                    <w:bottom w:val="nil"/>
                    <w:right w:val="nil"/>
                  </w:tcBorders>
                  <w:shd w:val="clear" w:color="000000" w:fill="D9D9D9"/>
                  <w:noWrap/>
                  <w:tcMar>
                    <w:left w:w="0" w:type="dxa"/>
                    <w:right w:w="0" w:type="dxa"/>
                  </w:tcMar>
                  <w:vAlign w:val="center"/>
                  <w:hideMark/>
                </w:tcPr>
                <w:p w14:paraId="344F2A60" w14:textId="77777777" w:rsidR="00EB58A6" w:rsidRPr="00A6717D" w:rsidRDefault="00EB58A6" w:rsidP="00EB58A6">
                  <w:pPr>
                    <w:spacing w:after="0" w:line="240" w:lineRule="auto"/>
                    <w:jc w:val="center"/>
                    <w:rPr>
                      <w:rFonts w:eastAsia="Times New Roman" w:cs="Times New Roman"/>
                      <w:color w:val="000000"/>
                      <w:sz w:val="20"/>
                      <w:szCs w:val="20"/>
                      <w:lang w:val="en-US"/>
                    </w:rPr>
                  </w:pPr>
                  <w:r w:rsidRPr="00A6717D">
                    <w:rPr>
                      <w:rFonts w:eastAsia="Times New Roman" w:cs="Times New Roman"/>
                      <w:color w:val="000000"/>
                      <w:sz w:val="20"/>
                      <w:szCs w:val="20"/>
                      <w:lang w:val="en-US"/>
                    </w:rPr>
                    <w:t>741.577</w:t>
                  </w:r>
                </w:p>
              </w:tc>
              <w:tc>
                <w:tcPr>
                  <w:tcW w:w="821" w:type="dxa"/>
                  <w:tcBorders>
                    <w:top w:val="nil"/>
                    <w:left w:val="nil"/>
                    <w:bottom w:val="nil"/>
                    <w:right w:val="nil"/>
                  </w:tcBorders>
                  <w:shd w:val="clear" w:color="000000" w:fill="D9D9D9"/>
                  <w:noWrap/>
                  <w:tcMar>
                    <w:left w:w="0" w:type="dxa"/>
                    <w:right w:w="0" w:type="dxa"/>
                  </w:tcMar>
                  <w:vAlign w:val="center"/>
                  <w:hideMark/>
                </w:tcPr>
                <w:p w14:paraId="5C1974D2" w14:textId="77777777" w:rsidR="00EB58A6" w:rsidRPr="00A6717D" w:rsidRDefault="00EB58A6" w:rsidP="00EB58A6">
                  <w:pPr>
                    <w:spacing w:after="0" w:line="240" w:lineRule="auto"/>
                    <w:jc w:val="center"/>
                    <w:rPr>
                      <w:rFonts w:eastAsia="Times New Roman" w:cs="Times New Roman"/>
                      <w:color w:val="000000"/>
                      <w:sz w:val="20"/>
                      <w:szCs w:val="20"/>
                      <w:lang w:val="en-US"/>
                    </w:rPr>
                  </w:pPr>
                  <w:r w:rsidRPr="00A6717D">
                    <w:rPr>
                      <w:rFonts w:eastAsia="Times New Roman" w:cs="Times New Roman"/>
                      <w:color w:val="000000"/>
                      <w:sz w:val="20"/>
                      <w:szCs w:val="20"/>
                      <w:lang w:val="en-US"/>
                    </w:rPr>
                    <w:t>767.535</w:t>
                  </w:r>
                </w:p>
              </w:tc>
              <w:tc>
                <w:tcPr>
                  <w:tcW w:w="889" w:type="dxa"/>
                  <w:tcBorders>
                    <w:top w:val="nil"/>
                    <w:left w:val="nil"/>
                    <w:bottom w:val="nil"/>
                    <w:right w:val="nil"/>
                  </w:tcBorders>
                  <w:shd w:val="clear" w:color="000000" w:fill="D9D9D9"/>
                  <w:noWrap/>
                  <w:tcMar>
                    <w:left w:w="0" w:type="dxa"/>
                    <w:right w:w="0" w:type="dxa"/>
                  </w:tcMar>
                  <w:vAlign w:val="center"/>
                  <w:hideMark/>
                </w:tcPr>
                <w:p w14:paraId="57A39539" w14:textId="77777777" w:rsidR="00EB58A6" w:rsidRPr="00A6717D" w:rsidRDefault="00EB58A6" w:rsidP="00EB58A6">
                  <w:pPr>
                    <w:spacing w:after="0" w:line="240" w:lineRule="auto"/>
                    <w:jc w:val="center"/>
                    <w:rPr>
                      <w:rFonts w:eastAsia="Times New Roman" w:cs="Times New Roman"/>
                      <w:color w:val="000000"/>
                      <w:sz w:val="20"/>
                      <w:szCs w:val="20"/>
                      <w:lang w:val="en-US"/>
                    </w:rPr>
                  </w:pPr>
                  <w:r>
                    <w:rPr>
                      <w:color w:val="000000"/>
                      <w:sz w:val="20"/>
                      <w:szCs w:val="20"/>
                    </w:rPr>
                    <w:t>80.711</w:t>
                  </w:r>
                </w:p>
              </w:tc>
            </w:tr>
            <w:tr w:rsidR="00EB58A6" w:rsidRPr="0033113E" w14:paraId="3187A134" w14:textId="77777777" w:rsidTr="00247B52">
              <w:trPr>
                <w:trHeight w:val="316"/>
              </w:trPr>
              <w:tc>
                <w:tcPr>
                  <w:tcW w:w="2471" w:type="dxa"/>
                  <w:tcBorders>
                    <w:top w:val="nil"/>
                    <w:left w:val="nil"/>
                    <w:bottom w:val="nil"/>
                    <w:right w:val="nil"/>
                  </w:tcBorders>
                  <w:shd w:val="clear" w:color="000000" w:fill="FFFFFF"/>
                  <w:noWrap/>
                  <w:tcMar>
                    <w:left w:w="0" w:type="dxa"/>
                    <w:right w:w="0" w:type="dxa"/>
                  </w:tcMar>
                  <w:vAlign w:val="center"/>
                  <w:hideMark/>
                </w:tcPr>
                <w:p w14:paraId="5F275268" w14:textId="77777777" w:rsidR="00EB58A6" w:rsidRPr="00A6717D" w:rsidRDefault="00EB58A6" w:rsidP="00EB58A6">
                  <w:pPr>
                    <w:spacing w:after="0" w:line="240" w:lineRule="auto"/>
                    <w:jc w:val="left"/>
                    <w:rPr>
                      <w:rFonts w:eastAsia="Times New Roman" w:cs="Times New Roman"/>
                      <w:color w:val="000000"/>
                      <w:sz w:val="20"/>
                      <w:szCs w:val="20"/>
                      <w:lang w:val="en-US"/>
                    </w:rPr>
                  </w:pPr>
                  <w:r w:rsidRPr="00A6717D">
                    <w:rPr>
                      <w:rFonts w:eastAsia="Times New Roman" w:cs="Times New Roman"/>
                      <w:color w:val="000000"/>
                      <w:sz w:val="20"/>
                      <w:szCs w:val="20"/>
                      <w:lang w:val="en-US"/>
                    </w:rPr>
                    <w:t>α. Τακτικό Προσωπικό</w:t>
                  </w:r>
                </w:p>
              </w:tc>
              <w:tc>
                <w:tcPr>
                  <w:tcW w:w="935" w:type="dxa"/>
                  <w:tcBorders>
                    <w:top w:val="nil"/>
                    <w:left w:val="nil"/>
                    <w:bottom w:val="nil"/>
                    <w:right w:val="nil"/>
                  </w:tcBorders>
                  <w:shd w:val="clear" w:color="000000" w:fill="FFFFFF"/>
                  <w:noWrap/>
                  <w:tcMar>
                    <w:left w:w="0" w:type="dxa"/>
                    <w:right w:w="0" w:type="dxa"/>
                  </w:tcMar>
                  <w:vAlign w:val="center"/>
                  <w:hideMark/>
                </w:tcPr>
                <w:p w14:paraId="02915666" w14:textId="77777777" w:rsidR="00EB58A6" w:rsidRPr="00A6717D" w:rsidRDefault="00EB58A6" w:rsidP="00EB58A6">
                  <w:pPr>
                    <w:spacing w:after="0" w:line="240" w:lineRule="auto"/>
                    <w:jc w:val="center"/>
                    <w:rPr>
                      <w:rFonts w:eastAsia="Times New Roman" w:cs="Times New Roman"/>
                      <w:color w:val="000000"/>
                      <w:sz w:val="20"/>
                      <w:szCs w:val="20"/>
                      <w:lang w:val="en-US"/>
                    </w:rPr>
                  </w:pPr>
                  <w:r w:rsidRPr="00A6717D">
                    <w:rPr>
                      <w:rFonts w:eastAsia="Times New Roman" w:cs="Times New Roman"/>
                      <w:color w:val="000000"/>
                      <w:sz w:val="20"/>
                      <w:szCs w:val="20"/>
                      <w:lang w:val="en-US"/>
                    </w:rPr>
                    <w:t>600.484</w:t>
                  </w:r>
                </w:p>
              </w:tc>
              <w:tc>
                <w:tcPr>
                  <w:tcW w:w="738" w:type="dxa"/>
                  <w:tcBorders>
                    <w:top w:val="nil"/>
                    <w:left w:val="nil"/>
                    <w:bottom w:val="nil"/>
                    <w:right w:val="nil"/>
                  </w:tcBorders>
                  <w:shd w:val="clear" w:color="000000" w:fill="FFFFFF"/>
                  <w:noWrap/>
                  <w:tcMar>
                    <w:left w:w="0" w:type="dxa"/>
                    <w:right w:w="0" w:type="dxa"/>
                  </w:tcMar>
                  <w:vAlign w:val="center"/>
                  <w:hideMark/>
                </w:tcPr>
                <w:p w14:paraId="1CAC28C6" w14:textId="77777777" w:rsidR="00EB58A6" w:rsidRPr="00A6717D" w:rsidRDefault="00EB58A6" w:rsidP="00EB58A6">
                  <w:pPr>
                    <w:spacing w:after="0" w:line="240" w:lineRule="auto"/>
                    <w:jc w:val="center"/>
                    <w:rPr>
                      <w:rFonts w:eastAsia="Times New Roman" w:cs="Times New Roman"/>
                      <w:color w:val="000000"/>
                      <w:sz w:val="20"/>
                      <w:szCs w:val="20"/>
                      <w:lang w:val="en-US"/>
                    </w:rPr>
                  </w:pPr>
                  <w:r w:rsidRPr="00A6717D">
                    <w:rPr>
                      <w:rFonts w:eastAsia="Times New Roman" w:cs="Times New Roman"/>
                      <w:color w:val="000000"/>
                      <w:sz w:val="20"/>
                      <w:szCs w:val="20"/>
                      <w:lang w:val="en-US"/>
                    </w:rPr>
                    <w:t>598.870</w:t>
                  </w:r>
                </w:p>
              </w:tc>
              <w:tc>
                <w:tcPr>
                  <w:tcW w:w="821" w:type="dxa"/>
                  <w:tcBorders>
                    <w:top w:val="nil"/>
                    <w:left w:val="nil"/>
                    <w:bottom w:val="nil"/>
                    <w:right w:val="nil"/>
                  </w:tcBorders>
                  <w:shd w:val="clear" w:color="000000" w:fill="FFFFFF"/>
                  <w:noWrap/>
                  <w:tcMar>
                    <w:left w:w="0" w:type="dxa"/>
                    <w:right w:w="0" w:type="dxa"/>
                  </w:tcMar>
                  <w:vAlign w:val="center"/>
                  <w:hideMark/>
                </w:tcPr>
                <w:p w14:paraId="13A503BC" w14:textId="77777777" w:rsidR="00EB58A6" w:rsidRPr="00A6717D" w:rsidRDefault="00EB58A6" w:rsidP="00EB58A6">
                  <w:pPr>
                    <w:spacing w:after="0" w:line="240" w:lineRule="auto"/>
                    <w:jc w:val="center"/>
                    <w:rPr>
                      <w:rFonts w:eastAsia="Times New Roman" w:cs="Times New Roman"/>
                      <w:color w:val="000000"/>
                      <w:sz w:val="20"/>
                      <w:szCs w:val="20"/>
                      <w:lang w:val="en-US"/>
                    </w:rPr>
                  </w:pPr>
                  <w:r w:rsidRPr="00A6717D">
                    <w:rPr>
                      <w:rFonts w:eastAsia="Times New Roman" w:cs="Times New Roman"/>
                      <w:color w:val="000000"/>
                      <w:sz w:val="20"/>
                      <w:szCs w:val="20"/>
                      <w:lang w:val="en-US"/>
                    </w:rPr>
                    <w:t>602.908</w:t>
                  </w:r>
                </w:p>
              </w:tc>
              <w:tc>
                <w:tcPr>
                  <w:tcW w:w="821" w:type="dxa"/>
                  <w:tcBorders>
                    <w:top w:val="nil"/>
                    <w:left w:val="nil"/>
                    <w:bottom w:val="nil"/>
                    <w:right w:val="nil"/>
                  </w:tcBorders>
                  <w:shd w:val="clear" w:color="000000" w:fill="FFFFFF"/>
                  <w:noWrap/>
                  <w:tcMar>
                    <w:left w:w="0" w:type="dxa"/>
                    <w:right w:w="0" w:type="dxa"/>
                  </w:tcMar>
                  <w:vAlign w:val="center"/>
                  <w:hideMark/>
                </w:tcPr>
                <w:p w14:paraId="3C8CF892" w14:textId="77777777" w:rsidR="00EB58A6" w:rsidRPr="00A6717D" w:rsidRDefault="00EB58A6" w:rsidP="00EB58A6">
                  <w:pPr>
                    <w:spacing w:after="0" w:line="240" w:lineRule="auto"/>
                    <w:jc w:val="center"/>
                    <w:rPr>
                      <w:rFonts w:eastAsia="Times New Roman" w:cs="Times New Roman"/>
                      <w:color w:val="000000"/>
                      <w:sz w:val="20"/>
                      <w:szCs w:val="20"/>
                      <w:lang w:val="en-US"/>
                    </w:rPr>
                  </w:pPr>
                  <w:r w:rsidRPr="00A6717D">
                    <w:rPr>
                      <w:rFonts w:eastAsia="Times New Roman" w:cs="Times New Roman"/>
                      <w:color w:val="000000"/>
                      <w:sz w:val="20"/>
                      <w:szCs w:val="20"/>
                      <w:lang w:val="en-US"/>
                    </w:rPr>
                    <w:t>601.103</w:t>
                  </w:r>
                </w:p>
              </w:tc>
              <w:tc>
                <w:tcPr>
                  <w:tcW w:w="821" w:type="dxa"/>
                  <w:tcBorders>
                    <w:top w:val="nil"/>
                    <w:left w:val="nil"/>
                    <w:bottom w:val="nil"/>
                    <w:right w:val="nil"/>
                  </w:tcBorders>
                  <w:shd w:val="clear" w:color="000000" w:fill="FFFFFF"/>
                  <w:noWrap/>
                  <w:tcMar>
                    <w:left w:w="0" w:type="dxa"/>
                    <w:right w:w="0" w:type="dxa"/>
                  </w:tcMar>
                  <w:vAlign w:val="center"/>
                  <w:hideMark/>
                </w:tcPr>
                <w:p w14:paraId="0728D880" w14:textId="77777777" w:rsidR="00EB58A6" w:rsidRPr="00A6717D" w:rsidRDefault="00EB58A6" w:rsidP="00EB58A6">
                  <w:pPr>
                    <w:spacing w:after="0" w:line="240" w:lineRule="auto"/>
                    <w:jc w:val="center"/>
                    <w:rPr>
                      <w:rFonts w:eastAsia="Times New Roman" w:cs="Times New Roman"/>
                      <w:color w:val="000000"/>
                      <w:sz w:val="20"/>
                      <w:szCs w:val="20"/>
                      <w:lang w:val="en-US"/>
                    </w:rPr>
                  </w:pPr>
                  <w:r w:rsidRPr="00A6717D">
                    <w:rPr>
                      <w:rFonts w:eastAsia="Times New Roman" w:cs="Times New Roman"/>
                      <w:color w:val="000000"/>
                      <w:sz w:val="20"/>
                      <w:szCs w:val="20"/>
                      <w:lang w:val="en-US"/>
                    </w:rPr>
                    <w:t>606.564</w:t>
                  </w:r>
                </w:p>
              </w:tc>
              <w:tc>
                <w:tcPr>
                  <w:tcW w:w="821" w:type="dxa"/>
                  <w:tcBorders>
                    <w:top w:val="nil"/>
                    <w:left w:val="nil"/>
                    <w:bottom w:val="nil"/>
                    <w:right w:val="nil"/>
                  </w:tcBorders>
                  <w:shd w:val="clear" w:color="000000" w:fill="FFFFFF"/>
                  <w:noWrap/>
                  <w:tcMar>
                    <w:left w:w="0" w:type="dxa"/>
                    <w:right w:w="0" w:type="dxa"/>
                  </w:tcMar>
                  <w:vAlign w:val="center"/>
                  <w:hideMark/>
                </w:tcPr>
                <w:p w14:paraId="450669B6" w14:textId="77777777" w:rsidR="00EB58A6" w:rsidRPr="00A6717D" w:rsidRDefault="00EB58A6" w:rsidP="00EB58A6">
                  <w:pPr>
                    <w:spacing w:after="0" w:line="240" w:lineRule="auto"/>
                    <w:jc w:val="center"/>
                    <w:rPr>
                      <w:rFonts w:eastAsia="Times New Roman" w:cs="Times New Roman"/>
                      <w:color w:val="000000"/>
                      <w:sz w:val="20"/>
                      <w:szCs w:val="20"/>
                      <w:lang w:val="en-US"/>
                    </w:rPr>
                  </w:pPr>
                  <w:r w:rsidRPr="00A6717D">
                    <w:rPr>
                      <w:rFonts w:eastAsia="Times New Roman" w:cs="Times New Roman"/>
                      <w:color w:val="000000"/>
                      <w:sz w:val="20"/>
                      <w:szCs w:val="20"/>
                      <w:lang w:val="en-US"/>
                    </w:rPr>
                    <w:t>602.789</w:t>
                  </w:r>
                </w:p>
              </w:tc>
              <w:tc>
                <w:tcPr>
                  <w:tcW w:w="889" w:type="dxa"/>
                  <w:tcBorders>
                    <w:top w:val="nil"/>
                    <w:left w:val="nil"/>
                    <w:bottom w:val="nil"/>
                    <w:right w:val="nil"/>
                  </w:tcBorders>
                  <w:shd w:val="clear" w:color="000000" w:fill="FFFFFF"/>
                  <w:noWrap/>
                  <w:tcMar>
                    <w:left w:w="0" w:type="dxa"/>
                    <w:right w:w="0" w:type="dxa"/>
                  </w:tcMar>
                  <w:vAlign w:val="center"/>
                  <w:hideMark/>
                </w:tcPr>
                <w:p w14:paraId="22124256" w14:textId="77777777" w:rsidR="00EB58A6" w:rsidRPr="00A6717D" w:rsidRDefault="00EB58A6" w:rsidP="00EB58A6">
                  <w:pPr>
                    <w:spacing w:after="0" w:line="240" w:lineRule="auto"/>
                    <w:jc w:val="center"/>
                    <w:rPr>
                      <w:rFonts w:eastAsia="Times New Roman" w:cs="Times New Roman"/>
                      <w:color w:val="000000"/>
                      <w:sz w:val="20"/>
                      <w:szCs w:val="20"/>
                      <w:lang w:val="en-US"/>
                    </w:rPr>
                  </w:pPr>
                  <w:r>
                    <w:rPr>
                      <w:color w:val="000000"/>
                      <w:sz w:val="20"/>
                      <w:szCs w:val="20"/>
                    </w:rPr>
                    <w:t>2.305</w:t>
                  </w:r>
                </w:p>
              </w:tc>
            </w:tr>
            <w:tr w:rsidR="00EB58A6" w:rsidRPr="0033113E" w14:paraId="0BE3BCA2" w14:textId="77777777" w:rsidTr="00247B52">
              <w:trPr>
                <w:trHeight w:val="316"/>
              </w:trPr>
              <w:tc>
                <w:tcPr>
                  <w:tcW w:w="2471" w:type="dxa"/>
                  <w:tcBorders>
                    <w:top w:val="nil"/>
                    <w:left w:val="nil"/>
                    <w:bottom w:val="nil"/>
                    <w:right w:val="nil"/>
                  </w:tcBorders>
                  <w:shd w:val="clear" w:color="000000" w:fill="FFFFFF"/>
                  <w:noWrap/>
                  <w:tcMar>
                    <w:left w:w="0" w:type="dxa"/>
                    <w:right w:w="0" w:type="dxa"/>
                  </w:tcMar>
                  <w:vAlign w:val="center"/>
                  <w:hideMark/>
                </w:tcPr>
                <w:p w14:paraId="3B401811" w14:textId="77777777" w:rsidR="00EB58A6" w:rsidRPr="00A6717D" w:rsidRDefault="00EB58A6" w:rsidP="00EB58A6">
                  <w:pPr>
                    <w:spacing w:after="0" w:line="240" w:lineRule="auto"/>
                    <w:jc w:val="left"/>
                    <w:rPr>
                      <w:rFonts w:eastAsia="Times New Roman" w:cs="Times New Roman"/>
                      <w:color w:val="000000"/>
                      <w:sz w:val="20"/>
                      <w:szCs w:val="20"/>
                      <w:lang w:val="en-US"/>
                    </w:rPr>
                  </w:pPr>
                  <w:r w:rsidRPr="00A6717D">
                    <w:rPr>
                      <w:rFonts w:eastAsia="Times New Roman" w:cs="Times New Roman"/>
                      <w:color w:val="000000"/>
                      <w:sz w:val="20"/>
                      <w:szCs w:val="20"/>
                      <w:lang w:val="en-US"/>
                    </w:rPr>
                    <w:t>β. Έκτακτο Προσωπικό</w:t>
                  </w:r>
                </w:p>
              </w:tc>
              <w:tc>
                <w:tcPr>
                  <w:tcW w:w="935" w:type="dxa"/>
                  <w:tcBorders>
                    <w:top w:val="nil"/>
                    <w:left w:val="nil"/>
                    <w:bottom w:val="nil"/>
                    <w:right w:val="nil"/>
                  </w:tcBorders>
                  <w:shd w:val="clear" w:color="000000" w:fill="FFFFFF"/>
                  <w:noWrap/>
                  <w:tcMar>
                    <w:left w:w="0" w:type="dxa"/>
                    <w:right w:w="0" w:type="dxa"/>
                  </w:tcMar>
                  <w:vAlign w:val="center"/>
                  <w:hideMark/>
                </w:tcPr>
                <w:p w14:paraId="24E8054A" w14:textId="77777777" w:rsidR="00EB58A6" w:rsidRPr="00A6717D" w:rsidRDefault="00EB58A6" w:rsidP="00EB58A6">
                  <w:pPr>
                    <w:spacing w:after="0" w:line="240" w:lineRule="auto"/>
                    <w:jc w:val="center"/>
                    <w:rPr>
                      <w:rFonts w:eastAsia="Times New Roman" w:cs="Times New Roman"/>
                      <w:color w:val="000000"/>
                      <w:sz w:val="20"/>
                      <w:szCs w:val="20"/>
                      <w:lang w:val="en-US"/>
                    </w:rPr>
                  </w:pPr>
                  <w:r w:rsidRPr="00A6717D">
                    <w:rPr>
                      <w:rFonts w:eastAsia="Times New Roman" w:cs="Times New Roman"/>
                      <w:color w:val="000000"/>
                      <w:sz w:val="20"/>
                      <w:szCs w:val="20"/>
                      <w:lang w:val="en-US"/>
                    </w:rPr>
                    <w:t>74.418</w:t>
                  </w:r>
                </w:p>
              </w:tc>
              <w:tc>
                <w:tcPr>
                  <w:tcW w:w="738" w:type="dxa"/>
                  <w:tcBorders>
                    <w:top w:val="nil"/>
                    <w:left w:val="nil"/>
                    <w:bottom w:val="nil"/>
                    <w:right w:val="nil"/>
                  </w:tcBorders>
                  <w:shd w:val="clear" w:color="000000" w:fill="FFFFFF"/>
                  <w:noWrap/>
                  <w:tcMar>
                    <w:left w:w="0" w:type="dxa"/>
                    <w:right w:w="0" w:type="dxa"/>
                  </w:tcMar>
                  <w:vAlign w:val="center"/>
                  <w:hideMark/>
                </w:tcPr>
                <w:p w14:paraId="741FBBCD" w14:textId="77777777" w:rsidR="00EB58A6" w:rsidRPr="00A6717D" w:rsidRDefault="00EB58A6" w:rsidP="00EB58A6">
                  <w:pPr>
                    <w:spacing w:after="0" w:line="240" w:lineRule="auto"/>
                    <w:jc w:val="center"/>
                    <w:rPr>
                      <w:rFonts w:eastAsia="Times New Roman" w:cs="Times New Roman"/>
                      <w:color w:val="000000"/>
                      <w:sz w:val="20"/>
                      <w:szCs w:val="20"/>
                      <w:lang w:val="en-US"/>
                    </w:rPr>
                  </w:pPr>
                  <w:r w:rsidRPr="00A6717D">
                    <w:rPr>
                      <w:rFonts w:eastAsia="Times New Roman" w:cs="Times New Roman"/>
                      <w:color w:val="000000"/>
                      <w:sz w:val="20"/>
                      <w:szCs w:val="20"/>
                      <w:lang w:val="en-US"/>
                    </w:rPr>
                    <w:t>80.405</w:t>
                  </w:r>
                </w:p>
              </w:tc>
              <w:tc>
                <w:tcPr>
                  <w:tcW w:w="821" w:type="dxa"/>
                  <w:tcBorders>
                    <w:top w:val="nil"/>
                    <w:left w:val="nil"/>
                    <w:bottom w:val="nil"/>
                    <w:right w:val="nil"/>
                  </w:tcBorders>
                  <w:shd w:val="clear" w:color="000000" w:fill="FFFFFF"/>
                  <w:noWrap/>
                  <w:tcMar>
                    <w:left w:w="0" w:type="dxa"/>
                    <w:right w:w="0" w:type="dxa"/>
                  </w:tcMar>
                  <w:vAlign w:val="center"/>
                  <w:hideMark/>
                </w:tcPr>
                <w:p w14:paraId="0074921A" w14:textId="77777777" w:rsidR="00EB58A6" w:rsidRPr="00A6717D" w:rsidRDefault="00EB58A6" w:rsidP="00EB58A6">
                  <w:pPr>
                    <w:spacing w:after="0" w:line="240" w:lineRule="auto"/>
                    <w:jc w:val="center"/>
                    <w:rPr>
                      <w:rFonts w:eastAsia="Times New Roman" w:cs="Times New Roman"/>
                      <w:color w:val="000000"/>
                      <w:sz w:val="20"/>
                      <w:szCs w:val="20"/>
                      <w:lang w:val="en-US"/>
                    </w:rPr>
                  </w:pPr>
                  <w:r w:rsidRPr="00A6717D">
                    <w:rPr>
                      <w:rFonts w:eastAsia="Times New Roman" w:cs="Times New Roman"/>
                      <w:color w:val="000000"/>
                      <w:sz w:val="20"/>
                      <w:szCs w:val="20"/>
                      <w:lang w:val="en-US"/>
                    </w:rPr>
                    <w:t>88.679</w:t>
                  </w:r>
                </w:p>
              </w:tc>
              <w:tc>
                <w:tcPr>
                  <w:tcW w:w="821" w:type="dxa"/>
                  <w:tcBorders>
                    <w:top w:val="nil"/>
                    <w:left w:val="nil"/>
                    <w:bottom w:val="nil"/>
                    <w:right w:val="nil"/>
                  </w:tcBorders>
                  <w:shd w:val="clear" w:color="000000" w:fill="FFFFFF"/>
                  <w:noWrap/>
                  <w:tcMar>
                    <w:left w:w="0" w:type="dxa"/>
                    <w:right w:w="0" w:type="dxa"/>
                  </w:tcMar>
                  <w:vAlign w:val="center"/>
                  <w:hideMark/>
                </w:tcPr>
                <w:p w14:paraId="13158ED8" w14:textId="77777777" w:rsidR="00EB58A6" w:rsidRPr="00A6717D" w:rsidRDefault="00EB58A6" w:rsidP="00EB58A6">
                  <w:pPr>
                    <w:spacing w:after="0" w:line="240" w:lineRule="auto"/>
                    <w:jc w:val="center"/>
                    <w:rPr>
                      <w:rFonts w:eastAsia="Times New Roman" w:cs="Times New Roman"/>
                      <w:color w:val="000000"/>
                      <w:sz w:val="20"/>
                      <w:szCs w:val="20"/>
                      <w:lang w:val="en-US"/>
                    </w:rPr>
                  </w:pPr>
                  <w:r w:rsidRPr="00A6717D">
                    <w:rPr>
                      <w:rFonts w:eastAsia="Times New Roman" w:cs="Times New Roman"/>
                      <w:color w:val="000000"/>
                      <w:sz w:val="20"/>
                      <w:szCs w:val="20"/>
                      <w:lang w:val="en-US"/>
                    </w:rPr>
                    <w:t>107.774</w:t>
                  </w:r>
                </w:p>
              </w:tc>
              <w:tc>
                <w:tcPr>
                  <w:tcW w:w="821" w:type="dxa"/>
                  <w:tcBorders>
                    <w:top w:val="nil"/>
                    <w:left w:val="nil"/>
                    <w:bottom w:val="nil"/>
                    <w:right w:val="nil"/>
                  </w:tcBorders>
                  <w:shd w:val="clear" w:color="000000" w:fill="FFFFFF"/>
                  <w:noWrap/>
                  <w:tcMar>
                    <w:left w:w="0" w:type="dxa"/>
                    <w:right w:w="0" w:type="dxa"/>
                  </w:tcMar>
                  <w:vAlign w:val="center"/>
                  <w:hideMark/>
                </w:tcPr>
                <w:p w14:paraId="3D15AC11" w14:textId="77777777" w:rsidR="00EB58A6" w:rsidRPr="00A6717D" w:rsidRDefault="00EB58A6" w:rsidP="00EB58A6">
                  <w:pPr>
                    <w:spacing w:after="0" w:line="240" w:lineRule="auto"/>
                    <w:jc w:val="center"/>
                    <w:rPr>
                      <w:rFonts w:eastAsia="Times New Roman" w:cs="Times New Roman"/>
                      <w:color w:val="000000"/>
                      <w:sz w:val="20"/>
                      <w:szCs w:val="20"/>
                      <w:lang w:val="en-US"/>
                    </w:rPr>
                  </w:pPr>
                  <w:r w:rsidRPr="00A6717D">
                    <w:rPr>
                      <w:rFonts w:eastAsia="Times New Roman" w:cs="Times New Roman"/>
                      <w:color w:val="000000"/>
                      <w:sz w:val="20"/>
                      <w:szCs w:val="20"/>
                      <w:lang w:val="en-US"/>
                    </w:rPr>
                    <w:t>118.843</w:t>
                  </w:r>
                </w:p>
              </w:tc>
              <w:tc>
                <w:tcPr>
                  <w:tcW w:w="821" w:type="dxa"/>
                  <w:tcBorders>
                    <w:top w:val="nil"/>
                    <w:left w:val="nil"/>
                    <w:bottom w:val="nil"/>
                    <w:right w:val="nil"/>
                  </w:tcBorders>
                  <w:shd w:val="clear" w:color="000000" w:fill="FFFFFF"/>
                  <w:noWrap/>
                  <w:tcMar>
                    <w:left w:w="0" w:type="dxa"/>
                    <w:right w:w="0" w:type="dxa"/>
                  </w:tcMar>
                  <w:vAlign w:val="center"/>
                  <w:hideMark/>
                </w:tcPr>
                <w:p w14:paraId="0376E4FA" w14:textId="77777777" w:rsidR="00EB58A6" w:rsidRPr="00A6717D" w:rsidRDefault="00EB58A6" w:rsidP="00EB58A6">
                  <w:pPr>
                    <w:spacing w:after="0" w:line="240" w:lineRule="auto"/>
                    <w:jc w:val="center"/>
                    <w:rPr>
                      <w:rFonts w:eastAsia="Times New Roman" w:cs="Times New Roman"/>
                      <w:color w:val="000000"/>
                      <w:sz w:val="20"/>
                      <w:szCs w:val="20"/>
                      <w:lang w:val="en-US"/>
                    </w:rPr>
                  </w:pPr>
                  <w:r w:rsidRPr="00A6717D">
                    <w:rPr>
                      <w:rFonts w:eastAsia="Times New Roman" w:cs="Times New Roman"/>
                      <w:color w:val="000000"/>
                      <w:sz w:val="20"/>
                      <w:szCs w:val="20"/>
                      <w:lang w:val="en-US"/>
                    </w:rPr>
                    <w:t>147.224</w:t>
                  </w:r>
                </w:p>
              </w:tc>
              <w:tc>
                <w:tcPr>
                  <w:tcW w:w="889" w:type="dxa"/>
                  <w:tcBorders>
                    <w:top w:val="nil"/>
                    <w:left w:val="nil"/>
                    <w:bottom w:val="nil"/>
                    <w:right w:val="nil"/>
                  </w:tcBorders>
                  <w:shd w:val="clear" w:color="000000" w:fill="FFFFFF"/>
                  <w:noWrap/>
                  <w:tcMar>
                    <w:left w:w="0" w:type="dxa"/>
                    <w:right w:w="0" w:type="dxa"/>
                  </w:tcMar>
                  <w:vAlign w:val="center"/>
                  <w:hideMark/>
                </w:tcPr>
                <w:p w14:paraId="033B100F" w14:textId="77777777" w:rsidR="00EB58A6" w:rsidRPr="00A6717D" w:rsidRDefault="00EB58A6" w:rsidP="00EB58A6">
                  <w:pPr>
                    <w:spacing w:after="0" w:line="240" w:lineRule="auto"/>
                    <w:jc w:val="center"/>
                    <w:rPr>
                      <w:rFonts w:eastAsia="Times New Roman" w:cs="Times New Roman"/>
                      <w:color w:val="000000"/>
                      <w:sz w:val="20"/>
                      <w:szCs w:val="20"/>
                      <w:lang w:val="en-US"/>
                    </w:rPr>
                  </w:pPr>
                  <w:r>
                    <w:rPr>
                      <w:color w:val="000000"/>
                      <w:sz w:val="20"/>
                      <w:szCs w:val="20"/>
                    </w:rPr>
                    <w:t>72.806</w:t>
                  </w:r>
                </w:p>
              </w:tc>
            </w:tr>
            <w:tr w:rsidR="00EB58A6" w:rsidRPr="0033113E" w14:paraId="6723C455" w14:textId="77777777" w:rsidTr="00247B52">
              <w:trPr>
                <w:trHeight w:val="767"/>
              </w:trPr>
              <w:tc>
                <w:tcPr>
                  <w:tcW w:w="2471" w:type="dxa"/>
                  <w:tcBorders>
                    <w:top w:val="nil"/>
                    <w:left w:val="nil"/>
                    <w:bottom w:val="nil"/>
                    <w:right w:val="nil"/>
                  </w:tcBorders>
                  <w:shd w:val="clear" w:color="000000" w:fill="FFFFFF"/>
                  <w:noWrap/>
                  <w:tcMar>
                    <w:left w:w="0" w:type="dxa"/>
                    <w:right w:w="0" w:type="dxa"/>
                  </w:tcMar>
                  <w:vAlign w:val="center"/>
                  <w:hideMark/>
                </w:tcPr>
                <w:p w14:paraId="3AC85AA3" w14:textId="77777777" w:rsidR="00EB58A6" w:rsidRPr="00A6717D" w:rsidRDefault="00EB58A6" w:rsidP="00EB58A6">
                  <w:pPr>
                    <w:spacing w:after="0" w:line="240" w:lineRule="auto"/>
                    <w:jc w:val="left"/>
                    <w:rPr>
                      <w:rFonts w:eastAsia="Times New Roman" w:cs="Times New Roman"/>
                      <w:i/>
                      <w:iCs/>
                      <w:color w:val="000000"/>
                      <w:sz w:val="18"/>
                      <w:szCs w:val="18"/>
                    </w:rPr>
                  </w:pPr>
                  <w:r>
                    <w:rPr>
                      <w:rFonts w:eastAsia="Times New Roman" w:cs="Times New Roman"/>
                      <w:i/>
                      <w:iCs/>
                      <w:color w:val="000000"/>
                      <w:sz w:val="18"/>
                      <w:szCs w:val="18"/>
                    </w:rPr>
                    <w:t>εκ των οποίω</w:t>
                  </w:r>
                  <w:r w:rsidRPr="00A6717D">
                    <w:rPr>
                      <w:rFonts w:eastAsia="Times New Roman" w:cs="Times New Roman"/>
                      <w:i/>
                      <w:iCs/>
                      <w:color w:val="000000"/>
                      <w:sz w:val="18"/>
                      <w:szCs w:val="18"/>
                    </w:rPr>
                    <w:t>ν</w:t>
                  </w:r>
                  <w:r>
                    <w:rPr>
                      <w:rFonts w:eastAsia="Times New Roman" w:cs="Times New Roman"/>
                      <w:i/>
                      <w:iCs/>
                      <w:color w:val="000000"/>
                      <w:sz w:val="18"/>
                      <w:szCs w:val="18"/>
                    </w:rPr>
                    <w:t>: Χρηματοδοτούμενοι</w:t>
                  </w:r>
                  <w:r w:rsidRPr="00A6717D">
                    <w:rPr>
                      <w:rFonts w:eastAsia="Times New Roman" w:cs="Times New Roman"/>
                      <w:i/>
                      <w:iCs/>
                      <w:color w:val="000000"/>
                      <w:sz w:val="18"/>
                      <w:szCs w:val="18"/>
                    </w:rPr>
                    <w:t xml:space="preserve"> μέσω ΕΣΠΑ/ανταποδοτικών τελών/ΟΑΕΔ</w:t>
                  </w:r>
                </w:p>
              </w:tc>
              <w:tc>
                <w:tcPr>
                  <w:tcW w:w="935" w:type="dxa"/>
                  <w:tcBorders>
                    <w:top w:val="nil"/>
                    <w:left w:val="nil"/>
                    <w:bottom w:val="nil"/>
                    <w:right w:val="nil"/>
                  </w:tcBorders>
                  <w:shd w:val="clear" w:color="000000" w:fill="FFFFFF"/>
                  <w:noWrap/>
                  <w:tcMar>
                    <w:left w:w="0" w:type="dxa"/>
                    <w:right w:w="0" w:type="dxa"/>
                  </w:tcMar>
                  <w:vAlign w:val="center"/>
                  <w:hideMark/>
                </w:tcPr>
                <w:p w14:paraId="3349EA23" w14:textId="77777777" w:rsidR="00EB58A6" w:rsidRPr="00A6717D" w:rsidRDefault="00EB58A6" w:rsidP="00EB58A6">
                  <w:pPr>
                    <w:spacing w:after="0" w:line="240" w:lineRule="auto"/>
                    <w:jc w:val="center"/>
                    <w:rPr>
                      <w:rFonts w:eastAsia="Times New Roman" w:cs="Times New Roman"/>
                      <w:i/>
                      <w:iCs/>
                      <w:color w:val="000000"/>
                      <w:sz w:val="20"/>
                      <w:szCs w:val="20"/>
                      <w:lang w:val="en-US"/>
                    </w:rPr>
                  </w:pPr>
                  <w:r w:rsidRPr="00A6717D">
                    <w:rPr>
                      <w:rFonts w:eastAsia="Times New Roman" w:cs="Times New Roman"/>
                      <w:i/>
                      <w:iCs/>
                      <w:color w:val="000000"/>
                      <w:sz w:val="20"/>
                      <w:szCs w:val="20"/>
                      <w:lang w:val="en-US"/>
                    </w:rPr>
                    <w:t>15.562</w:t>
                  </w:r>
                </w:p>
              </w:tc>
              <w:tc>
                <w:tcPr>
                  <w:tcW w:w="738" w:type="dxa"/>
                  <w:tcBorders>
                    <w:top w:val="nil"/>
                    <w:left w:val="nil"/>
                    <w:bottom w:val="nil"/>
                    <w:right w:val="nil"/>
                  </w:tcBorders>
                  <w:shd w:val="clear" w:color="000000" w:fill="FFFFFF"/>
                  <w:noWrap/>
                  <w:tcMar>
                    <w:left w:w="0" w:type="dxa"/>
                    <w:right w:w="0" w:type="dxa"/>
                  </w:tcMar>
                  <w:vAlign w:val="center"/>
                  <w:hideMark/>
                </w:tcPr>
                <w:p w14:paraId="35A7FD7C" w14:textId="77777777" w:rsidR="00EB58A6" w:rsidRPr="00A6717D" w:rsidRDefault="00EB58A6" w:rsidP="00EB58A6">
                  <w:pPr>
                    <w:spacing w:after="0" w:line="240" w:lineRule="auto"/>
                    <w:jc w:val="center"/>
                    <w:rPr>
                      <w:rFonts w:eastAsia="Times New Roman" w:cs="Times New Roman"/>
                      <w:i/>
                      <w:iCs/>
                      <w:color w:val="000000"/>
                      <w:sz w:val="20"/>
                      <w:szCs w:val="20"/>
                      <w:lang w:val="en-US"/>
                    </w:rPr>
                  </w:pPr>
                  <w:r w:rsidRPr="00A6717D">
                    <w:rPr>
                      <w:rFonts w:eastAsia="Times New Roman" w:cs="Times New Roman"/>
                      <w:i/>
                      <w:iCs/>
                      <w:color w:val="000000"/>
                      <w:sz w:val="20"/>
                      <w:szCs w:val="20"/>
                      <w:lang w:val="en-US"/>
                    </w:rPr>
                    <w:t>19.524</w:t>
                  </w:r>
                </w:p>
              </w:tc>
              <w:tc>
                <w:tcPr>
                  <w:tcW w:w="821" w:type="dxa"/>
                  <w:tcBorders>
                    <w:top w:val="nil"/>
                    <w:left w:val="nil"/>
                    <w:bottom w:val="nil"/>
                    <w:right w:val="nil"/>
                  </w:tcBorders>
                  <w:shd w:val="clear" w:color="000000" w:fill="FFFFFF"/>
                  <w:noWrap/>
                  <w:tcMar>
                    <w:left w:w="0" w:type="dxa"/>
                    <w:right w:w="0" w:type="dxa"/>
                  </w:tcMar>
                  <w:vAlign w:val="center"/>
                  <w:hideMark/>
                </w:tcPr>
                <w:p w14:paraId="08B43D71" w14:textId="77777777" w:rsidR="00EB58A6" w:rsidRPr="00A6717D" w:rsidRDefault="00EB58A6" w:rsidP="00EB58A6">
                  <w:pPr>
                    <w:spacing w:after="0" w:line="240" w:lineRule="auto"/>
                    <w:jc w:val="center"/>
                    <w:rPr>
                      <w:rFonts w:eastAsia="Times New Roman" w:cs="Times New Roman"/>
                      <w:i/>
                      <w:iCs/>
                      <w:color w:val="000000"/>
                      <w:sz w:val="20"/>
                      <w:szCs w:val="20"/>
                      <w:lang w:val="en-US"/>
                    </w:rPr>
                  </w:pPr>
                  <w:r w:rsidRPr="00A6717D">
                    <w:rPr>
                      <w:rFonts w:eastAsia="Times New Roman" w:cs="Times New Roman"/>
                      <w:i/>
                      <w:iCs/>
                      <w:color w:val="000000"/>
                      <w:sz w:val="20"/>
                      <w:szCs w:val="20"/>
                      <w:lang w:val="en-US"/>
                    </w:rPr>
                    <w:t>26.670</w:t>
                  </w:r>
                </w:p>
              </w:tc>
              <w:tc>
                <w:tcPr>
                  <w:tcW w:w="821" w:type="dxa"/>
                  <w:tcBorders>
                    <w:top w:val="nil"/>
                    <w:left w:val="nil"/>
                    <w:bottom w:val="nil"/>
                    <w:right w:val="nil"/>
                  </w:tcBorders>
                  <w:shd w:val="clear" w:color="000000" w:fill="FFFFFF"/>
                  <w:noWrap/>
                  <w:tcMar>
                    <w:left w:w="0" w:type="dxa"/>
                    <w:right w:w="0" w:type="dxa"/>
                  </w:tcMar>
                  <w:vAlign w:val="center"/>
                  <w:hideMark/>
                </w:tcPr>
                <w:p w14:paraId="05A5BECB" w14:textId="77777777" w:rsidR="00EB58A6" w:rsidRPr="00A6717D" w:rsidRDefault="00EB58A6" w:rsidP="00EB58A6">
                  <w:pPr>
                    <w:spacing w:after="0" w:line="240" w:lineRule="auto"/>
                    <w:jc w:val="center"/>
                    <w:rPr>
                      <w:rFonts w:eastAsia="Times New Roman" w:cs="Times New Roman"/>
                      <w:i/>
                      <w:iCs/>
                      <w:color w:val="000000"/>
                      <w:sz w:val="20"/>
                      <w:szCs w:val="20"/>
                      <w:lang w:val="en-US"/>
                    </w:rPr>
                  </w:pPr>
                  <w:r w:rsidRPr="00A6717D">
                    <w:rPr>
                      <w:rFonts w:eastAsia="Times New Roman" w:cs="Times New Roman"/>
                      <w:i/>
                      <w:iCs/>
                      <w:color w:val="000000"/>
                      <w:sz w:val="20"/>
                      <w:szCs w:val="20"/>
                      <w:lang w:val="en-US"/>
                    </w:rPr>
                    <w:t>39.389</w:t>
                  </w:r>
                </w:p>
              </w:tc>
              <w:tc>
                <w:tcPr>
                  <w:tcW w:w="821" w:type="dxa"/>
                  <w:tcBorders>
                    <w:top w:val="nil"/>
                    <w:left w:val="nil"/>
                    <w:bottom w:val="nil"/>
                    <w:right w:val="nil"/>
                  </w:tcBorders>
                  <w:shd w:val="clear" w:color="000000" w:fill="FFFFFF"/>
                  <w:noWrap/>
                  <w:tcMar>
                    <w:left w:w="0" w:type="dxa"/>
                    <w:right w:w="0" w:type="dxa"/>
                  </w:tcMar>
                  <w:vAlign w:val="center"/>
                  <w:hideMark/>
                </w:tcPr>
                <w:p w14:paraId="429521B3" w14:textId="77777777" w:rsidR="00EB58A6" w:rsidRPr="00A6717D" w:rsidRDefault="00EB58A6" w:rsidP="00EB58A6">
                  <w:pPr>
                    <w:spacing w:after="0" w:line="240" w:lineRule="auto"/>
                    <w:jc w:val="center"/>
                    <w:rPr>
                      <w:rFonts w:eastAsia="Times New Roman" w:cs="Times New Roman"/>
                      <w:i/>
                      <w:iCs/>
                      <w:color w:val="000000"/>
                      <w:sz w:val="20"/>
                      <w:szCs w:val="20"/>
                      <w:lang w:val="en-US"/>
                    </w:rPr>
                  </w:pPr>
                  <w:r w:rsidRPr="00A6717D">
                    <w:rPr>
                      <w:rFonts w:eastAsia="Times New Roman" w:cs="Times New Roman"/>
                      <w:i/>
                      <w:iCs/>
                      <w:color w:val="000000"/>
                      <w:sz w:val="20"/>
                      <w:szCs w:val="20"/>
                      <w:lang w:val="en-US"/>
                    </w:rPr>
                    <w:t>43.884</w:t>
                  </w:r>
                </w:p>
              </w:tc>
              <w:tc>
                <w:tcPr>
                  <w:tcW w:w="821" w:type="dxa"/>
                  <w:tcBorders>
                    <w:top w:val="nil"/>
                    <w:left w:val="nil"/>
                    <w:bottom w:val="nil"/>
                    <w:right w:val="nil"/>
                  </w:tcBorders>
                  <w:shd w:val="clear" w:color="000000" w:fill="FFFFFF"/>
                  <w:noWrap/>
                  <w:tcMar>
                    <w:left w:w="0" w:type="dxa"/>
                    <w:right w:w="0" w:type="dxa"/>
                  </w:tcMar>
                  <w:vAlign w:val="center"/>
                  <w:hideMark/>
                </w:tcPr>
                <w:p w14:paraId="6E3AB374" w14:textId="77777777" w:rsidR="00EB58A6" w:rsidRPr="00A6717D" w:rsidRDefault="00EB58A6" w:rsidP="00EB58A6">
                  <w:pPr>
                    <w:spacing w:after="0" w:line="240" w:lineRule="auto"/>
                    <w:jc w:val="center"/>
                    <w:rPr>
                      <w:rFonts w:eastAsia="Times New Roman" w:cs="Times New Roman"/>
                      <w:i/>
                      <w:iCs/>
                      <w:color w:val="000000"/>
                      <w:sz w:val="20"/>
                      <w:szCs w:val="20"/>
                      <w:lang w:val="en-US"/>
                    </w:rPr>
                  </w:pPr>
                  <w:r w:rsidRPr="00A6717D">
                    <w:rPr>
                      <w:rFonts w:eastAsia="Times New Roman" w:cs="Times New Roman"/>
                      <w:i/>
                      <w:iCs/>
                      <w:color w:val="000000"/>
                      <w:sz w:val="20"/>
                      <w:szCs w:val="20"/>
                      <w:lang w:val="en-US"/>
                    </w:rPr>
                    <w:t>45.037</w:t>
                  </w:r>
                </w:p>
              </w:tc>
              <w:tc>
                <w:tcPr>
                  <w:tcW w:w="889" w:type="dxa"/>
                  <w:tcBorders>
                    <w:top w:val="nil"/>
                    <w:left w:val="nil"/>
                    <w:bottom w:val="nil"/>
                    <w:right w:val="nil"/>
                  </w:tcBorders>
                  <w:shd w:val="clear" w:color="000000" w:fill="FFFFFF"/>
                  <w:noWrap/>
                  <w:tcMar>
                    <w:left w:w="0" w:type="dxa"/>
                    <w:right w:w="0" w:type="dxa"/>
                  </w:tcMar>
                  <w:vAlign w:val="center"/>
                  <w:hideMark/>
                </w:tcPr>
                <w:p w14:paraId="5D036AC4" w14:textId="77777777" w:rsidR="00EB58A6" w:rsidRPr="00A6717D" w:rsidRDefault="00EB58A6" w:rsidP="00EB58A6">
                  <w:pPr>
                    <w:spacing w:after="0" w:line="240" w:lineRule="auto"/>
                    <w:jc w:val="center"/>
                    <w:rPr>
                      <w:rFonts w:eastAsia="Times New Roman" w:cs="Times New Roman"/>
                      <w:i/>
                      <w:iCs/>
                      <w:color w:val="000000"/>
                      <w:sz w:val="20"/>
                      <w:szCs w:val="20"/>
                      <w:lang w:val="en-US"/>
                    </w:rPr>
                  </w:pPr>
                  <w:r>
                    <w:rPr>
                      <w:i/>
                      <w:iCs/>
                      <w:color w:val="000000"/>
                      <w:sz w:val="20"/>
                      <w:szCs w:val="20"/>
                    </w:rPr>
                    <w:t>29.475</w:t>
                  </w:r>
                </w:p>
              </w:tc>
            </w:tr>
            <w:tr w:rsidR="00EB58A6" w:rsidRPr="0033113E" w14:paraId="64CF3C12" w14:textId="77777777" w:rsidTr="00247B52">
              <w:trPr>
                <w:trHeight w:val="735"/>
              </w:trPr>
              <w:tc>
                <w:tcPr>
                  <w:tcW w:w="2471" w:type="dxa"/>
                  <w:tcBorders>
                    <w:top w:val="nil"/>
                    <w:left w:val="nil"/>
                    <w:bottom w:val="nil"/>
                    <w:right w:val="nil"/>
                  </w:tcBorders>
                  <w:shd w:val="clear" w:color="000000" w:fill="FFFFFF"/>
                  <w:noWrap/>
                  <w:tcMar>
                    <w:top w:w="28" w:type="dxa"/>
                    <w:left w:w="0" w:type="dxa"/>
                    <w:right w:w="0" w:type="dxa"/>
                  </w:tcMar>
                  <w:vAlign w:val="center"/>
                  <w:hideMark/>
                </w:tcPr>
                <w:p w14:paraId="622FD6A1" w14:textId="77777777" w:rsidR="00EB58A6" w:rsidRPr="00A6717D" w:rsidRDefault="00EB58A6" w:rsidP="00EB58A6">
                  <w:pPr>
                    <w:spacing w:after="0" w:line="240" w:lineRule="auto"/>
                    <w:jc w:val="left"/>
                    <w:rPr>
                      <w:rFonts w:eastAsia="Times New Roman" w:cs="Times New Roman"/>
                      <w:i/>
                      <w:iCs/>
                      <w:color w:val="000000"/>
                      <w:sz w:val="18"/>
                      <w:szCs w:val="18"/>
                    </w:rPr>
                  </w:pPr>
                  <w:r>
                    <w:rPr>
                      <w:rFonts w:eastAsia="Times New Roman" w:cs="Times New Roman"/>
                      <w:i/>
                      <w:iCs/>
                      <w:color w:val="000000"/>
                      <w:sz w:val="18"/>
                      <w:szCs w:val="18"/>
                    </w:rPr>
                    <w:t>Γ</w:t>
                  </w:r>
                  <w:r w:rsidRPr="00A6717D">
                    <w:rPr>
                      <w:rFonts w:eastAsia="Times New Roman" w:cs="Times New Roman"/>
                      <w:i/>
                      <w:iCs/>
                      <w:color w:val="000000"/>
                      <w:sz w:val="18"/>
                      <w:szCs w:val="18"/>
                    </w:rPr>
                    <w:t>ια αντιμετώπιση πανδημίας/προσφυγικής κρίσης/φυσικών καταστροφών</w:t>
                  </w:r>
                </w:p>
              </w:tc>
              <w:tc>
                <w:tcPr>
                  <w:tcW w:w="935" w:type="dxa"/>
                  <w:tcBorders>
                    <w:top w:val="nil"/>
                    <w:left w:val="nil"/>
                    <w:bottom w:val="nil"/>
                    <w:right w:val="nil"/>
                  </w:tcBorders>
                  <w:shd w:val="clear" w:color="000000" w:fill="FFFFFF"/>
                  <w:noWrap/>
                  <w:tcMar>
                    <w:top w:w="0" w:type="dxa"/>
                    <w:left w:w="0" w:type="dxa"/>
                    <w:right w:w="0" w:type="dxa"/>
                  </w:tcMar>
                  <w:vAlign w:val="center"/>
                  <w:hideMark/>
                </w:tcPr>
                <w:p w14:paraId="6049D1F3" w14:textId="77777777" w:rsidR="00EB58A6" w:rsidRPr="00A6717D" w:rsidRDefault="00EB58A6" w:rsidP="00EB58A6">
                  <w:pPr>
                    <w:spacing w:after="0" w:line="240" w:lineRule="auto"/>
                    <w:jc w:val="center"/>
                    <w:rPr>
                      <w:rFonts w:eastAsia="Times New Roman" w:cs="Times New Roman"/>
                      <w:i/>
                      <w:iCs/>
                      <w:color w:val="000000"/>
                      <w:sz w:val="20"/>
                      <w:szCs w:val="20"/>
                      <w:lang w:val="en-US"/>
                    </w:rPr>
                  </w:pPr>
                  <w:r>
                    <w:rPr>
                      <w:rFonts w:eastAsia="Times New Roman" w:cs="Times New Roman"/>
                      <w:i/>
                      <w:iCs/>
                      <w:color w:val="000000"/>
                      <w:sz w:val="20"/>
                      <w:szCs w:val="20"/>
                    </w:rPr>
                    <w:t>-</w:t>
                  </w:r>
                </w:p>
              </w:tc>
              <w:tc>
                <w:tcPr>
                  <w:tcW w:w="738" w:type="dxa"/>
                  <w:tcBorders>
                    <w:top w:val="nil"/>
                    <w:left w:val="nil"/>
                    <w:bottom w:val="nil"/>
                    <w:right w:val="nil"/>
                  </w:tcBorders>
                  <w:shd w:val="clear" w:color="000000" w:fill="FFFFFF"/>
                  <w:noWrap/>
                  <w:tcMar>
                    <w:top w:w="0" w:type="dxa"/>
                    <w:left w:w="0" w:type="dxa"/>
                    <w:right w:w="0" w:type="dxa"/>
                  </w:tcMar>
                  <w:vAlign w:val="center"/>
                  <w:hideMark/>
                </w:tcPr>
                <w:p w14:paraId="0B0853F6" w14:textId="77777777" w:rsidR="00EB58A6" w:rsidRPr="00A6717D" w:rsidRDefault="00EB58A6" w:rsidP="00EB58A6">
                  <w:pPr>
                    <w:spacing w:after="0" w:line="240" w:lineRule="auto"/>
                    <w:jc w:val="center"/>
                    <w:rPr>
                      <w:rFonts w:eastAsia="Times New Roman" w:cs="Times New Roman"/>
                      <w:i/>
                      <w:iCs/>
                      <w:color w:val="000000"/>
                      <w:sz w:val="20"/>
                      <w:szCs w:val="20"/>
                      <w:lang w:val="en-US"/>
                    </w:rPr>
                  </w:pPr>
                  <w:r>
                    <w:rPr>
                      <w:rFonts w:eastAsia="Times New Roman" w:cs="Times New Roman"/>
                      <w:i/>
                      <w:iCs/>
                      <w:color w:val="000000"/>
                      <w:sz w:val="20"/>
                      <w:szCs w:val="20"/>
                    </w:rPr>
                    <w:t>-</w:t>
                  </w:r>
                </w:p>
              </w:tc>
              <w:tc>
                <w:tcPr>
                  <w:tcW w:w="821" w:type="dxa"/>
                  <w:tcBorders>
                    <w:top w:val="nil"/>
                    <w:left w:val="nil"/>
                    <w:bottom w:val="nil"/>
                    <w:right w:val="nil"/>
                  </w:tcBorders>
                  <w:shd w:val="clear" w:color="000000" w:fill="FFFFFF"/>
                  <w:noWrap/>
                  <w:tcMar>
                    <w:top w:w="0" w:type="dxa"/>
                    <w:left w:w="0" w:type="dxa"/>
                    <w:right w:w="0" w:type="dxa"/>
                  </w:tcMar>
                  <w:vAlign w:val="center"/>
                  <w:hideMark/>
                </w:tcPr>
                <w:p w14:paraId="5989C16F" w14:textId="77777777" w:rsidR="00EB58A6" w:rsidRPr="00A6717D" w:rsidRDefault="00EB58A6" w:rsidP="00EB58A6">
                  <w:pPr>
                    <w:spacing w:after="0" w:line="240" w:lineRule="auto"/>
                    <w:jc w:val="center"/>
                    <w:rPr>
                      <w:rFonts w:eastAsia="Times New Roman" w:cs="Times New Roman"/>
                      <w:i/>
                      <w:iCs/>
                      <w:color w:val="000000"/>
                      <w:sz w:val="20"/>
                      <w:szCs w:val="20"/>
                      <w:lang w:val="en-US"/>
                    </w:rPr>
                  </w:pPr>
                  <w:r w:rsidRPr="00A6717D">
                    <w:rPr>
                      <w:rFonts w:eastAsia="Times New Roman" w:cs="Times New Roman"/>
                      <w:i/>
                      <w:iCs/>
                      <w:color w:val="000000"/>
                      <w:sz w:val="20"/>
                      <w:szCs w:val="20"/>
                      <w:lang w:val="en-US"/>
                    </w:rPr>
                    <w:t>840</w:t>
                  </w:r>
                </w:p>
              </w:tc>
              <w:tc>
                <w:tcPr>
                  <w:tcW w:w="821" w:type="dxa"/>
                  <w:tcBorders>
                    <w:top w:val="nil"/>
                    <w:left w:val="nil"/>
                    <w:bottom w:val="nil"/>
                    <w:right w:val="nil"/>
                  </w:tcBorders>
                  <w:shd w:val="clear" w:color="000000" w:fill="FFFFFF"/>
                  <w:noWrap/>
                  <w:tcMar>
                    <w:top w:w="0" w:type="dxa"/>
                    <w:left w:w="0" w:type="dxa"/>
                    <w:right w:w="0" w:type="dxa"/>
                  </w:tcMar>
                  <w:vAlign w:val="center"/>
                  <w:hideMark/>
                </w:tcPr>
                <w:p w14:paraId="14CE9A97" w14:textId="77777777" w:rsidR="00EB58A6" w:rsidRPr="00A6717D" w:rsidRDefault="00EB58A6" w:rsidP="00EB58A6">
                  <w:pPr>
                    <w:spacing w:after="0" w:line="240" w:lineRule="auto"/>
                    <w:jc w:val="center"/>
                    <w:rPr>
                      <w:rFonts w:eastAsia="Times New Roman" w:cs="Times New Roman"/>
                      <w:i/>
                      <w:iCs/>
                      <w:color w:val="000000"/>
                      <w:sz w:val="20"/>
                      <w:szCs w:val="20"/>
                      <w:lang w:val="en-US"/>
                    </w:rPr>
                  </w:pPr>
                  <w:r w:rsidRPr="00A6717D">
                    <w:rPr>
                      <w:rFonts w:eastAsia="Times New Roman" w:cs="Times New Roman"/>
                      <w:i/>
                      <w:iCs/>
                      <w:color w:val="000000"/>
                      <w:sz w:val="20"/>
                      <w:szCs w:val="20"/>
                      <w:lang w:val="en-US"/>
                    </w:rPr>
                    <w:t>997</w:t>
                  </w:r>
                </w:p>
              </w:tc>
              <w:tc>
                <w:tcPr>
                  <w:tcW w:w="821" w:type="dxa"/>
                  <w:tcBorders>
                    <w:top w:val="nil"/>
                    <w:left w:val="nil"/>
                    <w:bottom w:val="nil"/>
                    <w:right w:val="nil"/>
                  </w:tcBorders>
                  <w:shd w:val="clear" w:color="000000" w:fill="FFFFFF"/>
                  <w:noWrap/>
                  <w:tcMar>
                    <w:top w:w="0" w:type="dxa"/>
                    <w:left w:w="0" w:type="dxa"/>
                    <w:right w:w="0" w:type="dxa"/>
                  </w:tcMar>
                  <w:vAlign w:val="center"/>
                  <w:hideMark/>
                </w:tcPr>
                <w:p w14:paraId="550D4F79" w14:textId="77777777" w:rsidR="00EB58A6" w:rsidRPr="00A6717D" w:rsidRDefault="00EB58A6" w:rsidP="00EB58A6">
                  <w:pPr>
                    <w:spacing w:after="0" w:line="240" w:lineRule="auto"/>
                    <w:jc w:val="center"/>
                    <w:rPr>
                      <w:rFonts w:eastAsia="Times New Roman" w:cs="Times New Roman"/>
                      <w:i/>
                      <w:iCs/>
                      <w:color w:val="000000"/>
                      <w:sz w:val="20"/>
                      <w:szCs w:val="20"/>
                      <w:lang w:val="en-US"/>
                    </w:rPr>
                  </w:pPr>
                  <w:r w:rsidRPr="00A6717D">
                    <w:rPr>
                      <w:rFonts w:eastAsia="Times New Roman" w:cs="Times New Roman"/>
                      <w:i/>
                      <w:iCs/>
                      <w:color w:val="000000"/>
                      <w:sz w:val="20"/>
                      <w:szCs w:val="20"/>
                      <w:lang w:val="en-US"/>
                    </w:rPr>
                    <w:t>1.471</w:t>
                  </w:r>
                </w:p>
              </w:tc>
              <w:tc>
                <w:tcPr>
                  <w:tcW w:w="821" w:type="dxa"/>
                  <w:tcBorders>
                    <w:top w:val="nil"/>
                    <w:left w:val="nil"/>
                    <w:bottom w:val="nil"/>
                    <w:right w:val="nil"/>
                  </w:tcBorders>
                  <w:shd w:val="clear" w:color="000000" w:fill="FFFFFF"/>
                  <w:noWrap/>
                  <w:tcMar>
                    <w:top w:w="0" w:type="dxa"/>
                    <w:left w:w="0" w:type="dxa"/>
                    <w:right w:w="0" w:type="dxa"/>
                  </w:tcMar>
                  <w:vAlign w:val="center"/>
                  <w:hideMark/>
                </w:tcPr>
                <w:p w14:paraId="7AAEACC5" w14:textId="77777777" w:rsidR="00EB58A6" w:rsidRPr="00A6717D" w:rsidRDefault="00EB58A6" w:rsidP="00EB58A6">
                  <w:pPr>
                    <w:spacing w:after="0" w:line="240" w:lineRule="auto"/>
                    <w:jc w:val="center"/>
                    <w:rPr>
                      <w:rFonts w:eastAsia="Times New Roman" w:cs="Times New Roman"/>
                      <w:i/>
                      <w:iCs/>
                      <w:color w:val="000000"/>
                      <w:sz w:val="20"/>
                      <w:szCs w:val="20"/>
                      <w:lang w:val="en-US"/>
                    </w:rPr>
                  </w:pPr>
                  <w:r w:rsidRPr="00A6717D">
                    <w:rPr>
                      <w:rFonts w:eastAsia="Times New Roman" w:cs="Times New Roman"/>
                      <w:i/>
                      <w:iCs/>
                      <w:color w:val="000000"/>
                      <w:sz w:val="20"/>
                      <w:szCs w:val="20"/>
                      <w:lang w:val="en-US"/>
                    </w:rPr>
                    <w:t>18.481</w:t>
                  </w:r>
                </w:p>
              </w:tc>
              <w:tc>
                <w:tcPr>
                  <w:tcW w:w="889" w:type="dxa"/>
                  <w:tcBorders>
                    <w:top w:val="nil"/>
                    <w:left w:val="nil"/>
                    <w:bottom w:val="nil"/>
                    <w:right w:val="nil"/>
                  </w:tcBorders>
                  <w:shd w:val="clear" w:color="000000" w:fill="FFFFFF"/>
                  <w:noWrap/>
                  <w:tcMar>
                    <w:top w:w="0" w:type="dxa"/>
                    <w:left w:w="0" w:type="dxa"/>
                    <w:right w:w="0" w:type="dxa"/>
                  </w:tcMar>
                  <w:vAlign w:val="center"/>
                  <w:hideMark/>
                </w:tcPr>
                <w:p w14:paraId="1A26FD47" w14:textId="77777777" w:rsidR="00EB58A6" w:rsidRPr="00A6717D" w:rsidRDefault="00EB58A6" w:rsidP="00EB58A6">
                  <w:pPr>
                    <w:spacing w:after="0" w:line="240" w:lineRule="auto"/>
                    <w:jc w:val="center"/>
                    <w:rPr>
                      <w:rFonts w:eastAsia="Times New Roman" w:cs="Times New Roman"/>
                      <w:i/>
                      <w:iCs/>
                      <w:color w:val="000000"/>
                      <w:sz w:val="20"/>
                      <w:szCs w:val="20"/>
                      <w:lang w:val="en-US"/>
                    </w:rPr>
                  </w:pPr>
                  <w:r>
                    <w:rPr>
                      <w:i/>
                      <w:iCs/>
                      <w:color w:val="000000"/>
                      <w:sz w:val="20"/>
                      <w:szCs w:val="20"/>
                    </w:rPr>
                    <w:t>18.481</w:t>
                  </w:r>
                </w:p>
              </w:tc>
            </w:tr>
            <w:tr w:rsidR="00EB58A6" w:rsidRPr="0033113E" w14:paraId="21001EE9" w14:textId="77777777" w:rsidTr="00247B52">
              <w:trPr>
                <w:trHeight w:val="479"/>
              </w:trPr>
              <w:tc>
                <w:tcPr>
                  <w:tcW w:w="2471" w:type="dxa"/>
                  <w:tcBorders>
                    <w:top w:val="nil"/>
                    <w:left w:val="nil"/>
                    <w:bottom w:val="nil"/>
                    <w:right w:val="nil"/>
                  </w:tcBorders>
                  <w:shd w:val="clear" w:color="000000" w:fill="FFFFFF"/>
                  <w:tcMar>
                    <w:left w:w="0" w:type="dxa"/>
                    <w:right w:w="0" w:type="dxa"/>
                  </w:tcMar>
                  <w:vAlign w:val="center"/>
                  <w:hideMark/>
                </w:tcPr>
                <w:p w14:paraId="7D406FFA" w14:textId="77777777" w:rsidR="00EB58A6" w:rsidRPr="00A6717D" w:rsidRDefault="00EB58A6" w:rsidP="00EB58A6">
                  <w:pPr>
                    <w:spacing w:after="0" w:line="240" w:lineRule="auto"/>
                    <w:jc w:val="left"/>
                    <w:rPr>
                      <w:rFonts w:eastAsia="Times New Roman" w:cs="Times New Roman"/>
                      <w:color w:val="000000"/>
                      <w:sz w:val="20"/>
                      <w:szCs w:val="20"/>
                    </w:rPr>
                  </w:pPr>
                  <w:r w:rsidRPr="00A6717D">
                    <w:rPr>
                      <w:rFonts w:eastAsia="Times New Roman" w:cs="Times New Roman"/>
                      <w:color w:val="000000"/>
                      <w:sz w:val="20"/>
                      <w:szCs w:val="20"/>
                    </w:rPr>
                    <w:t>γ. Αιρετοί/Πρόεδροι-Μέλη ΔΣ/Μετακλητοί</w:t>
                  </w:r>
                </w:p>
              </w:tc>
              <w:tc>
                <w:tcPr>
                  <w:tcW w:w="935" w:type="dxa"/>
                  <w:tcBorders>
                    <w:top w:val="nil"/>
                    <w:left w:val="nil"/>
                    <w:bottom w:val="nil"/>
                    <w:right w:val="nil"/>
                  </w:tcBorders>
                  <w:shd w:val="clear" w:color="000000" w:fill="FFFFFF"/>
                  <w:noWrap/>
                  <w:tcMar>
                    <w:left w:w="0" w:type="dxa"/>
                    <w:right w:w="0" w:type="dxa"/>
                  </w:tcMar>
                  <w:vAlign w:val="center"/>
                  <w:hideMark/>
                </w:tcPr>
                <w:p w14:paraId="2C14CA2D" w14:textId="77777777" w:rsidR="00EB58A6" w:rsidRPr="00A6717D" w:rsidRDefault="00EB58A6" w:rsidP="00EB58A6">
                  <w:pPr>
                    <w:spacing w:after="0" w:line="240" w:lineRule="auto"/>
                    <w:jc w:val="center"/>
                    <w:rPr>
                      <w:rFonts w:eastAsia="Times New Roman" w:cs="Times New Roman"/>
                      <w:color w:val="000000"/>
                      <w:sz w:val="20"/>
                      <w:szCs w:val="20"/>
                    </w:rPr>
                  </w:pPr>
                  <w:r w:rsidRPr="00A6717D">
                    <w:rPr>
                      <w:rFonts w:eastAsia="Times New Roman" w:cs="Times New Roman"/>
                      <w:color w:val="000000"/>
                      <w:sz w:val="20"/>
                      <w:szCs w:val="20"/>
                    </w:rPr>
                    <w:t>11.922</w:t>
                  </w:r>
                </w:p>
              </w:tc>
              <w:tc>
                <w:tcPr>
                  <w:tcW w:w="738" w:type="dxa"/>
                  <w:tcBorders>
                    <w:top w:val="nil"/>
                    <w:left w:val="nil"/>
                    <w:bottom w:val="nil"/>
                    <w:right w:val="nil"/>
                  </w:tcBorders>
                  <w:shd w:val="clear" w:color="000000" w:fill="FFFFFF"/>
                  <w:noWrap/>
                  <w:tcMar>
                    <w:left w:w="0" w:type="dxa"/>
                    <w:right w:w="0" w:type="dxa"/>
                  </w:tcMar>
                  <w:vAlign w:val="center"/>
                  <w:hideMark/>
                </w:tcPr>
                <w:p w14:paraId="349CD9AB" w14:textId="77777777" w:rsidR="00EB58A6" w:rsidRPr="00A6717D" w:rsidRDefault="00EB58A6" w:rsidP="00EB58A6">
                  <w:pPr>
                    <w:spacing w:after="0" w:line="240" w:lineRule="auto"/>
                    <w:jc w:val="center"/>
                    <w:rPr>
                      <w:rFonts w:eastAsia="Times New Roman" w:cs="Times New Roman"/>
                      <w:color w:val="000000"/>
                      <w:sz w:val="20"/>
                      <w:szCs w:val="20"/>
                    </w:rPr>
                  </w:pPr>
                  <w:r w:rsidRPr="00A6717D">
                    <w:rPr>
                      <w:rFonts w:eastAsia="Times New Roman" w:cs="Times New Roman"/>
                      <w:color w:val="000000"/>
                      <w:sz w:val="20"/>
                      <w:szCs w:val="20"/>
                    </w:rPr>
                    <w:t>12.908</w:t>
                  </w:r>
                </w:p>
              </w:tc>
              <w:tc>
                <w:tcPr>
                  <w:tcW w:w="821" w:type="dxa"/>
                  <w:tcBorders>
                    <w:top w:val="nil"/>
                    <w:left w:val="nil"/>
                    <w:bottom w:val="nil"/>
                    <w:right w:val="nil"/>
                  </w:tcBorders>
                  <w:shd w:val="clear" w:color="000000" w:fill="FFFFFF"/>
                  <w:noWrap/>
                  <w:tcMar>
                    <w:left w:w="0" w:type="dxa"/>
                    <w:right w:w="0" w:type="dxa"/>
                  </w:tcMar>
                  <w:vAlign w:val="center"/>
                  <w:hideMark/>
                </w:tcPr>
                <w:p w14:paraId="00574D3E" w14:textId="77777777" w:rsidR="00EB58A6" w:rsidRPr="00A6717D" w:rsidRDefault="00EB58A6" w:rsidP="00EB58A6">
                  <w:pPr>
                    <w:spacing w:after="0" w:line="240" w:lineRule="auto"/>
                    <w:jc w:val="center"/>
                    <w:rPr>
                      <w:rFonts w:eastAsia="Times New Roman" w:cs="Times New Roman"/>
                      <w:color w:val="000000"/>
                      <w:sz w:val="20"/>
                      <w:szCs w:val="20"/>
                    </w:rPr>
                  </w:pPr>
                  <w:r w:rsidRPr="00A6717D">
                    <w:rPr>
                      <w:rFonts w:eastAsia="Times New Roman" w:cs="Times New Roman"/>
                      <w:color w:val="000000"/>
                      <w:sz w:val="20"/>
                      <w:szCs w:val="20"/>
                    </w:rPr>
                    <w:t>13.976</w:t>
                  </w:r>
                </w:p>
              </w:tc>
              <w:tc>
                <w:tcPr>
                  <w:tcW w:w="821" w:type="dxa"/>
                  <w:tcBorders>
                    <w:top w:val="nil"/>
                    <w:left w:val="nil"/>
                    <w:bottom w:val="nil"/>
                    <w:right w:val="nil"/>
                  </w:tcBorders>
                  <w:shd w:val="clear" w:color="000000" w:fill="FFFFFF"/>
                  <w:noWrap/>
                  <w:tcMar>
                    <w:left w:w="0" w:type="dxa"/>
                    <w:right w:w="0" w:type="dxa"/>
                  </w:tcMar>
                  <w:vAlign w:val="center"/>
                  <w:hideMark/>
                </w:tcPr>
                <w:p w14:paraId="303AE804" w14:textId="77777777" w:rsidR="00EB58A6" w:rsidRPr="00A6717D" w:rsidRDefault="00EB58A6" w:rsidP="00EB58A6">
                  <w:pPr>
                    <w:spacing w:after="0" w:line="240" w:lineRule="auto"/>
                    <w:jc w:val="center"/>
                    <w:rPr>
                      <w:rFonts w:eastAsia="Times New Roman" w:cs="Times New Roman"/>
                      <w:color w:val="000000"/>
                      <w:sz w:val="20"/>
                      <w:szCs w:val="20"/>
                    </w:rPr>
                  </w:pPr>
                  <w:r w:rsidRPr="00A6717D">
                    <w:rPr>
                      <w:rFonts w:eastAsia="Times New Roman" w:cs="Times New Roman"/>
                      <w:color w:val="000000"/>
                      <w:sz w:val="20"/>
                      <w:szCs w:val="20"/>
                    </w:rPr>
                    <w:t>14.914</w:t>
                  </w:r>
                </w:p>
              </w:tc>
              <w:tc>
                <w:tcPr>
                  <w:tcW w:w="821" w:type="dxa"/>
                  <w:tcBorders>
                    <w:top w:val="nil"/>
                    <w:left w:val="nil"/>
                    <w:bottom w:val="nil"/>
                    <w:right w:val="nil"/>
                  </w:tcBorders>
                  <w:shd w:val="clear" w:color="000000" w:fill="FFFFFF"/>
                  <w:noWrap/>
                  <w:tcMar>
                    <w:left w:w="0" w:type="dxa"/>
                    <w:right w:w="0" w:type="dxa"/>
                  </w:tcMar>
                  <w:vAlign w:val="center"/>
                  <w:hideMark/>
                </w:tcPr>
                <w:p w14:paraId="5EE3A689" w14:textId="77777777" w:rsidR="00EB58A6" w:rsidRPr="00A6717D" w:rsidRDefault="00EB58A6" w:rsidP="00EB58A6">
                  <w:pPr>
                    <w:spacing w:after="0" w:line="240" w:lineRule="auto"/>
                    <w:jc w:val="center"/>
                    <w:rPr>
                      <w:rFonts w:eastAsia="Times New Roman" w:cs="Times New Roman"/>
                      <w:color w:val="000000"/>
                      <w:sz w:val="20"/>
                      <w:szCs w:val="20"/>
                    </w:rPr>
                  </w:pPr>
                  <w:r w:rsidRPr="00A6717D">
                    <w:rPr>
                      <w:rFonts w:eastAsia="Times New Roman" w:cs="Times New Roman"/>
                      <w:color w:val="000000"/>
                      <w:sz w:val="20"/>
                      <w:szCs w:val="20"/>
                    </w:rPr>
                    <w:t>16.170</w:t>
                  </w:r>
                </w:p>
              </w:tc>
              <w:tc>
                <w:tcPr>
                  <w:tcW w:w="821" w:type="dxa"/>
                  <w:tcBorders>
                    <w:top w:val="nil"/>
                    <w:left w:val="nil"/>
                    <w:bottom w:val="nil"/>
                    <w:right w:val="nil"/>
                  </w:tcBorders>
                  <w:shd w:val="clear" w:color="000000" w:fill="FFFFFF"/>
                  <w:noWrap/>
                  <w:tcMar>
                    <w:left w:w="0" w:type="dxa"/>
                    <w:right w:w="0" w:type="dxa"/>
                  </w:tcMar>
                  <w:vAlign w:val="center"/>
                  <w:hideMark/>
                </w:tcPr>
                <w:p w14:paraId="5E78D020" w14:textId="77777777" w:rsidR="00EB58A6" w:rsidRPr="00A6717D" w:rsidRDefault="00EB58A6" w:rsidP="00EB58A6">
                  <w:pPr>
                    <w:spacing w:after="0" w:line="240" w:lineRule="auto"/>
                    <w:jc w:val="center"/>
                    <w:rPr>
                      <w:rFonts w:eastAsia="Times New Roman" w:cs="Times New Roman"/>
                      <w:color w:val="000000"/>
                      <w:sz w:val="20"/>
                      <w:szCs w:val="20"/>
                    </w:rPr>
                  </w:pPr>
                  <w:r w:rsidRPr="00A6717D">
                    <w:rPr>
                      <w:rFonts w:eastAsia="Times New Roman" w:cs="Times New Roman"/>
                      <w:color w:val="000000"/>
                      <w:sz w:val="20"/>
                      <w:szCs w:val="20"/>
                    </w:rPr>
                    <w:t>17.522</w:t>
                  </w:r>
                </w:p>
              </w:tc>
              <w:tc>
                <w:tcPr>
                  <w:tcW w:w="889" w:type="dxa"/>
                  <w:tcBorders>
                    <w:top w:val="nil"/>
                    <w:left w:val="nil"/>
                    <w:bottom w:val="nil"/>
                    <w:right w:val="nil"/>
                  </w:tcBorders>
                  <w:shd w:val="clear" w:color="000000" w:fill="FFFFFF"/>
                  <w:noWrap/>
                  <w:tcMar>
                    <w:left w:w="0" w:type="dxa"/>
                    <w:right w:w="0" w:type="dxa"/>
                  </w:tcMar>
                  <w:vAlign w:val="center"/>
                  <w:hideMark/>
                </w:tcPr>
                <w:p w14:paraId="5BD54D37" w14:textId="77777777" w:rsidR="00EB58A6" w:rsidRPr="00A6717D" w:rsidRDefault="00EB58A6" w:rsidP="00EB58A6">
                  <w:pPr>
                    <w:spacing w:after="0" w:line="240" w:lineRule="auto"/>
                    <w:jc w:val="center"/>
                    <w:rPr>
                      <w:rFonts w:eastAsia="Times New Roman" w:cs="Times New Roman"/>
                      <w:color w:val="000000"/>
                      <w:sz w:val="20"/>
                      <w:szCs w:val="20"/>
                    </w:rPr>
                  </w:pPr>
                  <w:r>
                    <w:rPr>
                      <w:color w:val="000000"/>
                      <w:sz w:val="20"/>
                      <w:szCs w:val="20"/>
                    </w:rPr>
                    <w:t>5.600</w:t>
                  </w:r>
                </w:p>
              </w:tc>
            </w:tr>
            <w:tr w:rsidR="00EB58A6" w:rsidRPr="0033113E" w14:paraId="43136498" w14:textId="77777777" w:rsidTr="00247B52">
              <w:trPr>
                <w:trHeight w:val="444"/>
              </w:trPr>
              <w:tc>
                <w:tcPr>
                  <w:tcW w:w="2471" w:type="dxa"/>
                  <w:tcBorders>
                    <w:top w:val="nil"/>
                    <w:left w:val="nil"/>
                    <w:bottom w:val="nil"/>
                    <w:right w:val="nil"/>
                  </w:tcBorders>
                  <w:shd w:val="clear" w:color="000000" w:fill="D9D9D9"/>
                  <w:noWrap/>
                  <w:tcMar>
                    <w:left w:w="0" w:type="dxa"/>
                    <w:right w:w="0" w:type="dxa"/>
                  </w:tcMar>
                  <w:vAlign w:val="center"/>
                  <w:hideMark/>
                </w:tcPr>
                <w:p w14:paraId="1CAE81A6" w14:textId="77777777" w:rsidR="00EB58A6" w:rsidRPr="00A6717D" w:rsidRDefault="00EB58A6" w:rsidP="00EB58A6">
                  <w:pPr>
                    <w:spacing w:after="0" w:line="240" w:lineRule="auto"/>
                    <w:jc w:val="left"/>
                    <w:rPr>
                      <w:rFonts w:eastAsia="Times New Roman" w:cs="Times New Roman"/>
                      <w:b/>
                      <w:bCs/>
                      <w:color w:val="000000"/>
                      <w:sz w:val="20"/>
                      <w:szCs w:val="20"/>
                    </w:rPr>
                  </w:pPr>
                  <w:r w:rsidRPr="00A6717D">
                    <w:rPr>
                      <w:rFonts w:eastAsia="Times New Roman" w:cs="Times New Roman"/>
                      <w:b/>
                      <w:bCs/>
                      <w:color w:val="000000"/>
                      <w:sz w:val="20"/>
                      <w:szCs w:val="20"/>
                    </w:rPr>
                    <w:t>Ι</w:t>
                  </w:r>
                  <w:r w:rsidRPr="00A6717D">
                    <w:rPr>
                      <w:rFonts w:eastAsia="Times New Roman" w:cs="Times New Roman"/>
                      <w:b/>
                      <w:bCs/>
                      <w:color w:val="000000"/>
                      <w:sz w:val="20"/>
                      <w:szCs w:val="20"/>
                      <w:lang w:val="en-US"/>
                    </w:rPr>
                    <w:t>II</w:t>
                  </w:r>
                  <w:r w:rsidRPr="00A6717D">
                    <w:rPr>
                      <w:rFonts w:eastAsia="Times New Roman" w:cs="Times New Roman"/>
                      <w:b/>
                      <w:bCs/>
                      <w:color w:val="000000"/>
                      <w:sz w:val="20"/>
                      <w:szCs w:val="20"/>
                    </w:rPr>
                    <w:t>. Φορείς ΓΚ</w:t>
                  </w:r>
                  <w:r>
                    <w:rPr>
                      <w:rFonts w:eastAsia="Times New Roman" w:cs="Times New Roman"/>
                      <w:b/>
                      <w:bCs/>
                      <w:color w:val="000000"/>
                      <w:sz w:val="20"/>
                      <w:szCs w:val="20"/>
                    </w:rPr>
                    <w:t>*</w:t>
                  </w:r>
                </w:p>
              </w:tc>
              <w:tc>
                <w:tcPr>
                  <w:tcW w:w="935" w:type="dxa"/>
                  <w:tcBorders>
                    <w:top w:val="nil"/>
                    <w:left w:val="nil"/>
                    <w:bottom w:val="nil"/>
                    <w:right w:val="nil"/>
                  </w:tcBorders>
                  <w:shd w:val="clear" w:color="000000" w:fill="D9D9D9"/>
                  <w:noWrap/>
                  <w:tcMar>
                    <w:left w:w="0" w:type="dxa"/>
                    <w:right w:w="0" w:type="dxa"/>
                  </w:tcMar>
                  <w:vAlign w:val="center"/>
                  <w:hideMark/>
                </w:tcPr>
                <w:p w14:paraId="6DB08F33" w14:textId="77777777" w:rsidR="00EB58A6" w:rsidRPr="000B5487" w:rsidRDefault="00EB58A6" w:rsidP="00EB58A6">
                  <w:pPr>
                    <w:spacing w:after="0" w:line="240" w:lineRule="auto"/>
                    <w:jc w:val="center"/>
                    <w:rPr>
                      <w:rFonts w:eastAsia="Times New Roman" w:cs="Times New Roman"/>
                      <w:color w:val="000000"/>
                      <w:sz w:val="20"/>
                      <w:szCs w:val="20"/>
                    </w:rPr>
                  </w:pPr>
                  <w:r w:rsidRPr="000B5487">
                    <w:rPr>
                      <w:rFonts w:eastAsia="Times New Roman" w:cs="Times New Roman"/>
                      <w:color w:val="000000"/>
                      <w:sz w:val="20"/>
                      <w:szCs w:val="20"/>
                    </w:rPr>
                    <w:t>1</w:t>
                  </w:r>
                  <w:r>
                    <w:rPr>
                      <w:rFonts w:eastAsia="Times New Roman" w:cs="Times New Roman"/>
                      <w:color w:val="000000"/>
                      <w:sz w:val="20"/>
                      <w:szCs w:val="20"/>
                    </w:rPr>
                    <w:t>.</w:t>
                  </w:r>
                  <w:r w:rsidRPr="000B5487">
                    <w:rPr>
                      <w:rFonts w:eastAsia="Times New Roman" w:cs="Times New Roman"/>
                      <w:color w:val="000000"/>
                      <w:sz w:val="20"/>
                      <w:szCs w:val="20"/>
                    </w:rPr>
                    <w:t>736</w:t>
                  </w:r>
                </w:p>
              </w:tc>
              <w:tc>
                <w:tcPr>
                  <w:tcW w:w="738" w:type="dxa"/>
                  <w:tcBorders>
                    <w:top w:val="nil"/>
                    <w:left w:val="nil"/>
                    <w:bottom w:val="nil"/>
                    <w:right w:val="nil"/>
                  </w:tcBorders>
                  <w:shd w:val="clear" w:color="000000" w:fill="D9D9D9"/>
                  <w:noWrap/>
                  <w:tcMar>
                    <w:left w:w="0" w:type="dxa"/>
                    <w:right w:w="0" w:type="dxa"/>
                  </w:tcMar>
                  <w:vAlign w:val="center"/>
                  <w:hideMark/>
                </w:tcPr>
                <w:p w14:paraId="297285D3" w14:textId="77777777" w:rsidR="00EB58A6" w:rsidRPr="000B5487" w:rsidRDefault="00EB58A6" w:rsidP="00EB58A6">
                  <w:pPr>
                    <w:spacing w:after="0" w:line="240" w:lineRule="auto"/>
                    <w:jc w:val="center"/>
                    <w:rPr>
                      <w:rFonts w:eastAsia="Times New Roman" w:cs="Times New Roman"/>
                      <w:color w:val="000000"/>
                      <w:sz w:val="20"/>
                      <w:szCs w:val="20"/>
                    </w:rPr>
                  </w:pPr>
                  <w:r w:rsidRPr="000B5487">
                    <w:rPr>
                      <w:rFonts w:eastAsia="Times New Roman" w:cs="Times New Roman"/>
                      <w:color w:val="000000"/>
                      <w:sz w:val="20"/>
                      <w:szCs w:val="20"/>
                    </w:rPr>
                    <w:t>1</w:t>
                  </w:r>
                  <w:r>
                    <w:rPr>
                      <w:rFonts w:eastAsia="Times New Roman" w:cs="Times New Roman"/>
                      <w:color w:val="000000"/>
                      <w:sz w:val="20"/>
                      <w:szCs w:val="20"/>
                    </w:rPr>
                    <w:t>.</w:t>
                  </w:r>
                  <w:r w:rsidRPr="000B5487">
                    <w:rPr>
                      <w:rFonts w:eastAsia="Times New Roman" w:cs="Times New Roman"/>
                      <w:color w:val="000000"/>
                      <w:sz w:val="20"/>
                      <w:szCs w:val="20"/>
                    </w:rPr>
                    <w:t>737</w:t>
                  </w:r>
                </w:p>
              </w:tc>
              <w:tc>
                <w:tcPr>
                  <w:tcW w:w="821" w:type="dxa"/>
                  <w:tcBorders>
                    <w:top w:val="nil"/>
                    <w:left w:val="nil"/>
                    <w:bottom w:val="nil"/>
                    <w:right w:val="nil"/>
                  </w:tcBorders>
                  <w:shd w:val="clear" w:color="000000" w:fill="D9D9D9"/>
                  <w:noWrap/>
                  <w:tcMar>
                    <w:left w:w="0" w:type="dxa"/>
                    <w:right w:w="0" w:type="dxa"/>
                  </w:tcMar>
                  <w:vAlign w:val="center"/>
                  <w:hideMark/>
                </w:tcPr>
                <w:p w14:paraId="2984B184" w14:textId="77777777" w:rsidR="00EB58A6" w:rsidRPr="000B5487" w:rsidRDefault="00EB58A6" w:rsidP="00EB58A6">
                  <w:pPr>
                    <w:spacing w:after="0" w:line="240" w:lineRule="auto"/>
                    <w:jc w:val="center"/>
                    <w:rPr>
                      <w:rFonts w:eastAsia="Times New Roman" w:cs="Times New Roman"/>
                      <w:color w:val="000000"/>
                      <w:sz w:val="20"/>
                      <w:szCs w:val="20"/>
                    </w:rPr>
                  </w:pPr>
                  <w:r w:rsidRPr="000B5487">
                    <w:rPr>
                      <w:rFonts w:eastAsia="Times New Roman" w:cs="Times New Roman"/>
                      <w:color w:val="000000"/>
                      <w:sz w:val="20"/>
                      <w:szCs w:val="20"/>
                    </w:rPr>
                    <w:t>1</w:t>
                  </w:r>
                  <w:r>
                    <w:rPr>
                      <w:rFonts w:eastAsia="Times New Roman" w:cs="Times New Roman"/>
                      <w:color w:val="000000"/>
                      <w:sz w:val="20"/>
                      <w:szCs w:val="20"/>
                    </w:rPr>
                    <w:t>.</w:t>
                  </w:r>
                  <w:r w:rsidRPr="000B5487">
                    <w:rPr>
                      <w:rFonts w:eastAsia="Times New Roman" w:cs="Times New Roman"/>
                      <w:color w:val="000000"/>
                      <w:sz w:val="20"/>
                      <w:szCs w:val="20"/>
                    </w:rPr>
                    <w:t>755</w:t>
                  </w:r>
                </w:p>
              </w:tc>
              <w:tc>
                <w:tcPr>
                  <w:tcW w:w="821" w:type="dxa"/>
                  <w:tcBorders>
                    <w:top w:val="nil"/>
                    <w:left w:val="nil"/>
                    <w:bottom w:val="nil"/>
                    <w:right w:val="nil"/>
                  </w:tcBorders>
                  <w:shd w:val="clear" w:color="000000" w:fill="D9D9D9"/>
                  <w:noWrap/>
                  <w:tcMar>
                    <w:left w:w="0" w:type="dxa"/>
                    <w:right w:w="0" w:type="dxa"/>
                  </w:tcMar>
                  <w:vAlign w:val="center"/>
                  <w:hideMark/>
                </w:tcPr>
                <w:p w14:paraId="629AE1D4" w14:textId="77777777" w:rsidR="00EB58A6" w:rsidRPr="000B5487" w:rsidRDefault="00EB58A6" w:rsidP="00EB58A6">
                  <w:pPr>
                    <w:spacing w:after="0" w:line="240" w:lineRule="auto"/>
                    <w:jc w:val="center"/>
                    <w:rPr>
                      <w:rFonts w:eastAsia="Times New Roman" w:cs="Times New Roman"/>
                      <w:color w:val="000000"/>
                      <w:sz w:val="20"/>
                      <w:szCs w:val="20"/>
                    </w:rPr>
                  </w:pPr>
                  <w:r w:rsidRPr="000B5487">
                    <w:rPr>
                      <w:rFonts w:eastAsia="Times New Roman" w:cs="Times New Roman"/>
                      <w:color w:val="000000"/>
                      <w:sz w:val="20"/>
                      <w:szCs w:val="20"/>
                    </w:rPr>
                    <w:t>1</w:t>
                  </w:r>
                  <w:r>
                    <w:rPr>
                      <w:rFonts w:eastAsia="Times New Roman" w:cs="Times New Roman"/>
                      <w:color w:val="000000"/>
                      <w:sz w:val="20"/>
                      <w:szCs w:val="20"/>
                    </w:rPr>
                    <w:t>.</w:t>
                  </w:r>
                  <w:r w:rsidRPr="000B5487">
                    <w:rPr>
                      <w:rFonts w:eastAsia="Times New Roman" w:cs="Times New Roman"/>
                      <w:color w:val="000000"/>
                      <w:sz w:val="20"/>
                      <w:szCs w:val="20"/>
                    </w:rPr>
                    <w:t>740</w:t>
                  </w:r>
                </w:p>
              </w:tc>
              <w:tc>
                <w:tcPr>
                  <w:tcW w:w="821" w:type="dxa"/>
                  <w:tcBorders>
                    <w:top w:val="nil"/>
                    <w:left w:val="nil"/>
                    <w:bottom w:val="nil"/>
                    <w:right w:val="nil"/>
                  </w:tcBorders>
                  <w:shd w:val="clear" w:color="000000" w:fill="D9D9D9"/>
                  <w:noWrap/>
                  <w:tcMar>
                    <w:left w:w="0" w:type="dxa"/>
                    <w:right w:w="0" w:type="dxa"/>
                  </w:tcMar>
                  <w:vAlign w:val="center"/>
                  <w:hideMark/>
                </w:tcPr>
                <w:p w14:paraId="6AD669CA" w14:textId="77777777" w:rsidR="00EB58A6" w:rsidRPr="000B5487" w:rsidRDefault="00EB58A6" w:rsidP="00EB58A6">
                  <w:pPr>
                    <w:spacing w:after="0" w:line="240" w:lineRule="auto"/>
                    <w:jc w:val="center"/>
                    <w:rPr>
                      <w:rFonts w:eastAsia="Times New Roman" w:cs="Times New Roman"/>
                      <w:color w:val="000000"/>
                      <w:sz w:val="20"/>
                      <w:szCs w:val="20"/>
                    </w:rPr>
                  </w:pPr>
                  <w:r w:rsidRPr="000B5487">
                    <w:rPr>
                      <w:rFonts w:eastAsia="Times New Roman" w:cs="Times New Roman"/>
                      <w:color w:val="000000"/>
                      <w:sz w:val="20"/>
                      <w:szCs w:val="20"/>
                    </w:rPr>
                    <w:t>1</w:t>
                  </w:r>
                  <w:r>
                    <w:rPr>
                      <w:rFonts w:eastAsia="Times New Roman" w:cs="Times New Roman"/>
                      <w:color w:val="000000"/>
                      <w:sz w:val="20"/>
                      <w:szCs w:val="20"/>
                    </w:rPr>
                    <w:t>.</w:t>
                  </w:r>
                  <w:r w:rsidRPr="000B5487">
                    <w:rPr>
                      <w:rFonts w:eastAsia="Times New Roman" w:cs="Times New Roman"/>
                      <w:color w:val="000000"/>
                      <w:sz w:val="20"/>
                      <w:szCs w:val="20"/>
                    </w:rPr>
                    <w:t>723</w:t>
                  </w:r>
                </w:p>
              </w:tc>
              <w:tc>
                <w:tcPr>
                  <w:tcW w:w="821" w:type="dxa"/>
                  <w:tcBorders>
                    <w:top w:val="nil"/>
                    <w:left w:val="nil"/>
                    <w:bottom w:val="nil"/>
                    <w:right w:val="nil"/>
                  </w:tcBorders>
                  <w:shd w:val="clear" w:color="000000" w:fill="D9D9D9"/>
                  <w:noWrap/>
                  <w:tcMar>
                    <w:left w:w="0" w:type="dxa"/>
                    <w:right w:w="0" w:type="dxa"/>
                  </w:tcMar>
                  <w:vAlign w:val="center"/>
                  <w:hideMark/>
                </w:tcPr>
                <w:p w14:paraId="3EA55A2D" w14:textId="77777777" w:rsidR="00EB58A6" w:rsidRPr="00A6717D" w:rsidRDefault="00EB58A6" w:rsidP="00EB58A6">
                  <w:pPr>
                    <w:spacing w:after="0" w:line="240" w:lineRule="auto"/>
                    <w:jc w:val="center"/>
                    <w:rPr>
                      <w:rFonts w:eastAsia="Times New Roman" w:cs="Times New Roman"/>
                      <w:color w:val="000000"/>
                      <w:sz w:val="20"/>
                      <w:szCs w:val="20"/>
                    </w:rPr>
                  </w:pPr>
                  <w:r w:rsidRPr="00A6717D">
                    <w:rPr>
                      <w:rFonts w:eastAsia="Times New Roman" w:cs="Times New Roman"/>
                      <w:color w:val="000000"/>
                      <w:sz w:val="20"/>
                      <w:szCs w:val="20"/>
                    </w:rPr>
                    <w:t>-</w:t>
                  </w:r>
                </w:p>
              </w:tc>
              <w:tc>
                <w:tcPr>
                  <w:tcW w:w="889" w:type="dxa"/>
                  <w:tcBorders>
                    <w:top w:val="nil"/>
                    <w:left w:val="nil"/>
                    <w:bottom w:val="nil"/>
                    <w:right w:val="nil"/>
                  </w:tcBorders>
                  <w:shd w:val="clear" w:color="000000" w:fill="D9D9D9"/>
                  <w:noWrap/>
                  <w:tcMar>
                    <w:left w:w="0" w:type="dxa"/>
                    <w:right w:w="0" w:type="dxa"/>
                  </w:tcMar>
                  <w:vAlign w:val="center"/>
                  <w:hideMark/>
                </w:tcPr>
                <w:p w14:paraId="68814A7C" w14:textId="77777777" w:rsidR="00EB58A6" w:rsidRPr="00A6717D" w:rsidRDefault="00EB58A6" w:rsidP="00EB58A6">
                  <w:pPr>
                    <w:spacing w:after="0" w:line="240" w:lineRule="auto"/>
                    <w:jc w:val="center"/>
                    <w:rPr>
                      <w:rFonts w:eastAsia="Times New Roman" w:cs="Times New Roman"/>
                      <w:color w:val="000000"/>
                      <w:sz w:val="20"/>
                      <w:szCs w:val="20"/>
                    </w:rPr>
                  </w:pPr>
                  <w:r w:rsidRPr="00A6717D">
                    <w:rPr>
                      <w:rFonts w:eastAsia="Times New Roman" w:cs="Times New Roman"/>
                      <w:color w:val="000000"/>
                      <w:sz w:val="20"/>
                      <w:szCs w:val="20"/>
                    </w:rPr>
                    <w:t>-</w:t>
                  </w:r>
                </w:p>
              </w:tc>
            </w:tr>
          </w:tbl>
          <w:p w14:paraId="5A06E41F" w14:textId="77777777" w:rsidR="00EB58A6" w:rsidRDefault="00EB58A6" w:rsidP="00EB58A6">
            <w:pPr>
              <w:spacing w:after="0" w:line="240" w:lineRule="auto"/>
              <w:rPr>
                <w:iCs/>
                <w:noProof/>
                <w:color w:val="00A3E0"/>
                <w:sz w:val="16"/>
                <w:szCs w:val="16"/>
              </w:rPr>
            </w:pPr>
            <w:r w:rsidRPr="00935778">
              <w:rPr>
                <w:b/>
                <w:sz w:val="16"/>
                <w:szCs w:val="16"/>
              </w:rPr>
              <w:t>Πηγ</w:t>
            </w:r>
            <w:r>
              <w:rPr>
                <w:b/>
                <w:sz w:val="16"/>
                <w:szCs w:val="16"/>
              </w:rPr>
              <w:t>ές</w:t>
            </w:r>
            <w:r w:rsidRPr="00935778">
              <w:rPr>
                <w:b/>
                <w:sz w:val="16"/>
                <w:szCs w:val="16"/>
              </w:rPr>
              <w:t>:</w:t>
            </w:r>
            <w:r w:rsidRPr="004D1F57">
              <w:rPr>
                <w:color w:val="auto"/>
                <w:sz w:val="16"/>
                <w:szCs w:val="16"/>
              </w:rPr>
              <w:t xml:space="preserve"> </w:t>
            </w:r>
            <w:r>
              <w:rPr>
                <w:iCs/>
                <w:noProof/>
                <w:color w:val="00A3E0"/>
                <w:sz w:val="16"/>
                <w:szCs w:val="16"/>
              </w:rPr>
              <w:t>Υπουργείο Οικονομικών (Δελτίο Μηνιαίων Στοιχείων Γενικής Κυβέρνησης Αυγούστου 2021-Χρονοσειρά ΓΚ), Υπουργείο Εσωτερικών (</w:t>
            </w:r>
            <w:r w:rsidRPr="00410618">
              <w:rPr>
                <w:iCs/>
                <w:noProof/>
                <w:color w:val="00A3E0"/>
                <w:sz w:val="16"/>
                <w:szCs w:val="16"/>
              </w:rPr>
              <w:t>Μητρώο Ανθρώπινου Δυναμικού Ελληνικού Δημοσίου</w:t>
            </w:r>
            <w:r>
              <w:rPr>
                <w:iCs/>
                <w:noProof/>
                <w:color w:val="00A3E0"/>
                <w:sz w:val="16"/>
                <w:szCs w:val="16"/>
              </w:rPr>
              <w:t>), ΕΛΣΤΑΤ (Μητρώο Φορέων Γενικής Κυβέρνησης).</w:t>
            </w:r>
          </w:p>
          <w:p w14:paraId="556A6F59" w14:textId="4E625B92" w:rsidR="00EB58A6" w:rsidRPr="00720239" w:rsidRDefault="00EB58A6" w:rsidP="00EB58A6">
            <w:pPr>
              <w:spacing w:before="120" w:after="0"/>
              <w:rPr>
                <w:iCs/>
                <w:noProof/>
                <w:color w:val="auto"/>
                <w:sz w:val="16"/>
                <w:szCs w:val="16"/>
              </w:rPr>
            </w:pPr>
            <w:r w:rsidRPr="00720239">
              <w:rPr>
                <w:iCs/>
                <w:noProof/>
                <w:color w:val="auto"/>
                <w:sz w:val="16"/>
                <w:szCs w:val="16"/>
              </w:rPr>
              <w:t xml:space="preserve">* Τα στοιχεία </w:t>
            </w:r>
            <w:r w:rsidR="007735B6">
              <w:rPr>
                <w:iCs/>
                <w:noProof/>
                <w:color w:val="auto"/>
                <w:sz w:val="16"/>
                <w:szCs w:val="16"/>
              </w:rPr>
              <w:t>αναφέρονται</w:t>
            </w:r>
            <w:r w:rsidRPr="00720239">
              <w:rPr>
                <w:iCs/>
                <w:noProof/>
                <w:color w:val="auto"/>
                <w:sz w:val="16"/>
                <w:szCs w:val="16"/>
              </w:rPr>
              <w:t xml:space="preserve"> </w:t>
            </w:r>
            <w:r w:rsidR="007735B6">
              <w:rPr>
                <w:iCs/>
                <w:noProof/>
                <w:color w:val="auto"/>
                <w:sz w:val="16"/>
                <w:szCs w:val="16"/>
              </w:rPr>
              <w:t>σ</w:t>
            </w:r>
            <w:r w:rsidRPr="00720239">
              <w:rPr>
                <w:iCs/>
                <w:noProof/>
                <w:color w:val="auto"/>
                <w:sz w:val="16"/>
                <w:szCs w:val="16"/>
              </w:rPr>
              <w:t>το</w:t>
            </w:r>
            <w:r w:rsidR="007735B6">
              <w:rPr>
                <w:iCs/>
                <w:noProof/>
                <w:color w:val="auto"/>
                <w:sz w:val="16"/>
                <w:szCs w:val="16"/>
              </w:rPr>
              <w:t>ν</w:t>
            </w:r>
            <w:r w:rsidRPr="00720239">
              <w:rPr>
                <w:iCs/>
                <w:noProof/>
                <w:color w:val="auto"/>
                <w:sz w:val="16"/>
                <w:szCs w:val="16"/>
              </w:rPr>
              <w:t xml:space="preserve"> Δεκέμβριο του κάθε έτους, με εξαίρεση </w:t>
            </w:r>
            <w:r w:rsidR="007735B6">
              <w:rPr>
                <w:iCs/>
                <w:noProof/>
                <w:color w:val="auto"/>
                <w:sz w:val="16"/>
                <w:szCs w:val="16"/>
              </w:rPr>
              <w:t xml:space="preserve">τον αριθμό των φορέων </w:t>
            </w:r>
            <w:r w:rsidRPr="00720239">
              <w:rPr>
                <w:iCs/>
                <w:noProof/>
                <w:color w:val="auto"/>
                <w:sz w:val="16"/>
                <w:szCs w:val="16"/>
              </w:rPr>
              <w:t xml:space="preserve">για το 2019 που </w:t>
            </w:r>
            <w:r w:rsidR="007735B6">
              <w:rPr>
                <w:iCs/>
                <w:noProof/>
                <w:color w:val="auto"/>
                <w:sz w:val="16"/>
                <w:szCs w:val="16"/>
              </w:rPr>
              <w:t>αναφέρονται</w:t>
            </w:r>
            <w:r>
              <w:rPr>
                <w:iCs/>
                <w:noProof/>
                <w:color w:val="auto"/>
                <w:sz w:val="16"/>
                <w:szCs w:val="16"/>
              </w:rPr>
              <w:t xml:space="preserve"> </w:t>
            </w:r>
            <w:r w:rsidR="007735B6">
              <w:rPr>
                <w:iCs/>
                <w:noProof/>
                <w:color w:val="auto"/>
                <w:sz w:val="16"/>
                <w:szCs w:val="16"/>
              </w:rPr>
              <w:t>σ</w:t>
            </w:r>
            <w:r w:rsidRPr="00720239">
              <w:rPr>
                <w:iCs/>
                <w:noProof/>
                <w:color w:val="auto"/>
                <w:sz w:val="16"/>
                <w:szCs w:val="16"/>
              </w:rPr>
              <w:t>το</w:t>
            </w:r>
            <w:r w:rsidR="007735B6">
              <w:rPr>
                <w:iCs/>
                <w:noProof/>
                <w:color w:val="auto"/>
                <w:sz w:val="16"/>
                <w:szCs w:val="16"/>
              </w:rPr>
              <w:t>ν</w:t>
            </w:r>
            <w:r w:rsidRPr="00720239">
              <w:rPr>
                <w:iCs/>
                <w:noProof/>
                <w:color w:val="auto"/>
                <w:sz w:val="16"/>
                <w:szCs w:val="16"/>
              </w:rPr>
              <w:t xml:space="preserve"> Σεπτέμβριο</w:t>
            </w:r>
            <w:r>
              <w:rPr>
                <w:iCs/>
                <w:noProof/>
                <w:color w:val="auto"/>
                <w:sz w:val="16"/>
                <w:szCs w:val="16"/>
              </w:rPr>
              <w:t xml:space="preserve"> (τελευταία διαθέσιμα στοιχεία)</w:t>
            </w:r>
            <w:r w:rsidRPr="00720239">
              <w:rPr>
                <w:iCs/>
                <w:noProof/>
                <w:color w:val="auto"/>
                <w:sz w:val="16"/>
                <w:szCs w:val="16"/>
              </w:rPr>
              <w:t xml:space="preserve">. </w:t>
            </w:r>
          </w:p>
          <w:p w14:paraId="6F3E8D5C" w14:textId="77777777" w:rsidR="00EB58A6" w:rsidRDefault="00EB58A6" w:rsidP="00EB58A6">
            <w:pPr>
              <w:spacing w:after="0"/>
              <w:rPr>
                <w:rFonts w:eastAsia="Times New Roman" w:cs="Calibri"/>
                <w:iCs/>
                <w:color w:val="auto"/>
                <w:lang w:eastAsia="el-GR"/>
              </w:rPr>
            </w:pPr>
          </w:p>
          <w:p w14:paraId="4DC1EF11" w14:textId="77777777" w:rsidR="00EB58A6" w:rsidRDefault="00EB58A6" w:rsidP="00EB58A6">
            <w:pPr>
              <w:spacing w:after="0"/>
              <w:rPr>
                <w:rFonts w:eastAsia="Times New Roman" w:cs="Calibri"/>
                <w:iCs/>
                <w:color w:val="auto"/>
                <w:lang w:eastAsia="el-GR"/>
              </w:rPr>
            </w:pPr>
            <w:r>
              <w:rPr>
                <w:rFonts w:eastAsia="Times New Roman" w:cs="Calibri"/>
                <w:iCs/>
                <w:color w:val="auto"/>
                <w:lang w:eastAsia="el-GR"/>
              </w:rPr>
              <w:t>Σημειώνεται πως πρόσφατα</w:t>
            </w:r>
            <w:r>
              <w:rPr>
                <w:rStyle w:val="af1"/>
                <w:rFonts w:eastAsia="Times New Roman" w:cs="Calibri"/>
                <w:iCs/>
                <w:color w:val="auto"/>
                <w:lang w:eastAsia="el-GR"/>
              </w:rPr>
              <w:footnoteReference w:id="12"/>
            </w:r>
            <w:r>
              <w:rPr>
                <w:rFonts w:eastAsia="Times New Roman" w:cs="Calibri"/>
                <w:iCs/>
                <w:color w:val="auto"/>
                <w:lang w:eastAsia="el-GR"/>
              </w:rPr>
              <w:t xml:space="preserve"> καθιερώθηκε ο προγραμματισμός προσλήψεων για το προσωπικό με σχέση εργασίας ιδιωτικού δικαίου ορισμένου χρόνου ή σύμβασης μίσθωσης έργου και η πρόβλεψη για </w:t>
            </w:r>
            <w:r w:rsidRPr="00391FCD">
              <w:rPr>
                <w:rFonts w:eastAsia="Times New Roman" w:cs="Calibri"/>
                <w:iCs/>
                <w:color w:val="auto"/>
                <w:lang w:eastAsia="el-GR"/>
              </w:rPr>
              <w:t xml:space="preserve"> </w:t>
            </w:r>
            <w:r>
              <w:rPr>
                <w:rFonts w:eastAsia="Times New Roman" w:cs="Calibri"/>
                <w:iCs/>
                <w:color w:val="auto"/>
                <w:lang w:eastAsia="el-GR"/>
              </w:rPr>
              <w:t xml:space="preserve">σχετικό </w:t>
            </w:r>
            <w:r w:rsidRPr="00391FCD">
              <w:rPr>
                <w:rFonts w:eastAsia="Times New Roman" w:cs="Calibri"/>
                <w:iCs/>
                <w:color w:val="auto"/>
                <w:lang w:eastAsia="el-GR"/>
              </w:rPr>
              <w:t xml:space="preserve">μέγιστο επιτρεπόμενο αριθμό </w:t>
            </w:r>
            <w:r w:rsidRPr="00391FCD">
              <w:rPr>
                <w:rFonts w:eastAsia="Times New Roman" w:cs="Calibri"/>
                <w:iCs/>
                <w:color w:val="auto"/>
                <w:lang w:eastAsia="el-GR"/>
              </w:rPr>
              <w:lastRenderedPageBreak/>
              <w:t>προσλήψεων</w:t>
            </w:r>
            <w:r>
              <w:rPr>
                <w:rStyle w:val="af1"/>
                <w:rFonts w:eastAsia="Times New Roman" w:cs="Calibri"/>
                <w:iCs/>
                <w:color w:val="auto"/>
                <w:lang w:eastAsia="el-GR"/>
              </w:rPr>
              <w:footnoteReference w:id="13"/>
            </w:r>
            <w:r>
              <w:rPr>
                <w:rFonts w:eastAsia="Times New Roman" w:cs="Calibri"/>
                <w:iCs/>
                <w:color w:val="auto"/>
                <w:lang w:eastAsia="el-GR"/>
              </w:rPr>
              <w:t xml:space="preserve">. Ειδικά για το 2022 ο μέγιστος αριθμός συμβασιούχων θα περιοριστεί κατά 10% σε σχέση με τον αντίστοιχο αριθμό του 2020. </w:t>
            </w:r>
          </w:p>
          <w:p w14:paraId="23FD47B4" w14:textId="77777777" w:rsidR="00EB58A6" w:rsidRDefault="00EB58A6" w:rsidP="00EB58A6">
            <w:pPr>
              <w:spacing w:after="0"/>
              <w:rPr>
                <w:rFonts w:eastAsia="Times New Roman" w:cs="Calibri"/>
                <w:iCs/>
                <w:color w:val="auto"/>
                <w:lang w:eastAsia="el-GR"/>
              </w:rPr>
            </w:pPr>
          </w:p>
          <w:p w14:paraId="46B486C7" w14:textId="7F5951FE" w:rsidR="00EB58A6" w:rsidRDefault="00EB58A6" w:rsidP="00EB58A6">
            <w:pPr>
              <w:spacing w:after="0"/>
              <w:rPr>
                <w:rFonts w:eastAsia="Times New Roman" w:cs="Calibri"/>
                <w:iCs/>
                <w:color w:val="auto"/>
                <w:lang w:eastAsia="el-GR"/>
              </w:rPr>
            </w:pPr>
            <w:r>
              <w:rPr>
                <w:rFonts w:eastAsia="Times New Roman" w:cs="Calibri"/>
                <w:iCs/>
                <w:color w:val="auto"/>
                <w:lang w:eastAsia="el-GR"/>
              </w:rPr>
              <w:t>Σε κάθε περίπτωση, επισημαίνεται πως σύμφωνα με τα πλέον πρόσφατα στοιχεία του ΟΟΣΑ</w:t>
            </w:r>
            <w:r>
              <w:rPr>
                <w:rStyle w:val="af1"/>
                <w:rFonts w:eastAsia="Times New Roman" w:cs="Calibri"/>
                <w:iCs/>
                <w:color w:val="auto"/>
                <w:lang w:eastAsia="el-GR"/>
              </w:rPr>
              <w:footnoteReference w:id="14"/>
            </w:r>
            <w:r>
              <w:rPr>
                <w:rFonts w:eastAsia="Times New Roman" w:cs="Calibri"/>
                <w:iCs/>
                <w:color w:val="auto"/>
                <w:lang w:eastAsia="el-GR"/>
              </w:rPr>
              <w:t xml:space="preserve">, η απασχόληση στη Γενική Κυβέρνηση ως ποσοστό επί της συνολικής απασχόλησης ανήλθε το 2019 σε 16,7% έναντι 17,9% του μέσου όρου του ΟΟΣΑ. </w:t>
            </w:r>
            <w:r w:rsidR="00C676A2" w:rsidRPr="00C676A2">
              <w:rPr>
                <w:rFonts w:eastAsia="Times New Roman" w:cs="Calibri"/>
                <w:iCs/>
                <w:color w:val="auto"/>
                <w:lang w:eastAsia="el-GR"/>
              </w:rPr>
              <w:t>Επίσης, η ελαχιστοποίηση των προσλήψεων κατά τα τελευταία έτη αποτυπώνεται και στην επιδείνωση της ηλικιακής δομής των εργαζομένων στην κεντρική κυβέρνηση, όπου το ποσοστό των εργαζομένων 18-34 ετών μειώθηκε από 4% το 2015 σε 1,8% το 2020</w:t>
            </w:r>
            <w:r w:rsidR="00C676A2" w:rsidRPr="00C676A2">
              <w:rPr>
                <w:rStyle w:val="af1"/>
                <w:rFonts w:eastAsia="Times New Roman" w:cs="Calibri"/>
                <w:iCs/>
                <w:color w:val="auto"/>
                <w:lang w:eastAsia="el-GR"/>
              </w:rPr>
              <w:footnoteReference w:id="15"/>
            </w:r>
            <w:r w:rsidR="00C676A2" w:rsidRPr="00C676A2">
              <w:rPr>
                <w:rFonts w:eastAsia="Times New Roman" w:cs="Calibri"/>
                <w:iCs/>
                <w:color w:val="auto"/>
                <w:lang w:eastAsia="el-GR"/>
              </w:rPr>
              <w:t xml:space="preserve"> ενώ αντίθετα το ποσοστό των εργαζομένων άνω των 55 ετών αυξήθηκε από 27% σε 36,6%</w:t>
            </w:r>
            <w:r w:rsidR="00C676A2" w:rsidRPr="00C676A2">
              <w:rPr>
                <w:rStyle w:val="af1"/>
                <w:rFonts w:eastAsia="Times New Roman" w:cs="Calibri"/>
                <w:iCs/>
                <w:color w:val="auto"/>
                <w:lang w:eastAsia="el-GR"/>
              </w:rPr>
              <w:footnoteReference w:id="16"/>
            </w:r>
            <w:r w:rsidR="00C676A2" w:rsidRPr="00C676A2">
              <w:rPr>
                <w:rFonts w:eastAsia="Times New Roman" w:cs="Calibri"/>
                <w:iCs/>
                <w:color w:val="auto"/>
                <w:lang w:eastAsia="el-GR"/>
              </w:rPr>
              <w:t>.</w:t>
            </w:r>
          </w:p>
          <w:p w14:paraId="1544E690" w14:textId="77777777" w:rsidR="00C676A2" w:rsidRDefault="00C676A2" w:rsidP="00EB58A6">
            <w:pPr>
              <w:spacing w:after="0"/>
              <w:rPr>
                <w:rFonts w:eastAsia="Times New Roman" w:cs="Calibri"/>
                <w:iCs/>
                <w:color w:val="auto"/>
                <w:lang w:eastAsia="el-GR"/>
              </w:rPr>
            </w:pPr>
          </w:p>
          <w:p w14:paraId="1363E06C" w14:textId="114D6006" w:rsidR="00EB58A6" w:rsidRDefault="00EB58A6" w:rsidP="00EB58A6">
            <w:pPr>
              <w:spacing w:after="0"/>
              <w:rPr>
                <w:rFonts w:eastAsia="Times New Roman" w:cs="Calibri"/>
                <w:iCs/>
                <w:color w:val="auto"/>
                <w:lang w:eastAsia="el-GR"/>
              </w:rPr>
            </w:pPr>
            <w:r>
              <w:rPr>
                <w:rFonts w:eastAsia="Times New Roman" w:cs="Calibri"/>
                <w:iCs/>
                <w:color w:val="auto"/>
                <w:lang w:eastAsia="el-GR"/>
              </w:rPr>
              <w:t xml:space="preserve">Τέλος, αναφορικά με τους φορείς που απαρτίζουν την Γενική Κυβέρνηση, σύμφωνα με το σχετικό μητρώο της ΕΛΣΤΑΤ, παρατηρείται μικρή μείωση </w:t>
            </w:r>
            <w:r w:rsidR="007735B6">
              <w:rPr>
                <w:rFonts w:eastAsia="Times New Roman" w:cs="Calibri"/>
                <w:iCs/>
                <w:color w:val="auto"/>
                <w:lang w:eastAsia="el-GR"/>
              </w:rPr>
              <w:t xml:space="preserve">(1.723 το 2019 έναντι </w:t>
            </w:r>
            <w:r>
              <w:rPr>
                <w:rFonts w:eastAsia="Times New Roman" w:cs="Calibri"/>
                <w:iCs/>
                <w:color w:val="auto"/>
                <w:lang w:eastAsia="el-GR"/>
              </w:rPr>
              <w:t xml:space="preserve">1.736 </w:t>
            </w:r>
            <w:r w:rsidR="007735B6">
              <w:rPr>
                <w:rFonts w:eastAsia="Times New Roman" w:cs="Calibri"/>
                <w:iCs/>
                <w:color w:val="auto"/>
                <w:lang w:eastAsia="el-GR"/>
              </w:rPr>
              <w:t>το 2015</w:t>
            </w:r>
            <w:r>
              <w:rPr>
                <w:rFonts w:eastAsia="Times New Roman" w:cs="Calibri"/>
                <w:iCs/>
                <w:color w:val="auto"/>
                <w:lang w:eastAsia="el-GR"/>
              </w:rPr>
              <w:t xml:space="preserve">, λόγω συγχωνεύσεων ασφαλιστικών ταμείων και ιδρυμάτων της τριτοβάθμιας εκπαίδευσης.  </w:t>
            </w:r>
          </w:p>
          <w:p w14:paraId="79A55B49" w14:textId="77777777" w:rsidR="00EB58A6" w:rsidRDefault="00EB58A6" w:rsidP="00EB58A6">
            <w:pPr>
              <w:spacing w:after="0"/>
              <w:rPr>
                <w:rFonts w:eastAsia="Times New Roman" w:cs="Calibri"/>
                <w:iCs/>
                <w:color w:val="auto"/>
                <w:lang w:eastAsia="el-GR"/>
              </w:rPr>
            </w:pPr>
          </w:p>
          <w:p w14:paraId="1B51ADDC" w14:textId="57ABE75E" w:rsidR="00AC76DA" w:rsidRPr="00AC76DA" w:rsidRDefault="00EB58A6" w:rsidP="00EB58A6">
            <w:pPr>
              <w:rPr>
                <w:rFonts w:eastAsia="Times New Roman" w:cstheme="minorHAnsi"/>
                <w:b/>
                <w:color w:val="auto"/>
                <w:kern w:val="36"/>
                <w:lang w:eastAsia="el-GR"/>
              </w:rPr>
            </w:pPr>
            <w:r w:rsidRPr="00260E10">
              <w:rPr>
                <w:rFonts w:eastAsia="Times New Roman" w:cs="Calibri"/>
                <w:b/>
                <w:iCs/>
                <w:color w:val="auto"/>
                <w:lang w:eastAsia="el-GR"/>
              </w:rPr>
              <w:t>Συμπερασματικά, η μισθολογική δαπάνη της Γενικής Κυβέρνησης παραμένει ελεγχόμενη και δεν αναμένεται να μεταβληθεί σημαντικά τα επόμενα έτη, καθώς σύμφωνα με το ΜΠΔΣ 2022-2025 ο κανόνας προσλήψεων-αποχωρήσεων προσωπικού θα διατηρηθεί στο 1:1</w:t>
            </w:r>
            <w:r w:rsidR="00EF4140" w:rsidRPr="00D17235">
              <w:rPr>
                <w:rFonts w:eastAsia="Times New Roman" w:cs="Calibri"/>
                <w:iCs/>
                <w:color w:val="auto"/>
                <w:lang w:eastAsia="el-GR"/>
              </w:rPr>
              <w:t xml:space="preserve">.  </w:t>
            </w:r>
          </w:p>
        </w:tc>
      </w:tr>
    </w:tbl>
    <w:p w14:paraId="14111AA3" w14:textId="78E6FD2F" w:rsidR="00B6235D" w:rsidRDefault="00B6235D" w:rsidP="00B6235D">
      <w:pPr>
        <w:pStyle w:val="a1"/>
        <w:numPr>
          <w:ilvl w:val="0"/>
          <w:numId w:val="0"/>
        </w:numPr>
        <w:ind w:left="709"/>
        <w:rPr>
          <w:sz w:val="28"/>
          <w:szCs w:val="28"/>
        </w:rPr>
      </w:pPr>
    </w:p>
    <w:p w14:paraId="508BE105" w14:textId="77777777" w:rsidR="00B6235D" w:rsidRPr="00B6235D" w:rsidRDefault="00B6235D" w:rsidP="00B6235D"/>
    <w:p w14:paraId="35626C30" w14:textId="45A9899D" w:rsidR="00D85054" w:rsidRPr="00DF3DBC" w:rsidRDefault="00DF3DBC" w:rsidP="00DF3DBC">
      <w:pPr>
        <w:pStyle w:val="a1"/>
        <w:numPr>
          <w:ilvl w:val="1"/>
          <w:numId w:val="3"/>
        </w:numPr>
        <w:rPr>
          <w:sz w:val="28"/>
          <w:szCs w:val="28"/>
        </w:rPr>
      </w:pPr>
      <w:bookmarkStart w:id="132" w:name="_Toc89172835"/>
      <w:r w:rsidRPr="00DF3DBC">
        <w:rPr>
          <w:sz w:val="28"/>
          <w:szCs w:val="28"/>
        </w:rPr>
        <w:t>Κρατικός Προϋπολογισμός (ΚΠ)</w:t>
      </w:r>
      <w:bookmarkEnd w:id="132"/>
      <w:r w:rsidR="00D85054" w:rsidRPr="00DF3DBC">
        <w:rPr>
          <w:sz w:val="28"/>
          <w:szCs w:val="28"/>
        </w:rPr>
        <w:t xml:space="preserve"> </w:t>
      </w:r>
    </w:p>
    <w:p w14:paraId="35E1795B" w14:textId="2C2D4B5E" w:rsidR="00B6235D" w:rsidRDefault="006A5A78" w:rsidP="006A5A78">
      <w:pPr>
        <w:rPr>
          <w:color w:val="auto"/>
        </w:rPr>
      </w:pPr>
      <w:r w:rsidRPr="006A5A78">
        <w:rPr>
          <w:color w:val="auto"/>
        </w:rPr>
        <w:t xml:space="preserve">Ο Κρατικός Προϋπολογισμός, το εννεάμηνο Ιανουαρίου- Σεπτεμβρίου 2021, </w:t>
      </w:r>
      <w:r w:rsidR="007735B6">
        <w:rPr>
          <w:color w:val="auto"/>
        </w:rPr>
        <w:t>παρουσίασε έλλειμμα</w:t>
      </w:r>
      <w:r w:rsidRPr="006A5A78">
        <w:rPr>
          <w:color w:val="auto"/>
        </w:rPr>
        <w:t xml:space="preserve"> ύψους 10,2 δισ. ευρώ, μειωμένο  κατά 1,2 δισ. ευρώ, σε σχέση με πέρυσι και πρωτογενές έλλειμμα 6 δισ. ευρώ μειωμένο σε σχέση με το 2020  κατά 1,1 δισ. ευρώ. Επιπλέον, τόσο το γενικό όσο και το πρωτογενές έλλειμμα </w:t>
      </w:r>
      <w:r w:rsidR="007735B6">
        <w:rPr>
          <w:color w:val="auto"/>
        </w:rPr>
        <w:t>είναι χαμηλότερα</w:t>
      </w:r>
      <w:r w:rsidRPr="006A5A78">
        <w:rPr>
          <w:color w:val="auto"/>
        </w:rPr>
        <w:t xml:space="preserve"> κατά 2,9 δισ. ευρώ σε σχέση με το στόχο του ΜΠΔΣ 2022-2025. </w:t>
      </w:r>
    </w:p>
    <w:p w14:paraId="747DD900" w14:textId="77777777" w:rsidR="00B6235D" w:rsidRDefault="00B6235D">
      <w:pPr>
        <w:spacing w:after="160" w:line="0" w:lineRule="auto"/>
        <w:jc w:val="left"/>
        <w:rPr>
          <w:color w:val="auto"/>
        </w:rPr>
      </w:pPr>
      <w:r>
        <w:rPr>
          <w:color w:val="auto"/>
        </w:rPr>
        <w:br w:type="page"/>
      </w:r>
    </w:p>
    <w:p w14:paraId="04CE849E" w14:textId="792D972A" w:rsidR="006A5A78" w:rsidRPr="00840F03" w:rsidRDefault="009E748F" w:rsidP="006A5A78">
      <w:pPr>
        <w:rPr>
          <w:b/>
          <w:sz w:val="24"/>
          <w:szCs w:val="24"/>
        </w:rPr>
      </w:pPr>
      <w:bookmarkStart w:id="133" w:name="_Toc89172854"/>
      <w:r w:rsidRPr="007B6D63">
        <w:rPr>
          <w:b/>
          <w:iCs/>
          <w:sz w:val="20"/>
          <w:szCs w:val="20"/>
        </w:rPr>
        <w:lastRenderedPageBreak/>
        <w:t xml:space="preserve">Πίνακας </w:t>
      </w:r>
      <w:r w:rsidRPr="007B6D63">
        <w:rPr>
          <w:b/>
          <w:iCs/>
          <w:sz w:val="20"/>
          <w:szCs w:val="20"/>
        </w:rPr>
        <w:fldChar w:fldCharType="begin"/>
      </w:r>
      <w:r w:rsidRPr="007B6D63">
        <w:rPr>
          <w:b/>
          <w:iCs/>
          <w:sz w:val="20"/>
          <w:szCs w:val="20"/>
        </w:rPr>
        <w:instrText xml:space="preserve"> SEQ Πίνακας \* ARABIC </w:instrText>
      </w:r>
      <w:r w:rsidRPr="007B6D63">
        <w:rPr>
          <w:b/>
          <w:iCs/>
          <w:sz w:val="20"/>
          <w:szCs w:val="20"/>
        </w:rPr>
        <w:fldChar w:fldCharType="separate"/>
      </w:r>
      <w:r w:rsidR="0038196B">
        <w:rPr>
          <w:b/>
          <w:iCs/>
          <w:noProof/>
          <w:sz w:val="20"/>
          <w:szCs w:val="20"/>
        </w:rPr>
        <w:t>9</w:t>
      </w:r>
      <w:r w:rsidRPr="007B6D63">
        <w:rPr>
          <w:b/>
          <w:iCs/>
          <w:sz w:val="20"/>
          <w:szCs w:val="20"/>
        </w:rPr>
        <w:fldChar w:fldCharType="end"/>
      </w:r>
      <w:r w:rsidRPr="007B6D63">
        <w:rPr>
          <w:b/>
          <w:iCs/>
          <w:sz w:val="20"/>
          <w:szCs w:val="20"/>
        </w:rPr>
        <w:t>:</w:t>
      </w:r>
      <w:r>
        <w:rPr>
          <w:b/>
          <w:iCs/>
          <w:color w:val="00B0F0"/>
        </w:rPr>
        <w:t xml:space="preserve"> </w:t>
      </w:r>
      <w:r w:rsidR="006A5A78" w:rsidRPr="009E748F">
        <w:rPr>
          <w:color w:val="00A3E0"/>
          <w:sz w:val="20"/>
          <w:szCs w:val="20"/>
        </w:rPr>
        <w:t>Εκτέλεση Κρατικού Προϋπολογισμού, Ιανουάριος- Σεπτέμβριος 2020-2021, (εκατ. Ευρώ)</w:t>
      </w:r>
      <w:bookmarkEnd w:id="133"/>
    </w:p>
    <w:tbl>
      <w:tblPr>
        <w:tblW w:w="8506" w:type="dxa"/>
        <w:tblCellMar>
          <w:left w:w="0" w:type="dxa"/>
          <w:right w:w="0" w:type="dxa"/>
        </w:tblCellMar>
        <w:tblLook w:val="04A0" w:firstRow="1" w:lastRow="0" w:firstColumn="1" w:lastColumn="0" w:noHBand="0" w:noVBand="1"/>
      </w:tblPr>
      <w:tblGrid>
        <w:gridCol w:w="2958"/>
        <w:gridCol w:w="953"/>
        <w:gridCol w:w="794"/>
        <w:gridCol w:w="1100"/>
        <w:gridCol w:w="1261"/>
        <w:gridCol w:w="1440"/>
      </w:tblGrid>
      <w:tr w:rsidR="006A5A78" w14:paraId="0F567F3D" w14:textId="77777777" w:rsidTr="00B6235D">
        <w:trPr>
          <w:trHeight w:val="709"/>
        </w:trPr>
        <w:tc>
          <w:tcPr>
            <w:tcW w:w="2958" w:type="dxa"/>
            <w:vMerge w:val="restart"/>
            <w:tcBorders>
              <w:top w:val="single" w:sz="4" w:space="0" w:color="auto"/>
              <w:left w:val="single" w:sz="4" w:space="0" w:color="auto"/>
              <w:bottom w:val="single" w:sz="4" w:space="0" w:color="000000"/>
              <w:right w:val="single" w:sz="4" w:space="0" w:color="auto"/>
            </w:tcBorders>
            <w:shd w:val="clear" w:color="auto" w:fill="BDD6EE" w:themeFill="accent1" w:themeFillTint="66"/>
            <w:tcMar>
              <w:top w:w="15" w:type="dxa"/>
              <w:left w:w="15" w:type="dxa"/>
              <w:bottom w:w="0" w:type="dxa"/>
              <w:right w:w="15" w:type="dxa"/>
            </w:tcMar>
            <w:vAlign w:val="center"/>
            <w:hideMark/>
          </w:tcPr>
          <w:p w14:paraId="01C24E22"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 xml:space="preserve"> (τροποποιημένη ταμειακή βάση)</w:t>
            </w:r>
          </w:p>
        </w:tc>
        <w:tc>
          <w:tcPr>
            <w:tcW w:w="953" w:type="dxa"/>
            <w:vMerge w:val="restart"/>
            <w:tcBorders>
              <w:top w:val="single" w:sz="4" w:space="0" w:color="auto"/>
              <w:left w:val="single" w:sz="4" w:space="0" w:color="auto"/>
              <w:bottom w:val="single" w:sz="4" w:space="0" w:color="000000"/>
              <w:right w:val="single" w:sz="4" w:space="0" w:color="auto"/>
            </w:tcBorders>
            <w:shd w:val="clear" w:color="auto" w:fill="BDD6EE" w:themeFill="accent1" w:themeFillTint="66"/>
            <w:tcMar>
              <w:top w:w="15" w:type="dxa"/>
              <w:left w:w="15" w:type="dxa"/>
              <w:bottom w:w="0" w:type="dxa"/>
              <w:right w:w="15" w:type="dxa"/>
            </w:tcMar>
            <w:vAlign w:val="center"/>
            <w:hideMark/>
          </w:tcPr>
          <w:p w14:paraId="163C32B0"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Ιανουαρ.-Σεπ. 2020</w:t>
            </w:r>
          </w:p>
        </w:tc>
        <w:tc>
          <w:tcPr>
            <w:tcW w:w="1894" w:type="dxa"/>
            <w:gridSpan w:val="2"/>
            <w:vMerge w:val="restart"/>
            <w:tcBorders>
              <w:top w:val="single" w:sz="4" w:space="0" w:color="auto"/>
              <w:left w:val="single" w:sz="4" w:space="0" w:color="auto"/>
              <w:bottom w:val="single" w:sz="4" w:space="0" w:color="000000"/>
              <w:right w:val="single" w:sz="4" w:space="0" w:color="000000"/>
            </w:tcBorders>
            <w:shd w:val="clear" w:color="auto" w:fill="BDD6EE" w:themeFill="accent1" w:themeFillTint="66"/>
            <w:tcMar>
              <w:top w:w="15" w:type="dxa"/>
              <w:left w:w="15" w:type="dxa"/>
              <w:bottom w:w="0" w:type="dxa"/>
              <w:right w:w="15" w:type="dxa"/>
            </w:tcMar>
            <w:vAlign w:val="center"/>
            <w:hideMark/>
          </w:tcPr>
          <w:p w14:paraId="1E715698"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Ιανουαρ.-Σεπ. 2021</w:t>
            </w:r>
          </w:p>
        </w:tc>
        <w:tc>
          <w:tcPr>
            <w:tcW w:w="1261" w:type="dxa"/>
            <w:vMerge w:val="restart"/>
            <w:tcBorders>
              <w:top w:val="single" w:sz="4" w:space="0" w:color="auto"/>
              <w:left w:val="single" w:sz="4" w:space="0" w:color="auto"/>
              <w:bottom w:val="single" w:sz="4" w:space="0" w:color="000000"/>
              <w:right w:val="single" w:sz="4" w:space="0" w:color="auto"/>
            </w:tcBorders>
            <w:shd w:val="clear" w:color="auto" w:fill="BDD6EE" w:themeFill="accent1" w:themeFillTint="66"/>
            <w:tcMar>
              <w:top w:w="15" w:type="dxa"/>
              <w:left w:w="15" w:type="dxa"/>
              <w:bottom w:w="0" w:type="dxa"/>
              <w:right w:w="15" w:type="dxa"/>
            </w:tcMar>
            <w:vAlign w:val="center"/>
            <w:hideMark/>
          </w:tcPr>
          <w:p w14:paraId="7D13C8BA"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Πραγ. 2021/2020</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BDD6EE" w:themeFill="accent1" w:themeFillTint="66"/>
            <w:tcMar>
              <w:top w:w="15" w:type="dxa"/>
              <w:left w:w="15" w:type="dxa"/>
              <w:bottom w:w="0" w:type="dxa"/>
              <w:right w:w="15" w:type="dxa"/>
            </w:tcMar>
            <w:vAlign w:val="center"/>
            <w:hideMark/>
          </w:tcPr>
          <w:p w14:paraId="7B087AA8"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 xml:space="preserve">Απόκλιση από στόχο </w:t>
            </w:r>
          </w:p>
        </w:tc>
      </w:tr>
      <w:tr w:rsidR="006A5A78" w14:paraId="25387803" w14:textId="77777777" w:rsidTr="00B6235D">
        <w:trPr>
          <w:trHeight w:val="58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45BF28C" w14:textId="77777777" w:rsidR="006A5A78" w:rsidRDefault="006A5A78" w:rsidP="006A5A78">
            <w:pPr>
              <w:spacing w:after="0" w:line="240" w:lineRule="auto"/>
              <w:rPr>
                <w:rFonts w:ascii="Calibri" w:hAnsi="Calibri" w:cs="Calibri"/>
                <w:color w:val="000000"/>
              </w:rPr>
            </w:pPr>
          </w:p>
        </w:tc>
        <w:tc>
          <w:tcPr>
            <w:tcW w:w="953" w:type="dxa"/>
            <w:vMerge/>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hideMark/>
          </w:tcPr>
          <w:p w14:paraId="56749EDA" w14:textId="77777777" w:rsidR="006A5A78" w:rsidRDefault="006A5A78" w:rsidP="006A5A78">
            <w:pPr>
              <w:spacing w:after="0" w:line="240" w:lineRule="auto"/>
              <w:rPr>
                <w:rFonts w:ascii="Calibri" w:hAnsi="Calibri" w:cs="Calibri"/>
                <w:b/>
                <w:bCs/>
                <w:color w:val="000000"/>
              </w:rPr>
            </w:pPr>
          </w:p>
        </w:tc>
        <w:tc>
          <w:tcPr>
            <w:tcW w:w="1894" w:type="dxa"/>
            <w:gridSpan w:val="2"/>
            <w:vMerge/>
            <w:tcBorders>
              <w:top w:val="single" w:sz="4" w:space="0" w:color="auto"/>
              <w:left w:val="single" w:sz="4" w:space="0" w:color="auto"/>
              <w:bottom w:val="single" w:sz="4" w:space="0" w:color="000000"/>
              <w:right w:val="single" w:sz="4" w:space="0" w:color="000000"/>
            </w:tcBorders>
            <w:shd w:val="clear" w:color="auto" w:fill="BDD6EE" w:themeFill="accent1" w:themeFillTint="66"/>
            <w:vAlign w:val="center"/>
            <w:hideMark/>
          </w:tcPr>
          <w:p w14:paraId="52FF01A9" w14:textId="77777777" w:rsidR="006A5A78" w:rsidRDefault="006A5A78" w:rsidP="006A5A78">
            <w:pPr>
              <w:spacing w:after="0" w:line="240" w:lineRule="auto"/>
              <w:rPr>
                <w:rFonts w:ascii="Calibri" w:hAnsi="Calibri" w:cs="Calibri"/>
                <w:b/>
                <w:bCs/>
                <w:color w:val="000000"/>
              </w:rPr>
            </w:pPr>
          </w:p>
        </w:tc>
        <w:tc>
          <w:tcPr>
            <w:tcW w:w="1261" w:type="dxa"/>
            <w:vMerge/>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hideMark/>
          </w:tcPr>
          <w:p w14:paraId="1BEFA2E3" w14:textId="77777777" w:rsidR="006A5A78" w:rsidRDefault="006A5A78" w:rsidP="006A5A78">
            <w:pPr>
              <w:spacing w:after="0" w:line="240" w:lineRule="auto"/>
              <w:rPr>
                <w:rFonts w:ascii="Calibri" w:hAnsi="Calibri" w:cs="Calibri"/>
                <w:b/>
                <w:bCs/>
                <w:color w:val="000000"/>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14:paraId="5348A6EB" w14:textId="77777777" w:rsidR="006A5A78" w:rsidRDefault="006A5A78" w:rsidP="006A5A78">
            <w:pPr>
              <w:spacing w:after="0" w:line="240" w:lineRule="auto"/>
              <w:rPr>
                <w:rFonts w:ascii="Calibri" w:hAnsi="Calibri" w:cs="Calibri"/>
                <w:b/>
                <w:bCs/>
                <w:color w:val="000000"/>
              </w:rPr>
            </w:pPr>
          </w:p>
        </w:tc>
      </w:tr>
      <w:tr w:rsidR="006A5A78" w14:paraId="0FBA6AA3" w14:textId="77777777" w:rsidTr="00B6235D">
        <w:trPr>
          <w:trHeight w:val="51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260E17C" w14:textId="77777777" w:rsidR="006A5A78" w:rsidRDefault="006A5A78" w:rsidP="006A5A78">
            <w:pPr>
              <w:spacing w:after="0" w:line="240" w:lineRule="auto"/>
              <w:rPr>
                <w:rFonts w:ascii="Calibri" w:hAnsi="Calibri" w:cs="Calibri"/>
                <w:color w:val="000000"/>
              </w:rPr>
            </w:pPr>
          </w:p>
        </w:tc>
        <w:tc>
          <w:tcPr>
            <w:tcW w:w="953" w:type="dxa"/>
            <w:tcBorders>
              <w:top w:val="nil"/>
              <w:left w:val="nil"/>
              <w:bottom w:val="single" w:sz="4" w:space="0" w:color="auto"/>
              <w:right w:val="single" w:sz="4" w:space="0" w:color="auto"/>
            </w:tcBorders>
            <w:shd w:val="clear" w:color="auto" w:fill="BDD6EE" w:themeFill="accent1" w:themeFillTint="66"/>
            <w:noWrap/>
            <w:tcMar>
              <w:top w:w="15" w:type="dxa"/>
              <w:left w:w="15" w:type="dxa"/>
              <w:bottom w:w="0" w:type="dxa"/>
              <w:right w:w="15" w:type="dxa"/>
            </w:tcMar>
            <w:vAlign w:val="center"/>
            <w:hideMark/>
          </w:tcPr>
          <w:p w14:paraId="59B71615"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 xml:space="preserve">Πραγμ. </w:t>
            </w:r>
          </w:p>
        </w:tc>
        <w:tc>
          <w:tcPr>
            <w:tcW w:w="794" w:type="dxa"/>
            <w:tcBorders>
              <w:top w:val="nil"/>
              <w:left w:val="nil"/>
              <w:bottom w:val="single" w:sz="4" w:space="0" w:color="auto"/>
              <w:right w:val="single" w:sz="4" w:space="0" w:color="auto"/>
            </w:tcBorders>
            <w:shd w:val="clear" w:color="auto" w:fill="BDD6EE" w:themeFill="accent1" w:themeFillTint="66"/>
            <w:noWrap/>
            <w:tcMar>
              <w:top w:w="15" w:type="dxa"/>
              <w:left w:w="15" w:type="dxa"/>
              <w:bottom w:w="0" w:type="dxa"/>
              <w:right w:w="15" w:type="dxa"/>
            </w:tcMar>
            <w:vAlign w:val="center"/>
            <w:hideMark/>
          </w:tcPr>
          <w:p w14:paraId="5FD6FAC5"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 xml:space="preserve">Πραγμ. </w:t>
            </w:r>
          </w:p>
        </w:tc>
        <w:tc>
          <w:tcPr>
            <w:tcW w:w="1100" w:type="dxa"/>
            <w:tcBorders>
              <w:top w:val="nil"/>
              <w:left w:val="nil"/>
              <w:bottom w:val="single" w:sz="4" w:space="0" w:color="auto"/>
              <w:right w:val="single" w:sz="4" w:space="0" w:color="auto"/>
            </w:tcBorders>
            <w:shd w:val="clear" w:color="auto" w:fill="BDD6EE" w:themeFill="accent1" w:themeFillTint="66"/>
            <w:tcMar>
              <w:top w:w="15" w:type="dxa"/>
              <w:left w:w="15" w:type="dxa"/>
              <w:bottom w:w="0" w:type="dxa"/>
              <w:right w:w="15" w:type="dxa"/>
            </w:tcMar>
            <w:vAlign w:val="center"/>
            <w:hideMark/>
          </w:tcPr>
          <w:p w14:paraId="555F51EC" w14:textId="6ED8589D" w:rsidR="006A5A78" w:rsidRDefault="006A5A78" w:rsidP="006A5A78">
            <w:pPr>
              <w:spacing w:after="0" w:line="240" w:lineRule="auto"/>
              <w:jc w:val="center"/>
              <w:rPr>
                <w:rFonts w:ascii="Calibri" w:hAnsi="Calibri" w:cs="Calibri"/>
                <w:color w:val="000000"/>
              </w:rPr>
            </w:pPr>
            <w:r>
              <w:rPr>
                <w:rFonts w:ascii="Calibri" w:hAnsi="Calibri" w:cs="Calibri"/>
                <w:color w:val="000000"/>
              </w:rPr>
              <w:t>Εκτιμήσεις Π/Υ</w:t>
            </w:r>
            <w:r w:rsidR="0028351C">
              <w:rPr>
                <w:rFonts w:ascii="Calibri" w:hAnsi="Calibri" w:cs="Calibri"/>
                <w:color w:val="000000"/>
              </w:rPr>
              <w:t>*</w:t>
            </w:r>
            <w:r>
              <w:rPr>
                <w:rFonts w:ascii="Calibri" w:hAnsi="Calibri" w:cs="Calibri"/>
                <w:color w:val="000000"/>
              </w:rPr>
              <w:t xml:space="preserve"> 2021</w:t>
            </w:r>
          </w:p>
        </w:tc>
        <w:tc>
          <w:tcPr>
            <w:tcW w:w="1261" w:type="dxa"/>
            <w:vMerge/>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hideMark/>
          </w:tcPr>
          <w:p w14:paraId="44D6BC53" w14:textId="77777777" w:rsidR="006A5A78" w:rsidRDefault="006A5A78" w:rsidP="006A5A78">
            <w:pPr>
              <w:spacing w:after="0" w:line="240" w:lineRule="auto"/>
              <w:rPr>
                <w:rFonts w:ascii="Calibri" w:hAnsi="Calibri" w:cs="Calibri"/>
                <w:b/>
                <w:bCs/>
                <w:color w:val="000000"/>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14:paraId="7D03A413" w14:textId="77777777" w:rsidR="006A5A78" w:rsidRDefault="006A5A78" w:rsidP="006A5A78">
            <w:pPr>
              <w:spacing w:after="0" w:line="240" w:lineRule="auto"/>
              <w:rPr>
                <w:rFonts w:ascii="Calibri" w:hAnsi="Calibri" w:cs="Calibri"/>
                <w:b/>
                <w:bCs/>
                <w:color w:val="000000"/>
              </w:rPr>
            </w:pPr>
          </w:p>
        </w:tc>
      </w:tr>
      <w:tr w:rsidR="006A5A78" w14:paraId="3F592E23" w14:textId="77777777" w:rsidTr="00B6235D">
        <w:trPr>
          <w:trHeight w:val="768"/>
        </w:trPr>
        <w:tc>
          <w:tcPr>
            <w:tcW w:w="2958" w:type="dxa"/>
            <w:tcBorders>
              <w:top w:val="nil"/>
              <w:left w:val="single" w:sz="4" w:space="0" w:color="auto"/>
              <w:bottom w:val="single" w:sz="4" w:space="0" w:color="auto"/>
              <w:right w:val="single" w:sz="4" w:space="0" w:color="auto"/>
            </w:tcBorders>
            <w:shd w:val="clear" w:color="000000" w:fill="D6DCE4"/>
            <w:tcMar>
              <w:top w:w="15" w:type="dxa"/>
              <w:left w:w="15" w:type="dxa"/>
              <w:bottom w:w="0" w:type="dxa"/>
              <w:right w:w="15" w:type="dxa"/>
            </w:tcMar>
            <w:vAlign w:val="center"/>
            <w:hideMark/>
          </w:tcPr>
          <w:p w14:paraId="7D999AE5"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1. Καθαρά Έσοδα Κρατικού Προϋπολογισμού (I+II+III-IV)</w:t>
            </w:r>
          </w:p>
        </w:tc>
        <w:tc>
          <w:tcPr>
            <w:tcW w:w="953"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14:paraId="08D83F6D"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33.497</w:t>
            </w:r>
          </w:p>
        </w:tc>
        <w:tc>
          <w:tcPr>
            <w:tcW w:w="794"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14:paraId="6B05F25D"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39.450</w:t>
            </w:r>
          </w:p>
        </w:tc>
        <w:tc>
          <w:tcPr>
            <w:tcW w:w="1100"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14:paraId="5E2FDBB6"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38.092</w:t>
            </w:r>
          </w:p>
        </w:tc>
        <w:tc>
          <w:tcPr>
            <w:tcW w:w="1261"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14:paraId="6D0CADC1"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5.953</w:t>
            </w:r>
          </w:p>
        </w:tc>
        <w:tc>
          <w:tcPr>
            <w:tcW w:w="1440"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14:paraId="1A72C0BF"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1.358</w:t>
            </w:r>
          </w:p>
        </w:tc>
      </w:tr>
      <w:tr w:rsidR="006A5A78" w14:paraId="16DACC8C" w14:textId="77777777" w:rsidTr="00B6235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4BCAE2"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Ι. Φόροι</w:t>
            </w:r>
          </w:p>
        </w:tc>
        <w:tc>
          <w:tcPr>
            <w:tcW w:w="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B31599"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30.988</w:t>
            </w:r>
          </w:p>
        </w:tc>
        <w:tc>
          <w:tcPr>
            <w:tcW w:w="7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504BB9"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33.679</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75DA71"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32.784</w:t>
            </w:r>
          </w:p>
        </w:tc>
        <w:tc>
          <w:tcPr>
            <w:tcW w:w="12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49D98C"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2.691</w:t>
            </w: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2BA80D"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895</w:t>
            </w:r>
          </w:p>
        </w:tc>
      </w:tr>
      <w:tr w:rsidR="006A5A78" w14:paraId="39EEC673" w14:textId="77777777" w:rsidTr="00B6235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E5D7D2"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ΙΙ.Λοιπά Έσοδα</w:t>
            </w:r>
          </w:p>
        </w:tc>
        <w:tc>
          <w:tcPr>
            <w:tcW w:w="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957FA3"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2.764</w:t>
            </w:r>
          </w:p>
        </w:tc>
        <w:tc>
          <w:tcPr>
            <w:tcW w:w="7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4E5CB7"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3.284</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47C3C7"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2.730 </w:t>
            </w:r>
          </w:p>
        </w:tc>
        <w:tc>
          <w:tcPr>
            <w:tcW w:w="12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2E8755"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520</w:t>
            </w: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0A79C7"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554</w:t>
            </w:r>
          </w:p>
        </w:tc>
      </w:tr>
      <w:tr w:rsidR="006A5A78" w14:paraId="4B4B9ED7" w14:textId="77777777" w:rsidTr="00B6235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3FF23C"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ΙΙΙ.Έσοδα ΠΔΕ</w:t>
            </w:r>
          </w:p>
        </w:tc>
        <w:tc>
          <w:tcPr>
            <w:tcW w:w="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3CB412"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3.831</w:t>
            </w:r>
          </w:p>
        </w:tc>
        <w:tc>
          <w:tcPr>
            <w:tcW w:w="7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D5134B"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3.496</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520EA5"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3.794</w:t>
            </w:r>
          </w:p>
        </w:tc>
        <w:tc>
          <w:tcPr>
            <w:tcW w:w="12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08A715"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-335</w:t>
            </w: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FEB3FC"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-298</w:t>
            </w:r>
          </w:p>
        </w:tc>
      </w:tr>
      <w:tr w:rsidR="006A5A78" w14:paraId="580FB86F" w14:textId="77777777" w:rsidTr="00B6235D">
        <w:trPr>
          <w:trHeight w:val="510"/>
        </w:trPr>
        <w:tc>
          <w:tcPr>
            <w:tcW w:w="295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F198535"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IV.Έσοδα Ταμείο Ανακαμ. Ανθεκτ.</w:t>
            </w:r>
          </w:p>
        </w:tc>
        <w:tc>
          <w:tcPr>
            <w:tcW w:w="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1819B3"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0</w:t>
            </w:r>
          </w:p>
        </w:tc>
        <w:tc>
          <w:tcPr>
            <w:tcW w:w="7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9E9A88"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2.310</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9B1738"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2.311</w:t>
            </w:r>
          </w:p>
        </w:tc>
        <w:tc>
          <w:tcPr>
            <w:tcW w:w="12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D68D16"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2.310</w:t>
            </w: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EF36A2"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-1</w:t>
            </w:r>
          </w:p>
        </w:tc>
      </w:tr>
      <w:tr w:rsidR="006A5A78" w14:paraId="72F82DD1" w14:textId="77777777" w:rsidTr="00B6235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2358C5"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IV. Επιστροφές φόρων</w:t>
            </w:r>
          </w:p>
        </w:tc>
        <w:tc>
          <w:tcPr>
            <w:tcW w:w="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116903"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4.086</w:t>
            </w:r>
          </w:p>
        </w:tc>
        <w:tc>
          <w:tcPr>
            <w:tcW w:w="7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F68435"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3.320</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3AE994"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3.527</w:t>
            </w:r>
          </w:p>
        </w:tc>
        <w:tc>
          <w:tcPr>
            <w:tcW w:w="12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1FA437"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-766</w:t>
            </w: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EB9678"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-207</w:t>
            </w:r>
          </w:p>
        </w:tc>
      </w:tr>
      <w:tr w:rsidR="006A5A78" w14:paraId="1A19E171" w14:textId="77777777" w:rsidTr="00B6235D">
        <w:trPr>
          <w:trHeight w:val="510"/>
        </w:trPr>
        <w:tc>
          <w:tcPr>
            <w:tcW w:w="2958" w:type="dxa"/>
            <w:tcBorders>
              <w:top w:val="nil"/>
              <w:left w:val="single" w:sz="4" w:space="0" w:color="auto"/>
              <w:bottom w:val="single" w:sz="4" w:space="0" w:color="auto"/>
              <w:right w:val="single" w:sz="4" w:space="0" w:color="auto"/>
            </w:tcBorders>
            <w:shd w:val="clear" w:color="000000" w:fill="D6DCE4"/>
            <w:tcMar>
              <w:top w:w="15" w:type="dxa"/>
              <w:left w:w="15" w:type="dxa"/>
              <w:bottom w:w="0" w:type="dxa"/>
              <w:right w:w="15" w:type="dxa"/>
            </w:tcMar>
            <w:vAlign w:val="center"/>
            <w:hideMark/>
          </w:tcPr>
          <w:p w14:paraId="3602B2EC"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2. Δαπάνες Κρατικού Προϋπολογισμού</w:t>
            </w:r>
          </w:p>
        </w:tc>
        <w:tc>
          <w:tcPr>
            <w:tcW w:w="953"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14:paraId="2096D54A"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44.766</w:t>
            </w:r>
          </w:p>
        </w:tc>
        <w:tc>
          <w:tcPr>
            <w:tcW w:w="794"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14:paraId="55812B48"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49.600</w:t>
            </w:r>
          </w:p>
        </w:tc>
        <w:tc>
          <w:tcPr>
            <w:tcW w:w="1100"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14:paraId="57665A39"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51.103</w:t>
            </w:r>
          </w:p>
        </w:tc>
        <w:tc>
          <w:tcPr>
            <w:tcW w:w="1261"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14:paraId="0CA01A39"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4.834</w:t>
            </w:r>
          </w:p>
        </w:tc>
        <w:tc>
          <w:tcPr>
            <w:tcW w:w="1440"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14:paraId="751AA431"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-1.503</w:t>
            </w:r>
          </w:p>
        </w:tc>
      </w:tr>
      <w:tr w:rsidR="006A5A78" w14:paraId="532DC960" w14:textId="77777777" w:rsidTr="00B6235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EA666B"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Ι. Πρωτογενείς Δαπάνες</w:t>
            </w:r>
          </w:p>
        </w:tc>
        <w:tc>
          <w:tcPr>
            <w:tcW w:w="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6803D1"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34.128</w:t>
            </w:r>
          </w:p>
        </w:tc>
        <w:tc>
          <w:tcPr>
            <w:tcW w:w="7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6746F6"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38.799</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1A23A2"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39.938</w:t>
            </w:r>
          </w:p>
        </w:tc>
        <w:tc>
          <w:tcPr>
            <w:tcW w:w="12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D5D6A4"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4.671</w:t>
            </w: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9834C8"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-1.139</w:t>
            </w:r>
          </w:p>
        </w:tc>
      </w:tr>
      <w:tr w:rsidR="006A5A78" w14:paraId="3D072F79" w14:textId="77777777" w:rsidTr="00B6235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93574C"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ΙΙ. Δαπάνες ΠΔΕ</w:t>
            </w:r>
          </w:p>
        </w:tc>
        <w:tc>
          <w:tcPr>
            <w:tcW w:w="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88B5E9"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6.366</w:t>
            </w:r>
          </w:p>
        </w:tc>
        <w:tc>
          <w:tcPr>
            <w:tcW w:w="7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B76112"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6.421</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13B692"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6.834</w:t>
            </w:r>
          </w:p>
        </w:tc>
        <w:tc>
          <w:tcPr>
            <w:tcW w:w="12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4FE060"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55</w:t>
            </w: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5F748D"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-413</w:t>
            </w:r>
          </w:p>
        </w:tc>
      </w:tr>
      <w:tr w:rsidR="006A5A78" w14:paraId="5C8497E0" w14:textId="77777777" w:rsidTr="00B6235D">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B4FE29"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ΙΙΙ. Τόκοι</w:t>
            </w:r>
          </w:p>
        </w:tc>
        <w:tc>
          <w:tcPr>
            <w:tcW w:w="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87567E"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4.272</w:t>
            </w:r>
          </w:p>
        </w:tc>
        <w:tc>
          <w:tcPr>
            <w:tcW w:w="7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0DF352"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4.379</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3C5892"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4.331</w:t>
            </w:r>
          </w:p>
        </w:tc>
        <w:tc>
          <w:tcPr>
            <w:tcW w:w="12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1EB354" w14:textId="77777777" w:rsidR="006A5A78" w:rsidRDefault="006A5A78" w:rsidP="006A5A78">
            <w:pPr>
              <w:spacing w:after="0" w:line="240" w:lineRule="auto"/>
              <w:jc w:val="center"/>
              <w:rPr>
                <w:rFonts w:ascii="Calibri" w:hAnsi="Calibri" w:cs="Calibri"/>
                <w:color w:val="000000"/>
              </w:rPr>
            </w:pPr>
            <w:r>
              <w:rPr>
                <w:rFonts w:ascii="Calibri" w:hAnsi="Calibri" w:cs="Calibri"/>
                <w:color w:val="000000"/>
              </w:rPr>
              <w:t>107</w:t>
            </w: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D272A3"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48</w:t>
            </w:r>
          </w:p>
        </w:tc>
      </w:tr>
      <w:tr w:rsidR="006A5A78" w14:paraId="23E30F65" w14:textId="77777777" w:rsidTr="00B6235D">
        <w:trPr>
          <w:trHeight w:val="510"/>
        </w:trPr>
        <w:tc>
          <w:tcPr>
            <w:tcW w:w="2958" w:type="dxa"/>
            <w:tcBorders>
              <w:top w:val="nil"/>
              <w:left w:val="single" w:sz="4" w:space="0" w:color="auto"/>
              <w:bottom w:val="single" w:sz="4" w:space="0" w:color="auto"/>
              <w:right w:val="single" w:sz="4" w:space="0" w:color="auto"/>
            </w:tcBorders>
            <w:shd w:val="clear" w:color="000000" w:fill="D6DCE4"/>
            <w:tcMar>
              <w:top w:w="15" w:type="dxa"/>
              <w:left w:w="15" w:type="dxa"/>
              <w:bottom w:w="0" w:type="dxa"/>
              <w:right w:w="15" w:type="dxa"/>
            </w:tcMar>
            <w:vAlign w:val="center"/>
            <w:hideMark/>
          </w:tcPr>
          <w:p w14:paraId="65C36336"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3. Ισοζύγιο Κρατικού Προϋπολογισμού (1-2)</w:t>
            </w:r>
          </w:p>
        </w:tc>
        <w:tc>
          <w:tcPr>
            <w:tcW w:w="953"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14:paraId="13C1EB9B"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-11.269</w:t>
            </w:r>
          </w:p>
        </w:tc>
        <w:tc>
          <w:tcPr>
            <w:tcW w:w="794"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14:paraId="11785CBF"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-10.150</w:t>
            </w:r>
          </w:p>
        </w:tc>
        <w:tc>
          <w:tcPr>
            <w:tcW w:w="1100"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14:paraId="518AD125"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-13.011</w:t>
            </w:r>
          </w:p>
        </w:tc>
        <w:tc>
          <w:tcPr>
            <w:tcW w:w="1261"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14:paraId="55865667"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1.119</w:t>
            </w:r>
          </w:p>
        </w:tc>
        <w:tc>
          <w:tcPr>
            <w:tcW w:w="1440"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14:paraId="1DAD7EB8"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2.861</w:t>
            </w:r>
          </w:p>
        </w:tc>
      </w:tr>
      <w:tr w:rsidR="006A5A78" w14:paraId="2CE02FFB" w14:textId="77777777" w:rsidTr="00B6235D">
        <w:trPr>
          <w:trHeight w:val="510"/>
        </w:trPr>
        <w:tc>
          <w:tcPr>
            <w:tcW w:w="2958"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8D25228"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4. Πρωτογενές Αποτέλεσμα Κ.Π.</w:t>
            </w:r>
          </w:p>
        </w:tc>
        <w:tc>
          <w:tcPr>
            <w:tcW w:w="9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A6B8C7"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-7.011</w:t>
            </w:r>
          </w:p>
        </w:tc>
        <w:tc>
          <w:tcPr>
            <w:tcW w:w="7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0B6183"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-5.961</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A8D9C6"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-8.855</w:t>
            </w:r>
          </w:p>
        </w:tc>
        <w:tc>
          <w:tcPr>
            <w:tcW w:w="12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B74C16"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1.050</w:t>
            </w:r>
          </w:p>
        </w:tc>
        <w:tc>
          <w:tcPr>
            <w:tcW w:w="14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EEA297" w14:textId="77777777" w:rsidR="006A5A78" w:rsidRDefault="006A5A78" w:rsidP="006A5A78">
            <w:pPr>
              <w:spacing w:after="0" w:line="240" w:lineRule="auto"/>
              <w:jc w:val="center"/>
              <w:rPr>
                <w:rFonts w:ascii="Calibri" w:hAnsi="Calibri" w:cs="Calibri"/>
                <w:b/>
                <w:bCs/>
                <w:color w:val="000000"/>
              </w:rPr>
            </w:pPr>
            <w:r>
              <w:rPr>
                <w:rFonts w:ascii="Calibri" w:hAnsi="Calibri" w:cs="Calibri"/>
                <w:b/>
                <w:bCs/>
                <w:color w:val="000000"/>
              </w:rPr>
              <w:t>2.894</w:t>
            </w:r>
          </w:p>
        </w:tc>
      </w:tr>
    </w:tbl>
    <w:p w14:paraId="2F9D81B5" w14:textId="77777777" w:rsidR="006A5A78" w:rsidRPr="00B6235D" w:rsidRDefault="006A5A78" w:rsidP="006A5A78">
      <w:pPr>
        <w:spacing w:after="0" w:line="240" w:lineRule="auto"/>
        <w:rPr>
          <w:i/>
          <w:color w:val="00B0F0"/>
          <w:sz w:val="18"/>
          <w:szCs w:val="18"/>
        </w:rPr>
      </w:pPr>
      <w:r w:rsidRPr="00B6235D">
        <w:rPr>
          <w:i/>
          <w:color w:val="7F7F7F" w:themeColor="text1" w:themeTint="80"/>
          <w:sz w:val="18"/>
          <w:szCs w:val="18"/>
        </w:rPr>
        <w:t>Πηγή</w:t>
      </w:r>
      <w:r w:rsidRPr="00B6235D">
        <w:rPr>
          <w:i/>
          <w:color w:val="00B0F0"/>
          <w:sz w:val="18"/>
          <w:szCs w:val="18"/>
        </w:rPr>
        <w:t>: Μηνιαίο Δελτίο Εκτέλεσης Κρατικού Προϋπολογισμού Σεπτέμβριος  2021 (τροποποιημένη ταμειακή βάση)</w:t>
      </w:r>
    </w:p>
    <w:p w14:paraId="2E3F6046" w14:textId="77777777" w:rsidR="0028351C" w:rsidRPr="00823694" w:rsidRDefault="0028351C" w:rsidP="0028351C">
      <w:pPr>
        <w:spacing w:after="0" w:line="240" w:lineRule="auto"/>
        <w:rPr>
          <w:i/>
          <w:color w:val="7F7F7F" w:themeColor="text1" w:themeTint="80"/>
          <w:sz w:val="18"/>
          <w:szCs w:val="18"/>
        </w:rPr>
      </w:pPr>
      <w:r w:rsidRPr="00823694">
        <w:rPr>
          <w:i/>
          <w:color w:val="7F7F7F" w:themeColor="text1" w:themeTint="80"/>
          <w:sz w:val="18"/>
          <w:szCs w:val="18"/>
        </w:rPr>
        <w:t>* Προϋπολογισμού</w:t>
      </w:r>
    </w:p>
    <w:p w14:paraId="4885C835" w14:textId="77777777" w:rsidR="006A5A78" w:rsidRPr="00B6235D" w:rsidRDefault="006A5A78" w:rsidP="006A5A78">
      <w:pPr>
        <w:spacing w:after="0"/>
        <w:rPr>
          <w:color w:val="00B0F0"/>
        </w:rPr>
      </w:pPr>
    </w:p>
    <w:p w14:paraId="4F5E6FB8" w14:textId="77777777" w:rsidR="006A5A78" w:rsidRPr="006A5A78" w:rsidRDefault="006A5A78" w:rsidP="005A3F14">
      <w:pPr>
        <w:spacing w:after="160"/>
        <w:rPr>
          <w:color w:val="auto"/>
        </w:rPr>
      </w:pPr>
      <w:r w:rsidRPr="006A5A78">
        <w:rPr>
          <w:color w:val="auto"/>
        </w:rPr>
        <w:t>Το βελτιωμένο αυτό αποτέλεσμα σε σχέση με πέρυσι οφείλεται αποκλειστικά στο σκέλος των εσόδων, τα οποία αυξήθηκαν κατά 5.953 εκατ ευρώ. Η εν λόγω αύξηση αποδίδεται τόσο στην ανάκαμψη της οικονομικής δραστηριότητας, όσο και στην άντληση 2.310 εκατ. ευρώ από το Ταμείο Ανάκαμψης και Ανθεκτικότητας. Από την άλλη πλευρά οι δαπάνες, επίσης, αυξήθηκαν κυρίως λόγω των αναγκών που προέκυψαν εξαιτίας της πανδημίας.</w:t>
      </w:r>
    </w:p>
    <w:p w14:paraId="74F0D735" w14:textId="7C46BC40" w:rsidR="006A5A78" w:rsidRDefault="006A5A78" w:rsidP="00B73748">
      <w:pPr>
        <w:spacing w:after="0"/>
        <w:rPr>
          <w:color w:val="auto"/>
        </w:rPr>
      </w:pPr>
      <w:r w:rsidRPr="006A5A78">
        <w:rPr>
          <w:color w:val="auto"/>
        </w:rPr>
        <w:t>Το καλύτερο αποτέλεσμα σε σχέση με τον στόχο οφείλεται σε μη αναμενόμενες εισπράξεις που οδήγησαν τα καθαρά έσοδα να είναι αυξημένα κατά 1.358 εκατ. ευρώ</w:t>
      </w:r>
      <w:r w:rsidR="009E748F">
        <w:rPr>
          <w:rStyle w:val="af1"/>
          <w:color w:val="auto"/>
        </w:rPr>
        <w:footnoteReference w:id="17"/>
      </w:r>
      <w:r w:rsidRPr="006A5A78">
        <w:rPr>
          <w:color w:val="auto"/>
        </w:rPr>
        <w:t xml:space="preserve">, ενώ </w:t>
      </w:r>
      <w:r w:rsidRPr="009E748F">
        <w:rPr>
          <w:color w:val="auto"/>
        </w:rPr>
        <w:t>και στις δαπάνες του ΚΠ καταγράφεται υποεκτέλεση περί το 1,5 δισ. ευρώ</w:t>
      </w:r>
      <w:r w:rsidR="009E748F" w:rsidRPr="009E748F">
        <w:rPr>
          <w:color w:val="auto"/>
        </w:rPr>
        <w:t>.</w:t>
      </w:r>
    </w:p>
    <w:p w14:paraId="40B0D97D" w14:textId="75044CA7" w:rsidR="00B6235D" w:rsidRDefault="00B6235D" w:rsidP="00B73748">
      <w:pPr>
        <w:spacing w:after="0"/>
        <w:rPr>
          <w:color w:val="auto"/>
        </w:rPr>
      </w:pPr>
    </w:p>
    <w:p w14:paraId="40FD94A2" w14:textId="216DD856" w:rsidR="00B6235D" w:rsidRDefault="00B6235D" w:rsidP="00B73748">
      <w:pPr>
        <w:spacing w:after="0"/>
        <w:rPr>
          <w:color w:val="auto"/>
        </w:rPr>
      </w:pPr>
    </w:p>
    <w:p w14:paraId="0E112A5F" w14:textId="424CA32F" w:rsidR="00B6235D" w:rsidRDefault="00B6235D" w:rsidP="00B73748">
      <w:pPr>
        <w:spacing w:after="0"/>
        <w:rPr>
          <w:color w:val="auto"/>
        </w:rPr>
      </w:pPr>
    </w:p>
    <w:p w14:paraId="111D28CE" w14:textId="31FA59F6" w:rsidR="00B6235D" w:rsidRDefault="00B6235D" w:rsidP="00B73748">
      <w:pPr>
        <w:spacing w:after="0"/>
        <w:rPr>
          <w:color w:val="auto"/>
        </w:rPr>
      </w:pPr>
    </w:p>
    <w:p w14:paraId="6C59F9B2" w14:textId="55548D7C" w:rsidR="00B6235D" w:rsidRDefault="00B6235D" w:rsidP="00B73748">
      <w:pPr>
        <w:spacing w:after="0"/>
        <w:rPr>
          <w:color w:val="auto"/>
        </w:rPr>
      </w:pPr>
    </w:p>
    <w:p w14:paraId="4DE3E129" w14:textId="77777777" w:rsidR="00B6235D" w:rsidRPr="009E748F" w:rsidRDefault="00B6235D" w:rsidP="00B73748">
      <w:pPr>
        <w:spacing w:after="0"/>
        <w:rPr>
          <w:color w:val="auto"/>
        </w:rPr>
      </w:pPr>
    </w:p>
    <w:p w14:paraId="1AD76B82" w14:textId="55EBE9F4" w:rsidR="006A5A78" w:rsidRPr="00FD791B" w:rsidRDefault="00FD791B" w:rsidP="006A5A78">
      <w:pPr>
        <w:pStyle w:val="Web"/>
        <w:shd w:val="clear" w:color="auto" w:fill="FFFFFF"/>
        <w:spacing w:before="0" w:beforeAutospacing="0" w:after="120" w:afterAutospacing="0"/>
        <w:jc w:val="both"/>
        <w:rPr>
          <w:rFonts w:ascii="Trebuchet MS" w:eastAsiaTheme="minorHAnsi" w:hAnsi="Trebuchet MS" w:cstheme="minorBidi"/>
          <w:color w:val="00A3E0"/>
          <w:sz w:val="20"/>
          <w:szCs w:val="20"/>
          <w:lang w:eastAsia="en-US"/>
        </w:rPr>
      </w:pPr>
      <w:bookmarkStart w:id="134" w:name="_Toc89172855"/>
      <w:r w:rsidRPr="00FD791B">
        <w:rPr>
          <w:rFonts w:ascii="Trebuchet MS" w:hAnsi="Trebuchet MS"/>
          <w:b/>
          <w:iCs/>
          <w:color w:val="808080" w:themeColor="background1" w:themeShade="80"/>
          <w:sz w:val="20"/>
          <w:szCs w:val="20"/>
        </w:rPr>
        <w:t xml:space="preserve">Πίνακας </w:t>
      </w:r>
      <w:r w:rsidRPr="00FD791B">
        <w:rPr>
          <w:rFonts w:ascii="Trebuchet MS" w:hAnsi="Trebuchet MS"/>
          <w:b/>
          <w:iCs/>
          <w:color w:val="808080" w:themeColor="background1" w:themeShade="80"/>
          <w:sz w:val="20"/>
          <w:szCs w:val="20"/>
        </w:rPr>
        <w:fldChar w:fldCharType="begin"/>
      </w:r>
      <w:r w:rsidRPr="00FD791B">
        <w:rPr>
          <w:rFonts w:ascii="Trebuchet MS" w:hAnsi="Trebuchet MS"/>
          <w:b/>
          <w:iCs/>
          <w:color w:val="808080" w:themeColor="background1" w:themeShade="80"/>
          <w:sz w:val="20"/>
          <w:szCs w:val="20"/>
        </w:rPr>
        <w:instrText xml:space="preserve"> SEQ Πίνακας \* ARABIC </w:instrText>
      </w:r>
      <w:r w:rsidRPr="00FD791B">
        <w:rPr>
          <w:rFonts w:ascii="Trebuchet MS" w:hAnsi="Trebuchet MS"/>
          <w:b/>
          <w:iCs/>
          <w:color w:val="808080" w:themeColor="background1" w:themeShade="80"/>
          <w:sz w:val="20"/>
          <w:szCs w:val="20"/>
        </w:rPr>
        <w:fldChar w:fldCharType="separate"/>
      </w:r>
      <w:r w:rsidR="0038196B">
        <w:rPr>
          <w:rFonts w:ascii="Trebuchet MS" w:hAnsi="Trebuchet MS"/>
          <w:b/>
          <w:iCs/>
          <w:noProof/>
          <w:color w:val="808080" w:themeColor="background1" w:themeShade="80"/>
          <w:sz w:val="20"/>
          <w:szCs w:val="20"/>
        </w:rPr>
        <w:t>10</w:t>
      </w:r>
      <w:r w:rsidRPr="00FD791B">
        <w:rPr>
          <w:rFonts w:ascii="Trebuchet MS" w:hAnsi="Trebuchet MS"/>
          <w:b/>
          <w:iCs/>
          <w:color w:val="808080" w:themeColor="background1" w:themeShade="80"/>
          <w:sz w:val="20"/>
          <w:szCs w:val="20"/>
        </w:rPr>
        <w:fldChar w:fldCharType="end"/>
      </w:r>
      <w:r w:rsidRPr="00FD791B">
        <w:rPr>
          <w:rFonts w:ascii="Trebuchet MS" w:hAnsi="Trebuchet MS"/>
          <w:b/>
          <w:iCs/>
          <w:color w:val="808080" w:themeColor="background1" w:themeShade="80"/>
          <w:sz w:val="20"/>
          <w:szCs w:val="20"/>
        </w:rPr>
        <w:t>:</w:t>
      </w:r>
      <w:r w:rsidRPr="00FD791B">
        <w:rPr>
          <w:rFonts w:ascii="Trebuchet MS" w:hAnsi="Trebuchet MS"/>
          <w:b/>
          <w:iCs/>
          <w:color w:val="808080" w:themeColor="background1" w:themeShade="80"/>
        </w:rPr>
        <w:t xml:space="preserve"> </w:t>
      </w:r>
      <w:r w:rsidR="006A5A78" w:rsidRPr="00FD791B">
        <w:rPr>
          <w:rFonts w:ascii="Trebuchet MS" w:eastAsiaTheme="minorHAnsi" w:hAnsi="Trebuchet MS" w:cstheme="minorBidi"/>
          <w:color w:val="00A3E0"/>
          <w:sz w:val="20"/>
          <w:szCs w:val="20"/>
          <w:lang w:eastAsia="en-US"/>
        </w:rPr>
        <w:t>Έσοδα Κρατικού Προϋπολογισμού Ιανουάριος-Σεπτέμβριος 2021 (εκατ. ευρώ)</w:t>
      </w:r>
      <w:bookmarkEnd w:id="134"/>
    </w:p>
    <w:tbl>
      <w:tblPr>
        <w:tblW w:w="9569" w:type="dxa"/>
        <w:tblInd w:w="-284" w:type="dxa"/>
        <w:tblLayout w:type="fixed"/>
        <w:tblLook w:val="04A0" w:firstRow="1" w:lastRow="0" w:firstColumn="1" w:lastColumn="0" w:noHBand="0" w:noVBand="1"/>
      </w:tblPr>
      <w:tblGrid>
        <w:gridCol w:w="2406"/>
        <w:gridCol w:w="904"/>
        <w:gridCol w:w="1060"/>
        <w:gridCol w:w="1195"/>
        <w:gridCol w:w="730"/>
        <w:gridCol w:w="1195"/>
        <w:gridCol w:w="869"/>
        <w:gridCol w:w="1210"/>
      </w:tblGrid>
      <w:tr w:rsidR="009E748F" w:rsidRPr="00753B97" w14:paraId="27A4CA85" w14:textId="77777777" w:rsidTr="009E748F">
        <w:trPr>
          <w:trHeight w:val="218"/>
        </w:trPr>
        <w:tc>
          <w:tcPr>
            <w:tcW w:w="2406" w:type="dxa"/>
            <w:tcBorders>
              <w:top w:val="single" w:sz="4" w:space="0" w:color="auto"/>
              <w:left w:val="single" w:sz="4" w:space="0" w:color="auto"/>
              <w:bottom w:val="nil"/>
              <w:right w:val="single" w:sz="4" w:space="0" w:color="auto"/>
            </w:tcBorders>
            <w:shd w:val="clear" w:color="auto" w:fill="BDD6EE" w:themeFill="accent1" w:themeFillTint="66"/>
            <w:noWrap/>
            <w:vAlign w:val="bottom"/>
            <w:hideMark/>
          </w:tcPr>
          <w:p w14:paraId="1D0C926C" w14:textId="1EFC6BFB" w:rsidR="006A5A78" w:rsidRPr="00753B97" w:rsidRDefault="006A5A78" w:rsidP="009E748F">
            <w:pPr>
              <w:spacing w:after="0" w:line="240" w:lineRule="auto"/>
              <w:jc w:val="center"/>
              <w:rPr>
                <w:rFonts w:ascii="Calibri" w:eastAsia="Times New Roman" w:hAnsi="Calibri" w:cs="Calibri"/>
                <w:color w:val="000000"/>
                <w:lang w:eastAsia="el-GR"/>
              </w:rPr>
            </w:pPr>
          </w:p>
        </w:tc>
        <w:tc>
          <w:tcPr>
            <w:tcW w:w="1964"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065A0451" w14:textId="77777777" w:rsidR="006A5A78" w:rsidRPr="00753B97" w:rsidRDefault="006A5A78" w:rsidP="009E748F">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Πραγματοποιήσεις</w:t>
            </w:r>
          </w:p>
        </w:tc>
        <w:tc>
          <w:tcPr>
            <w:tcW w:w="1195"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46644B0D" w14:textId="77777777" w:rsidR="006A5A78" w:rsidRPr="00753B97" w:rsidRDefault="006A5A78" w:rsidP="009E748F">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Εκτιμήσεις ΜΠΔΣ 2022-2025</w:t>
            </w:r>
          </w:p>
        </w:tc>
        <w:tc>
          <w:tcPr>
            <w:tcW w:w="192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10A01156" w14:textId="54C74576" w:rsidR="006A5A78" w:rsidRPr="00753B97" w:rsidRDefault="006A5A78" w:rsidP="009E748F">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Διαφορά</w:t>
            </w:r>
          </w:p>
        </w:tc>
        <w:tc>
          <w:tcPr>
            <w:tcW w:w="207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C5BB06" w14:textId="25539C0D" w:rsidR="006A5A78" w:rsidRPr="00753B97" w:rsidRDefault="009E748F" w:rsidP="009E748F">
            <w:pPr>
              <w:spacing w:after="0" w:line="240" w:lineRule="auto"/>
              <w:jc w:val="center"/>
              <w:rPr>
                <w:rFonts w:ascii="Calibri" w:eastAsia="Times New Roman" w:hAnsi="Calibri" w:cs="Calibri"/>
                <w:b/>
                <w:bCs/>
                <w:color w:val="000000"/>
                <w:lang w:eastAsia="el-GR"/>
              </w:rPr>
            </w:pPr>
            <w:r>
              <w:rPr>
                <w:rFonts w:ascii="Calibri" w:eastAsia="Times New Roman" w:hAnsi="Calibri" w:cs="Calibri"/>
                <w:b/>
                <w:bCs/>
                <w:color w:val="000000"/>
                <w:lang w:eastAsia="el-GR"/>
              </w:rPr>
              <w:t>Δ%</w:t>
            </w:r>
          </w:p>
        </w:tc>
      </w:tr>
      <w:tr w:rsidR="009E748F" w:rsidRPr="00753B97" w14:paraId="2CC59355" w14:textId="77777777" w:rsidTr="009E748F">
        <w:trPr>
          <w:trHeight w:val="416"/>
        </w:trPr>
        <w:tc>
          <w:tcPr>
            <w:tcW w:w="2406"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77FA1506" w14:textId="7BC0B26E" w:rsidR="006A5A78" w:rsidRPr="00753B97" w:rsidRDefault="006A5A78" w:rsidP="009E748F">
            <w:pPr>
              <w:spacing w:after="0" w:line="240" w:lineRule="auto"/>
              <w:jc w:val="center"/>
              <w:rPr>
                <w:rFonts w:ascii="Calibri" w:eastAsia="Times New Roman" w:hAnsi="Calibri" w:cs="Calibri"/>
                <w:color w:val="000000"/>
                <w:lang w:eastAsia="el-GR"/>
              </w:rPr>
            </w:pPr>
          </w:p>
        </w:tc>
        <w:tc>
          <w:tcPr>
            <w:tcW w:w="904"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500576AC" w14:textId="77777777" w:rsidR="006A5A78" w:rsidRPr="00753B97" w:rsidRDefault="006A5A78" w:rsidP="009E748F">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2020</w:t>
            </w:r>
          </w:p>
        </w:tc>
        <w:tc>
          <w:tcPr>
            <w:tcW w:w="106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7CA6891C" w14:textId="77777777" w:rsidR="006A5A78" w:rsidRPr="00753B97" w:rsidRDefault="006A5A78" w:rsidP="009E748F">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2021</w:t>
            </w:r>
          </w:p>
        </w:tc>
        <w:tc>
          <w:tcPr>
            <w:tcW w:w="1195"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E6F534" w14:textId="77777777" w:rsidR="006A5A78" w:rsidRPr="00753B97" w:rsidRDefault="006A5A78" w:rsidP="009E748F">
            <w:pPr>
              <w:spacing w:after="0" w:line="240" w:lineRule="auto"/>
              <w:jc w:val="center"/>
              <w:rPr>
                <w:rFonts w:ascii="Calibri" w:eastAsia="Times New Roman" w:hAnsi="Calibri" w:cs="Calibri"/>
                <w:b/>
                <w:bCs/>
                <w:color w:val="000000"/>
                <w:lang w:eastAsia="el-GR"/>
              </w:rPr>
            </w:pPr>
          </w:p>
        </w:tc>
        <w:tc>
          <w:tcPr>
            <w:tcW w:w="73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06599373" w14:textId="77777777" w:rsidR="006A5A78" w:rsidRPr="00753B97" w:rsidRDefault="006A5A78" w:rsidP="009E748F">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2021-2020</w:t>
            </w:r>
          </w:p>
        </w:tc>
        <w:tc>
          <w:tcPr>
            <w:tcW w:w="1195"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357A6829" w14:textId="2A8A1BC0" w:rsidR="006A5A78" w:rsidRPr="00753B97" w:rsidRDefault="006A5A78" w:rsidP="009E748F">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2021- Εκτιμήσεις</w:t>
            </w:r>
          </w:p>
        </w:tc>
        <w:tc>
          <w:tcPr>
            <w:tcW w:w="869"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33FACE61" w14:textId="77777777" w:rsidR="006A5A78" w:rsidRPr="00753B97" w:rsidRDefault="006A5A78" w:rsidP="009E748F">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2021-2020</w:t>
            </w:r>
          </w:p>
        </w:tc>
        <w:tc>
          <w:tcPr>
            <w:tcW w:w="12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37CC1EC7" w14:textId="0F575CE9" w:rsidR="006A5A78" w:rsidRPr="00753B97" w:rsidRDefault="006A5A78" w:rsidP="009E748F">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2021- Εκτιμήσεις</w:t>
            </w:r>
          </w:p>
        </w:tc>
      </w:tr>
      <w:tr w:rsidR="009E748F" w:rsidRPr="00753B97" w14:paraId="0A0DA6E3" w14:textId="77777777" w:rsidTr="009E748F">
        <w:trPr>
          <w:trHeight w:val="438"/>
        </w:trPr>
        <w:tc>
          <w:tcPr>
            <w:tcW w:w="2406" w:type="dxa"/>
            <w:tcBorders>
              <w:top w:val="nil"/>
              <w:left w:val="single" w:sz="4" w:space="0" w:color="auto"/>
              <w:bottom w:val="single" w:sz="4" w:space="0" w:color="auto"/>
              <w:right w:val="single" w:sz="4" w:space="0" w:color="auto"/>
            </w:tcBorders>
            <w:shd w:val="clear" w:color="000000" w:fill="BFBFBF"/>
            <w:vAlign w:val="bottom"/>
            <w:hideMark/>
          </w:tcPr>
          <w:p w14:paraId="32B1F1F5" w14:textId="77777777" w:rsidR="006A5A78" w:rsidRPr="00753B97" w:rsidRDefault="006A5A78" w:rsidP="00247B52">
            <w:pPr>
              <w:spacing w:after="0" w:line="240" w:lineRule="auto"/>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Φορολογικά Έσοδα (Α+Β+Γ+Δ+Ε+ΣΤ+Ζ)</w:t>
            </w:r>
          </w:p>
        </w:tc>
        <w:tc>
          <w:tcPr>
            <w:tcW w:w="904" w:type="dxa"/>
            <w:tcBorders>
              <w:top w:val="nil"/>
              <w:left w:val="nil"/>
              <w:bottom w:val="single" w:sz="4" w:space="0" w:color="auto"/>
              <w:right w:val="single" w:sz="4" w:space="0" w:color="auto"/>
            </w:tcBorders>
            <w:shd w:val="clear" w:color="000000" w:fill="BFBFBF"/>
            <w:noWrap/>
            <w:vAlign w:val="bottom"/>
            <w:hideMark/>
          </w:tcPr>
          <w:p w14:paraId="6F9C01D1"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30.988</w:t>
            </w:r>
          </w:p>
        </w:tc>
        <w:tc>
          <w:tcPr>
            <w:tcW w:w="1060" w:type="dxa"/>
            <w:tcBorders>
              <w:top w:val="nil"/>
              <w:left w:val="nil"/>
              <w:bottom w:val="single" w:sz="4" w:space="0" w:color="auto"/>
              <w:right w:val="single" w:sz="4" w:space="0" w:color="auto"/>
            </w:tcBorders>
            <w:shd w:val="clear" w:color="000000" w:fill="BFBFBF"/>
            <w:noWrap/>
            <w:vAlign w:val="bottom"/>
            <w:hideMark/>
          </w:tcPr>
          <w:p w14:paraId="4EFEA982"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33.679</w:t>
            </w:r>
          </w:p>
        </w:tc>
        <w:tc>
          <w:tcPr>
            <w:tcW w:w="1195" w:type="dxa"/>
            <w:tcBorders>
              <w:top w:val="single" w:sz="4" w:space="0" w:color="auto"/>
              <w:left w:val="nil"/>
              <w:bottom w:val="single" w:sz="4" w:space="0" w:color="auto"/>
              <w:right w:val="single" w:sz="4" w:space="0" w:color="auto"/>
            </w:tcBorders>
            <w:shd w:val="clear" w:color="000000" w:fill="BFBFBF"/>
            <w:noWrap/>
            <w:vAlign w:val="bottom"/>
            <w:hideMark/>
          </w:tcPr>
          <w:p w14:paraId="1AB9C05D"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32.784</w:t>
            </w:r>
          </w:p>
        </w:tc>
        <w:tc>
          <w:tcPr>
            <w:tcW w:w="730" w:type="dxa"/>
            <w:tcBorders>
              <w:top w:val="nil"/>
              <w:left w:val="nil"/>
              <w:bottom w:val="single" w:sz="4" w:space="0" w:color="auto"/>
              <w:right w:val="single" w:sz="4" w:space="0" w:color="auto"/>
            </w:tcBorders>
            <w:shd w:val="clear" w:color="000000" w:fill="BFBFBF"/>
            <w:noWrap/>
            <w:vAlign w:val="bottom"/>
            <w:hideMark/>
          </w:tcPr>
          <w:p w14:paraId="631564FC"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2.691</w:t>
            </w:r>
          </w:p>
        </w:tc>
        <w:tc>
          <w:tcPr>
            <w:tcW w:w="1195" w:type="dxa"/>
            <w:tcBorders>
              <w:top w:val="nil"/>
              <w:left w:val="nil"/>
              <w:bottom w:val="single" w:sz="4" w:space="0" w:color="auto"/>
              <w:right w:val="single" w:sz="4" w:space="0" w:color="auto"/>
            </w:tcBorders>
            <w:shd w:val="clear" w:color="000000" w:fill="BFBFBF"/>
            <w:noWrap/>
            <w:vAlign w:val="bottom"/>
            <w:hideMark/>
          </w:tcPr>
          <w:p w14:paraId="46CFF009" w14:textId="77777777" w:rsidR="006A5A78" w:rsidRPr="004774FB" w:rsidRDefault="006A5A78" w:rsidP="00247B52">
            <w:pPr>
              <w:spacing w:after="0" w:line="240" w:lineRule="auto"/>
              <w:jc w:val="center"/>
              <w:rPr>
                <w:rFonts w:ascii="Calibri" w:eastAsia="Times New Roman" w:hAnsi="Calibri" w:cs="Calibri"/>
                <w:b/>
                <w:bCs/>
                <w:i/>
                <w:color w:val="000000"/>
                <w:lang w:eastAsia="el-GR"/>
              </w:rPr>
            </w:pPr>
            <w:r w:rsidRPr="004774FB">
              <w:rPr>
                <w:rFonts w:ascii="Calibri" w:eastAsia="Times New Roman" w:hAnsi="Calibri" w:cs="Calibri"/>
                <w:b/>
                <w:bCs/>
                <w:i/>
                <w:color w:val="000000"/>
                <w:lang w:eastAsia="el-GR"/>
              </w:rPr>
              <w:t>895</w:t>
            </w:r>
          </w:p>
        </w:tc>
        <w:tc>
          <w:tcPr>
            <w:tcW w:w="869" w:type="dxa"/>
            <w:tcBorders>
              <w:top w:val="nil"/>
              <w:left w:val="nil"/>
              <w:bottom w:val="single" w:sz="4" w:space="0" w:color="auto"/>
              <w:right w:val="single" w:sz="4" w:space="0" w:color="auto"/>
            </w:tcBorders>
            <w:shd w:val="clear" w:color="000000" w:fill="BFBFBF"/>
            <w:noWrap/>
            <w:vAlign w:val="bottom"/>
            <w:hideMark/>
          </w:tcPr>
          <w:p w14:paraId="323876F7"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8,7%</w:t>
            </w:r>
          </w:p>
        </w:tc>
        <w:tc>
          <w:tcPr>
            <w:tcW w:w="1210" w:type="dxa"/>
            <w:tcBorders>
              <w:top w:val="nil"/>
              <w:left w:val="nil"/>
              <w:bottom w:val="single" w:sz="4" w:space="0" w:color="auto"/>
              <w:right w:val="single" w:sz="4" w:space="0" w:color="auto"/>
            </w:tcBorders>
            <w:shd w:val="clear" w:color="000000" w:fill="BFBFBF"/>
            <w:noWrap/>
            <w:vAlign w:val="bottom"/>
            <w:hideMark/>
          </w:tcPr>
          <w:p w14:paraId="3B38B893" w14:textId="77777777" w:rsidR="006A5A78" w:rsidRPr="004774FB" w:rsidRDefault="006A5A78" w:rsidP="00247B52">
            <w:pPr>
              <w:spacing w:after="0" w:line="240" w:lineRule="auto"/>
              <w:jc w:val="center"/>
              <w:rPr>
                <w:rFonts w:ascii="Calibri" w:eastAsia="Times New Roman" w:hAnsi="Calibri" w:cs="Calibri"/>
                <w:b/>
                <w:bCs/>
                <w:i/>
                <w:color w:val="000000"/>
                <w:lang w:eastAsia="el-GR"/>
              </w:rPr>
            </w:pPr>
            <w:r w:rsidRPr="004774FB">
              <w:rPr>
                <w:rFonts w:ascii="Calibri" w:eastAsia="Times New Roman" w:hAnsi="Calibri" w:cs="Calibri"/>
                <w:b/>
                <w:bCs/>
                <w:i/>
                <w:color w:val="000000"/>
                <w:lang w:eastAsia="el-GR"/>
              </w:rPr>
              <w:t>2,7%</w:t>
            </w:r>
          </w:p>
        </w:tc>
      </w:tr>
      <w:tr w:rsidR="009E748F" w:rsidRPr="00753B97" w14:paraId="1D9DE77A" w14:textId="77777777" w:rsidTr="009E748F">
        <w:trPr>
          <w:trHeight w:val="438"/>
        </w:trPr>
        <w:tc>
          <w:tcPr>
            <w:tcW w:w="2406" w:type="dxa"/>
            <w:tcBorders>
              <w:top w:val="nil"/>
              <w:left w:val="single" w:sz="4" w:space="0" w:color="auto"/>
              <w:bottom w:val="single" w:sz="4" w:space="0" w:color="auto"/>
              <w:right w:val="single" w:sz="4" w:space="0" w:color="auto"/>
            </w:tcBorders>
            <w:shd w:val="clear" w:color="000000" w:fill="D9D9D9"/>
            <w:vAlign w:val="bottom"/>
            <w:hideMark/>
          </w:tcPr>
          <w:p w14:paraId="48C810E1" w14:textId="77777777" w:rsidR="006A5A78" w:rsidRPr="00753B97" w:rsidRDefault="006A5A78" w:rsidP="00247B52">
            <w:pPr>
              <w:spacing w:after="0" w:line="240" w:lineRule="auto"/>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Α. Φόροι επί αγαθών και υπηρεσιών (1+2+3)</w:t>
            </w:r>
          </w:p>
        </w:tc>
        <w:tc>
          <w:tcPr>
            <w:tcW w:w="904" w:type="dxa"/>
            <w:tcBorders>
              <w:top w:val="nil"/>
              <w:left w:val="nil"/>
              <w:bottom w:val="single" w:sz="4" w:space="0" w:color="auto"/>
              <w:right w:val="single" w:sz="4" w:space="0" w:color="auto"/>
            </w:tcBorders>
            <w:shd w:val="clear" w:color="000000" w:fill="D9D9D9"/>
            <w:noWrap/>
            <w:vAlign w:val="bottom"/>
            <w:hideMark/>
          </w:tcPr>
          <w:p w14:paraId="3E3C6D57"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17.894</w:t>
            </w:r>
          </w:p>
        </w:tc>
        <w:tc>
          <w:tcPr>
            <w:tcW w:w="1060" w:type="dxa"/>
            <w:tcBorders>
              <w:top w:val="nil"/>
              <w:left w:val="nil"/>
              <w:bottom w:val="single" w:sz="4" w:space="0" w:color="auto"/>
              <w:right w:val="single" w:sz="4" w:space="0" w:color="auto"/>
            </w:tcBorders>
            <w:shd w:val="clear" w:color="000000" w:fill="D9D9D9"/>
            <w:noWrap/>
            <w:vAlign w:val="bottom"/>
            <w:hideMark/>
          </w:tcPr>
          <w:p w14:paraId="2F3B8822"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19.261</w:t>
            </w:r>
          </w:p>
        </w:tc>
        <w:tc>
          <w:tcPr>
            <w:tcW w:w="1195" w:type="dxa"/>
            <w:tcBorders>
              <w:top w:val="nil"/>
              <w:left w:val="nil"/>
              <w:bottom w:val="single" w:sz="4" w:space="0" w:color="auto"/>
              <w:right w:val="single" w:sz="4" w:space="0" w:color="auto"/>
            </w:tcBorders>
            <w:shd w:val="clear" w:color="000000" w:fill="D9D9D9"/>
            <w:noWrap/>
            <w:vAlign w:val="bottom"/>
            <w:hideMark/>
          </w:tcPr>
          <w:p w14:paraId="19E25EEA"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18.934</w:t>
            </w:r>
          </w:p>
        </w:tc>
        <w:tc>
          <w:tcPr>
            <w:tcW w:w="730" w:type="dxa"/>
            <w:tcBorders>
              <w:top w:val="nil"/>
              <w:left w:val="nil"/>
              <w:bottom w:val="single" w:sz="4" w:space="0" w:color="auto"/>
              <w:right w:val="single" w:sz="4" w:space="0" w:color="auto"/>
            </w:tcBorders>
            <w:shd w:val="clear" w:color="000000" w:fill="D9D9D9"/>
            <w:noWrap/>
            <w:vAlign w:val="bottom"/>
            <w:hideMark/>
          </w:tcPr>
          <w:p w14:paraId="1C5FF354"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1367</w:t>
            </w:r>
          </w:p>
        </w:tc>
        <w:tc>
          <w:tcPr>
            <w:tcW w:w="1195" w:type="dxa"/>
            <w:tcBorders>
              <w:top w:val="nil"/>
              <w:left w:val="nil"/>
              <w:bottom w:val="single" w:sz="4" w:space="0" w:color="auto"/>
              <w:right w:val="single" w:sz="4" w:space="0" w:color="auto"/>
            </w:tcBorders>
            <w:shd w:val="clear" w:color="000000" w:fill="D9D9D9"/>
            <w:noWrap/>
            <w:vAlign w:val="bottom"/>
            <w:hideMark/>
          </w:tcPr>
          <w:p w14:paraId="28069976" w14:textId="77777777" w:rsidR="006A5A78" w:rsidRPr="004774FB" w:rsidRDefault="006A5A78" w:rsidP="00247B52">
            <w:pPr>
              <w:spacing w:after="0" w:line="240" w:lineRule="auto"/>
              <w:jc w:val="center"/>
              <w:rPr>
                <w:rFonts w:ascii="Calibri" w:eastAsia="Times New Roman" w:hAnsi="Calibri" w:cs="Calibri"/>
                <w:b/>
                <w:bCs/>
                <w:i/>
                <w:color w:val="000000"/>
                <w:lang w:eastAsia="el-GR"/>
              </w:rPr>
            </w:pPr>
            <w:r w:rsidRPr="004774FB">
              <w:rPr>
                <w:rFonts w:ascii="Calibri" w:eastAsia="Times New Roman" w:hAnsi="Calibri" w:cs="Calibri"/>
                <w:b/>
                <w:bCs/>
                <w:i/>
                <w:color w:val="000000"/>
                <w:lang w:eastAsia="el-GR"/>
              </w:rPr>
              <w:t>327</w:t>
            </w:r>
          </w:p>
        </w:tc>
        <w:tc>
          <w:tcPr>
            <w:tcW w:w="869" w:type="dxa"/>
            <w:tcBorders>
              <w:top w:val="nil"/>
              <w:left w:val="nil"/>
              <w:bottom w:val="single" w:sz="4" w:space="0" w:color="auto"/>
              <w:right w:val="single" w:sz="4" w:space="0" w:color="auto"/>
            </w:tcBorders>
            <w:shd w:val="clear" w:color="000000" w:fill="D9D9D9"/>
            <w:noWrap/>
            <w:vAlign w:val="bottom"/>
            <w:hideMark/>
          </w:tcPr>
          <w:p w14:paraId="203A0355"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7,6%</w:t>
            </w:r>
          </w:p>
        </w:tc>
        <w:tc>
          <w:tcPr>
            <w:tcW w:w="1210" w:type="dxa"/>
            <w:tcBorders>
              <w:top w:val="nil"/>
              <w:left w:val="nil"/>
              <w:bottom w:val="single" w:sz="4" w:space="0" w:color="auto"/>
              <w:right w:val="single" w:sz="4" w:space="0" w:color="auto"/>
            </w:tcBorders>
            <w:shd w:val="clear" w:color="000000" w:fill="D9D9D9"/>
            <w:noWrap/>
            <w:vAlign w:val="bottom"/>
            <w:hideMark/>
          </w:tcPr>
          <w:p w14:paraId="6C9EA7F2" w14:textId="77777777" w:rsidR="006A5A78" w:rsidRPr="004774FB" w:rsidRDefault="006A5A78" w:rsidP="00247B52">
            <w:pPr>
              <w:spacing w:after="0" w:line="240" w:lineRule="auto"/>
              <w:jc w:val="center"/>
              <w:rPr>
                <w:rFonts w:ascii="Calibri" w:eastAsia="Times New Roman" w:hAnsi="Calibri" w:cs="Calibri"/>
                <w:b/>
                <w:bCs/>
                <w:i/>
                <w:color w:val="000000"/>
                <w:lang w:eastAsia="el-GR"/>
              </w:rPr>
            </w:pPr>
            <w:r w:rsidRPr="004774FB">
              <w:rPr>
                <w:rFonts w:ascii="Calibri" w:eastAsia="Times New Roman" w:hAnsi="Calibri" w:cs="Calibri"/>
                <w:b/>
                <w:bCs/>
                <w:i/>
                <w:color w:val="000000"/>
                <w:lang w:eastAsia="el-GR"/>
              </w:rPr>
              <w:t>1,7%</w:t>
            </w:r>
          </w:p>
        </w:tc>
      </w:tr>
      <w:tr w:rsidR="009E748F" w:rsidRPr="00753B97" w14:paraId="0715A3E9" w14:textId="77777777" w:rsidTr="009E748F">
        <w:trPr>
          <w:trHeight w:val="218"/>
        </w:trPr>
        <w:tc>
          <w:tcPr>
            <w:tcW w:w="2406" w:type="dxa"/>
            <w:tcBorders>
              <w:top w:val="nil"/>
              <w:left w:val="single" w:sz="4" w:space="0" w:color="auto"/>
              <w:bottom w:val="single" w:sz="4" w:space="0" w:color="auto"/>
              <w:right w:val="single" w:sz="4" w:space="0" w:color="auto"/>
            </w:tcBorders>
            <w:shd w:val="clear" w:color="auto" w:fill="auto"/>
            <w:noWrap/>
            <w:vAlign w:val="bottom"/>
            <w:hideMark/>
          </w:tcPr>
          <w:p w14:paraId="4DC5F0D6" w14:textId="77777777" w:rsidR="006A5A78" w:rsidRPr="00753B97" w:rsidRDefault="006A5A78" w:rsidP="00247B52">
            <w:pPr>
              <w:spacing w:after="0" w:line="240" w:lineRule="auto"/>
              <w:rPr>
                <w:rFonts w:ascii="Calibri" w:eastAsia="Times New Roman" w:hAnsi="Calibri" w:cs="Calibri"/>
                <w:i/>
                <w:iCs/>
                <w:color w:val="000000"/>
                <w:sz w:val="20"/>
                <w:szCs w:val="20"/>
                <w:lang w:eastAsia="el-GR"/>
              </w:rPr>
            </w:pPr>
            <w:r w:rsidRPr="00753B97">
              <w:rPr>
                <w:rFonts w:ascii="Calibri" w:eastAsia="Times New Roman" w:hAnsi="Calibri" w:cs="Calibri"/>
                <w:i/>
                <w:iCs/>
                <w:color w:val="000000"/>
                <w:sz w:val="20"/>
                <w:szCs w:val="20"/>
                <w:lang w:eastAsia="el-GR"/>
              </w:rPr>
              <w:t>1. ΦΠΑ</w:t>
            </w:r>
          </w:p>
        </w:tc>
        <w:tc>
          <w:tcPr>
            <w:tcW w:w="904" w:type="dxa"/>
            <w:tcBorders>
              <w:top w:val="nil"/>
              <w:left w:val="nil"/>
              <w:bottom w:val="single" w:sz="4" w:space="0" w:color="auto"/>
              <w:right w:val="single" w:sz="4" w:space="0" w:color="auto"/>
            </w:tcBorders>
            <w:shd w:val="clear" w:color="auto" w:fill="auto"/>
            <w:noWrap/>
            <w:vAlign w:val="bottom"/>
            <w:hideMark/>
          </w:tcPr>
          <w:p w14:paraId="3DB52074"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11.177</w:t>
            </w:r>
          </w:p>
        </w:tc>
        <w:tc>
          <w:tcPr>
            <w:tcW w:w="1060" w:type="dxa"/>
            <w:tcBorders>
              <w:top w:val="nil"/>
              <w:left w:val="nil"/>
              <w:bottom w:val="single" w:sz="4" w:space="0" w:color="auto"/>
              <w:right w:val="single" w:sz="4" w:space="0" w:color="auto"/>
            </w:tcBorders>
            <w:shd w:val="clear" w:color="auto" w:fill="auto"/>
            <w:noWrap/>
            <w:vAlign w:val="bottom"/>
            <w:hideMark/>
          </w:tcPr>
          <w:p w14:paraId="68AACC64"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12.499</w:t>
            </w:r>
          </w:p>
        </w:tc>
        <w:tc>
          <w:tcPr>
            <w:tcW w:w="1195" w:type="dxa"/>
            <w:tcBorders>
              <w:top w:val="nil"/>
              <w:left w:val="nil"/>
              <w:bottom w:val="single" w:sz="4" w:space="0" w:color="auto"/>
              <w:right w:val="single" w:sz="4" w:space="0" w:color="auto"/>
            </w:tcBorders>
            <w:shd w:val="clear" w:color="auto" w:fill="auto"/>
            <w:noWrap/>
            <w:vAlign w:val="bottom"/>
            <w:hideMark/>
          </w:tcPr>
          <w:p w14:paraId="7B7018C0"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12.343</w:t>
            </w:r>
          </w:p>
        </w:tc>
        <w:tc>
          <w:tcPr>
            <w:tcW w:w="730" w:type="dxa"/>
            <w:tcBorders>
              <w:top w:val="nil"/>
              <w:left w:val="nil"/>
              <w:bottom w:val="single" w:sz="4" w:space="0" w:color="auto"/>
              <w:right w:val="single" w:sz="4" w:space="0" w:color="auto"/>
            </w:tcBorders>
            <w:shd w:val="clear" w:color="auto" w:fill="auto"/>
            <w:noWrap/>
            <w:vAlign w:val="bottom"/>
            <w:hideMark/>
          </w:tcPr>
          <w:p w14:paraId="16728AB1"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1.322</w:t>
            </w:r>
          </w:p>
        </w:tc>
        <w:tc>
          <w:tcPr>
            <w:tcW w:w="1195" w:type="dxa"/>
            <w:tcBorders>
              <w:top w:val="nil"/>
              <w:left w:val="nil"/>
              <w:bottom w:val="single" w:sz="4" w:space="0" w:color="auto"/>
              <w:right w:val="single" w:sz="4" w:space="0" w:color="auto"/>
            </w:tcBorders>
            <w:shd w:val="clear" w:color="auto" w:fill="auto"/>
            <w:noWrap/>
            <w:vAlign w:val="bottom"/>
            <w:hideMark/>
          </w:tcPr>
          <w:p w14:paraId="433F7567" w14:textId="77777777" w:rsidR="006A5A78" w:rsidRPr="004774FB" w:rsidRDefault="006A5A78" w:rsidP="00247B52">
            <w:pPr>
              <w:spacing w:after="0" w:line="240" w:lineRule="auto"/>
              <w:jc w:val="center"/>
              <w:rPr>
                <w:rFonts w:ascii="Calibri" w:eastAsia="Times New Roman" w:hAnsi="Calibri" w:cs="Calibri"/>
                <w:i/>
                <w:color w:val="000000"/>
                <w:lang w:eastAsia="el-GR"/>
              </w:rPr>
            </w:pPr>
            <w:r w:rsidRPr="004774FB">
              <w:rPr>
                <w:rFonts w:ascii="Calibri" w:eastAsia="Times New Roman" w:hAnsi="Calibri" w:cs="Calibri"/>
                <w:i/>
                <w:color w:val="000000"/>
                <w:lang w:eastAsia="el-GR"/>
              </w:rPr>
              <w:t>156</w:t>
            </w:r>
          </w:p>
        </w:tc>
        <w:tc>
          <w:tcPr>
            <w:tcW w:w="869" w:type="dxa"/>
            <w:tcBorders>
              <w:top w:val="nil"/>
              <w:left w:val="nil"/>
              <w:bottom w:val="single" w:sz="4" w:space="0" w:color="auto"/>
              <w:right w:val="single" w:sz="4" w:space="0" w:color="auto"/>
            </w:tcBorders>
            <w:shd w:val="clear" w:color="auto" w:fill="auto"/>
            <w:noWrap/>
            <w:vAlign w:val="bottom"/>
            <w:hideMark/>
          </w:tcPr>
          <w:p w14:paraId="7487C6BC"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11,8%</w:t>
            </w:r>
          </w:p>
        </w:tc>
        <w:tc>
          <w:tcPr>
            <w:tcW w:w="1210" w:type="dxa"/>
            <w:tcBorders>
              <w:top w:val="nil"/>
              <w:left w:val="nil"/>
              <w:bottom w:val="single" w:sz="4" w:space="0" w:color="auto"/>
              <w:right w:val="single" w:sz="4" w:space="0" w:color="auto"/>
            </w:tcBorders>
            <w:shd w:val="clear" w:color="auto" w:fill="auto"/>
            <w:noWrap/>
            <w:vAlign w:val="bottom"/>
            <w:hideMark/>
          </w:tcPr>
          <w:p w14:paraId="17DFFDBB" w14:textId="77777777" w:rsidR="006A5A78" w:rsidRPr="004774FB" w:rsidRDefault="006A5A78" w:rsidP="00247B52">
            <w:pPr>
              <w:spacing w:after="0" w:line="240" w:lineRule="auto"/>
              <w:jc w:val="center"/>
              <w:rPr>
                <w:rFonts w:ascii="Calibri" w:eastAsia="Times New Roman" w:hAnsi="Calibri" w:cs="Calibri"/>
                <w:i/>
                <w:color w:val="000000"/>
                <w:lang w:eastAsia="el-GR"/>
              </w:rPr>
            </w:pPr>
            <w:r w:rsidRPr="004774FB">
              <w:rPr>
                <w:rFonts w:ascii="Calibri" w:eastAsia="Times New Roman" w:hAnsi="Calibri" w:cs="Calibri"/>
                <w:i/>
                <w:color w:val="000000"/>
                <w:lang w:eastAsia="el-GR"/>
              </w:rPr>
              <w:t>1,3%</w:t>
            </w:r>
          </w:p>
        </w:tc>
      </w:tr>
      <w:tr w:rsidR="009E748F" w:rsidRPr="00753B97" w14:paraId="7D791B19" w14:textId="77777777" w:rsidTr="009E748F">
        <w:trPr>
          <w:trHeight w:val="218"/>
        </w:trPr>
        <w:tc>
          <w:tcPr>
            <w:tcW w:w="2406" w:type="dxa"/>
            <w:tcBorders>
              <w:top w:val="nil"/>
              <w:left w:val="single" w:sz="4" w:space="0" w:color="auto"/>
              <w:bottom w:val="single" w:sz="4" w:space="0" w:color="auto"/>
              <w:right w:val="single" w:sz="4" w:space="0" w:color="auto"/>
            </w:tcBorders>
            <w:shd w:val="clear" w:color="auto" w:fill="auto"/>
            <w:noWrap/>
            <w:vAlign w:val="bottom"/>
            <w:hideMark/>
          </w:tcPr>
          <w:p w14:paraId="643DE53A" w14:textId="77777777" w:rsidR="006A5A78" w:rsidRPr="00753B97" w:rsidRDefault="006A5A78" w:rsidP="00247B52">
            <w:pPr>
              <w:spacing w:after="0" w:line="240" w:lineRule="auto"/>
              <w:rPr>
                <w:rFonts w:ascii="Calibri" w:eastAsia="Times New Roman" w:hAnsi="Calibri" w:cs="Calibri"/>
                <w:i/>
                <w:iCs/>
                <w:color w:val="000000"/>
                <w:sz w:val="20"/>
                <w:szCs w:val="20"/>
                <w:lang w:eastAsia="el-GR"/>
              </w:rPr>
            </w:pPr>
            <w:r w:rsidRPr="00753B97">
              <w:rPr>
                <w:rFonts w:ascii="Calibri" w:eastAsia="Times New Roman" w:hAnsi="Calibri" w:cs="Calibri"/>
                <w:i/>
                <w:iCs/>
                <w:color w:val="000000"/>
                <w:sz w:val="20"/>
                <w:szCs w:val="20"/>
                <w:lang w:eastAsia="el-GR"/>
              </w:rPr>
              <w:t>2. Ειδικοί Φόροι Κατανάλωσης</w:t>
            </w:r>
          </w:p>
        </w:tc>
        <w:tc>
          <w:tcPr>
            <w:tcW w:w="904" w:type="dxa"/>
            <w:tcBorders>
              <w:top w:val="nil"/>
              <w:left w:val="nil"/>
              <w:bottom w:val="single" w:sz="4" w:space="0" w:color="auto"/>
              <w:right w:val="single" w:sz="4" w:space="0" w:color="auto"/>
            </w:tcBorders>
            <w:shd w:val="clear" w:color="auto" w:fill="auto"/>
            <w:noWrap/>
            <w:vAlign w:val="bottom"/>
            <w:hideMark/>
          </w:tcPr>
          <w:p w14:paraId="358FDC21"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4.836</w:t>
            </w:r>
          </w:p>
        </w:tc>
        <w:tc>
          <w:tcPr>
            <w:tcW w:w="1060" w:type="dxa"/>
            <w:tcBorders>
              <w:top w:val="nil"/>
              <w:left w:val="nil"/>
              <w:bottom w:val="single" w:sz="4" w:space="0" w:color="auto"/>
              <w:right w:val="single" w:sz="4" w:space="0" w:color="auto"/>
            </w:tcBorders>
            <w:shd w:val="clear" w:color="auto" w:fill="auto"/>
            <w:noWrap/>
            <w:vAlign w:val="bottom"/>
            <w:hideMark/>
          </w:tcPr>
          <w:p w14:paraId="6AFCB3B4"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4.846</w:t>
            </w:r>
          </w:p>
        </w:tc>
        <w:tc>
          <w:tcPr>
            <w:tcW w:w="1195" w:type="dxa"/>
            <w:tcBorders>
              <w:top w:val="nil"/>
              <w:left w:val="nil"/>
              <w:bottom w:val="single" w:sz="4" w:space="0" w:color="auto"/>
              <w:right w:val="single" w:sz="4" w:space="0" w:color="auto"/>
            </w:tcBorders>
            <w:shd w:val="clear" w:color="auto" w:fill="auto"/>
            <w:noWrap/>
            <w:vAlign w:val="bottom"/>
            <w:hideMark/>
          </w:tcPr>
          <w:p w14:paraId="7B86F8CC"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4.857</w:t>
            </w:r>
          </w:p>
        </w:tc>
        <w:tc>
          <w:tcPr>
            <w:tcW w:w="730" w:type="dxa"/>
            <w:tcBorders>
              <w:top w:val="nil"/>
              <w:left w:val="nil"/>
              <w:bottom w:val="single" w:sz="4" w:space="0" w:color="auto"/>
              <w:right w:val="single" w:sz="4" w:space="0" w:color="auto"/>
            </w:tcBorders>
            <w:shd w:val="clear" w:color="auto" w:fill="auto"/>
            <w:noWrap/>
            <w:vAlign w:val="bottom"/>
            <w:hideMark/>
          </w:tcPr>
          <w:p w14:paraId="0403A66B"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10</w:t>
            </w:r>
          </w:p>
        </w:tc>
        <w:tc>
          <w:tcPr>
            <w:tcW w:w="1195" w:type="dxa"/>
            <w:tcBorders>
              <w:top w:val="nil"/>
              <w:left w:val="nil"/>
              <w:bottom w:val="single" w:sz="4" w:space="0" w:color="auto"/>
              <w:right w:val="single" w:sz="4" w:space="0" w:color="auto"/>
            </w:tcBorders>
            <w:shd w:val="clear" w:color="auto" w:fill="auto"/>
            <w:noWrap/>
            <w:vAlign w:val="bottom"/>
            <w:hideMark/>
          </w:tcPr>
          <w:p w14:paraId="1B141789" w14:textId="77777777" w:rsidR="006A5A78" w:rsidRPr="004774FB" w:rsidRDefault="006A5A78" w:rsidP="00247B52">
            <w:pPr>
              <w:spacing w:after="0" w:line="240" w:lineRule="auto"/>
              <w:jc w:val="center"/>
              <w:rPr>
                <w:rFonts w:ascii="Calibri" w:eastAsia="Times New Roman" w:hAnsi="Calibri" w:cs="Calibri"/>
                <w:i/>
                <w:color w:val="000000"/>
                <w:lang w:eastAsia="el-GR"/>
              </w:rPr>
            </w:pPr>
            <w:r w:rsidRPr="004774FB">
              <w:rPr>
                <w:rFonts w:ascii="Calibri" w:eastAsia="Times New Roman" w:hAnsi="Calibri" w:cs="Calibri"/>
                <w:i/>
                <w:color w:val="000000"/>
                <w:lang w:eastAsia="el-GR"/>
              </w:rPr>
              <w:t>-11</w:t>
            </w:r>
          </w:p>
        </w:tc>
        <w:tc>
          <w:tcPr>
            <w:tcW w:w="869" w:type="dxa"/>
            <w:tcBorders>
              <w:top w:val="nil"/>
              <w:left w:val="nil"/>
              <w:bottom w:val="single" w:sz="4" w:space="0" w:color="auto"/>
              <w:right w:val="single" w:sz="4" w:space="0" w:color="auto"/>
            </w:tcBorders>
            <w:shd w:val="clear" w:color="auto" w:fill="auto"/>
            <w:noWrap/>
            <w:vAlign w:val="bottom"/>
            <w:hideMark/>
          </w:tcPr>
          <w:p w14:paraId="6CD7B33D"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0,2%</w:t>
            </w:r>
          </w:p>
        </w:tc>
        <w:tc>
          <w:tcPr>
            <w:tcW w:w="1210" w:type="dxa"/>
            <w:tcBorders>
              <w:top w:val="nil"/>
              <w:left w:val="nil"/>
              <w:bottom w:val="single" w:sz="4" w:space="0" w:color="auto"/>
              <w:right w:val="single" w:sz="4" w:space="0" w:color="auto"/>
            </w:tcBorders>
            <w:shd w:val="clear" w:color="auto" w:fill="auto"/>
            <w:noWrap/>
            <w:vAlign w:val="bottom"/>
            <w:hideMark/>
          </w:tcPr>
          <w:p w14:paraId="2A042E83" w14:textId="77777777" w:rsidR="006A5A78" w:rsidRPr="004774FB" w:rsidRDefault="006A5A78" w:rsidP="00247B52">
            <w:pPr>
              <w:spacing w:after="0" w:line="240" w:lineRule="auto"/>
              <w:jc w:val="center"/>
              <w:rPr>
                <w:rFonts w:ascii="Calibri" w:eastAsia="Times New Roman" w:hAnsi="Calibri" w:cs="Calibri"/>
                <w:i/>
                <w:color w:val="000000"/>
                <w:lang w:eastAsia="el-GR"/>
              </w:rPr>
            </w:pPr>
            <w:r w:rsidRPr="004774FB">
              <w:rPr>
                <w:rFonts w:ascii="Calibri" w:eastAsia="Times New Roman" w:hAnsi="Calibri" w:cs="Calibri"/>
                <w:i/>
                <w:color w:val="000000"/>
                <w:lang w:eastAsia="el-GR"/>
              </w:rPr>
              <w:t>-0,2%</w:t>
            </w:r>
          </w:p>
        </w:tc>
      </w:tr>
      <w:tr w:rsidR="009E748F" w:rsidRPr="00753B97" w14:paraId="6ACF4786" w14:textId="77777777" w:rsidTr="009E748F">
        <w:trPr>
          <w:trHeight w:val="383"/>
        </w:trPr>
        <w:tc>
          <w:tcPr>
            <w:tcW w:w="2406" w:type="dxa"/>
            <w:tcBorders>
              <w:top w:val="nil"/>
              <w:left w:val="single" w:sz="4" w:space="0" w:color="auto"/>
              <w:bottom w:val="single" w:sz="4" w:space="0" w:color="auto"/>
              <w:right w:val="single" w:sz="4" w:space="0" w:color="auto"/>
            </w:tcBorders>
            <w:shd w:val="clear" w:color="auto" w:fill="auto"/>
            <w:vAlign w:val="bottom"/>
            <w:hideMark/>
          </w:tcPr>
          <w:p w14:paraId="2A11812C" w14:textId="77777777" w:rsidR="006A5A78" w:rsidRPr="00753B97" w:rsidRDefault="006A5A78" w:rsidP="00247B52">
            <w:pPr>
              <w:spacing w:after="0" w:line="240" w:lineRule="auto"/>
              <w:rPr>
                <w:rFonts w:ascii="Calibri" w:eastAsia="Times New Roman" w:hAnsi="Calibri" w:cs="Calibri"/>
                <w:i/>
                <w:iCs/>
                <w:color w:val="000000"/>
                <w:sz w:val="20"/>
                <w:szCs w:val="20"/>
                <w:lang w:eastAsia="el-GR"/>
              </w:rPr>
            </w:pPr>
            <w:r w:rsidRPr="00753B97">
              <w:rPr>
                <w:rFonts w:ascii="Calibri" w:eastAsia="Times New Roman" w:hAnsi="Calibri" w:cs="Calibri"/>
                <w:i/>
                <w:iCs/>
                <w:color w:val="000000"/>
                <w:sz w:val="20"/>
                <w:szCs w:val="20"/>
                <w:lang w:eastAsia="el-GR"/>
              </w:rPr>
              <w:t>3. Λοιποί φόροι επί αγαθών και υπηρεσιών (*)</w:t>
            </w:r>
          </w:p>
        </w:tc>
        <w:tc>
          <w:tcPr>
            <w:tcW w:w="904" w:type="dxa"/>
            <w:tcBorders>
              <w:top w:val="nil"/>
              <w:left w:val="nil"/>
              <w:bottom w:val="single" w:sz="4" w:space="0" w:color="auto"/>
              <w:right w:val="single" w:sz="4" w:space="0" w:color="auto"/>
            </w:tcBorders>
            <w:shd w:val="clear" w:color="auto" w:fill="auto"/>
            <w:noWrap/>
            <w:vAlign w:val="bottom"/>
            <w:hideMark/>
          </w:tcPr>
          <w:p w14:paraId="7C954ED2"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1.881</w:t>
            </w:r>
          </w:p>
        </w:tc>
        <w:tc>
          <w:tcPr>
            <w:tcW w:w="1060" w:type="dxa"/>
            <w:tcBorders>
              <w:top w:val="nil"/>
              <w:left w:val="nil"/>
              <w:bottom w:val="single" w:sz="4" w:space="0" w:color="auto"/>
              <w:right w:val="single" w:sz="4" w:space="0" w:color="auto"/>
            </w:tcBorders>
            <w:shd w:val="clear" w:color="auto" w:fill="auto"/>
            <w:noWrap/>
            <w:vAlign w:val="bottom"/>
            <w:hideMark/>
          </w:tcPr>
          <w:p w14:paraId="06FDC654"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1.915</w:t>
            </w:r>
          </w:p>
        </w:tc>
        <w:tc>
          <w:tcPr>
            <w:tcW w:w="1195" w:type="dxa"/>
            <w:tcBorders>
              <w:top w:val="nil"/>
              <w:left w:val="nil"/>
              <w:bottom w:val="single" w:sz="4" w:space="0" w:color="auto"/>
              <w:right w:val="single" w:sz="4" w:space="0" w:color="auto"/>
            </w:tcBorders>
            <w:shd w:val="clear" w:color="auto" w:fill="auto"/>
            <w:noWrap/>
            <w:vAlign w:val="bottom"/>
            <w:hideMark/>
          </w:tcPr>
          <w:p w14:paraId="50AE37B1"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1.044</w:t>
            </w:r>
          </w:p>
        </w:tc>
        <w:tc>
          <w:tcPr>
            <w:tcW w:w="730" w:type="dxa"/>
            <w:tcBorders>
              <w:top w:val="nil"/>
              <w:left w:val="nil"/>
              <w:bottom w:val="single" w:sz="4" w:space="0" w:color="auto"/>
              <w:right w:val="single" w:sz="4" w:space="0" w:color="auto"/>
            </w:tcBorders>
            <w:shd w:val="clear" w:color="auto" w:fill="auto"/>
            <w:noWrap/>
            <w:vAlign w:val="bottom"/>
            <w:hideMark/>
          </w:tcPr>
          <w:p w14:paraId="469B5D76"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34</w:t>
            </w:r>
          </w:p>
        </w:tc>
        <w:tc>
          <w:tcPr>
            <w:tcW w:w="1195" w:type="dxa"/>
            <w:tcBorders>
              <w:top w:val="nil"/>
              <w:left w:val="nil"/>
              <w:bottom w:val="single" w:sz="4" w:space="0" w:color="auto"/>
              <w:right w:val="single" w:sz="4" w:space="0" w:color="auto"/>
            </w:tcBorders>
            <w:shd w:val="clear" w:color="auto" w:fill="auto"/>
            <w:noWrap/>
            <w:vAlign w:val="bottom"/>
            <w:hideMark/>
          </w:tcPr>
          <w:p w14:paraId="515D61BD" w14:textId="77777777" w:rsidR="006A5A78" w:rsidRPr="004774FB" w:rsidRDefault="006A5A78" w:rsidP="00247B52">
            <w:pPr>
              <w:spacing w:after="0" w:line="240" w:lineRule="auto"/>
              <w:jc w:val="center"/>
              <w:rPr>
                <w:rFonts w:ascii="Calibri" w:eastAsia="Times New Roman" w:hAnsi="Calibri" w:cs="Calibri"/>
                <w:i/>
                <w:color w:val="000000"/>
                <w:lang w:eastAsia="el-GR"/>
              </w:rPr>
            </w:pPr>
            <w:r w:rsidRPr="004774FB">
              <w:rPr>
                <w:rFonts w:ascii="Calibri" w:eastAsia="Times New Roman" w:hAnsi="Calibri" w:cs="Calibri"/>
                <w:i/>
                <w:color w:val="000000"/>
                <w:lang w:eastAsia="el-GR"/>
              </w:rPr>
              <w:t>871</w:t>
            </w:r>
          </w:p>
        </w:tc>
        <w:tc>
          <w:tcPr>
            <w:tcW w:w="869" w:type="dxa"/>
            <w:tcBorders>
              <w:top w:val="nil"/>
              <w:left w:val="nil"/>
              <w:bottom w:val="single" w:sz="4" w:space="0" w:color="auto"/>
              <w:right w:val="single" w:sz="4" w:space="0" w:color="auto"/>
            </w:tcBorders>
            <w:shd w:val="clear" w:color="auto" w:fill="auto"/>
            <w:noWrap/>
            <w:vAlign w:val="bottom"/>
            <w:hideMark/>
          </w:tcPr>
          <w:p w14:paraId="067B82C1"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1,8%</w:t>
            </w:r>
          </w:p>
        </w:tc>
        <w:tc>
          <w:tcPr>
            <w:tcW w:w="1210" w:type="dxa"/>
            <w:tcBorders>
              <w:top w:val="nil"/>
              <w:left w:val="nil"/>
              <w:bottom w:val="single" w:sz="4" w:space="0" w:color="auto"/>
              <w:right w:val="single" w:sz="4" w:space="0" w:color="auto"/>
            </w:tcBorders>
            <w:shd w:val="clear" w:color="auto" w:fill="auto"/>
            <w:noWrap/>
            <w:vAlign w:val="bottom"/>
            <w:hideMark/>
          </w:tcPr>
          <w:p w14:paraId="4B53D997" w14:textId="77777777" w:rsidR="006A5A78" w:rsidRPr="004774FB" w:rsidRDefault="006A5A78" w:rsidP="00247B52">
            <w:pPr>
              <w:spacing w:after="0" w:line="240" w:lineRule="auto"/>
              <w:jc w:val="center"/>
              <w:rPr>
                <w:rFonts w:ascii="Calibri" w:eastAsia="Times New Roman" w:hAnsi="Calibri" w:cs="Calibri"/>
                <w:i/>
                <w:color w:val="000000"/>
                <w:lang w:eastAsia="el-GR"/>
              </w:rPr>
            </w:pPr>
            <w:r w:rsidRPr="004774FB">
              <w:rPr>
                <w:rFonts w:ascii="Calibri" w:eastAsia="Times New Roman" w:hAnsi="Calibri" w:cs="Calibri"/>
                <w:i/>
                <w:color w:val="000000"/>
                <w:lang w:eastAsia="el-GR"/>
              </w:rPr>
              <w:t>83,4%</w:t>
            </w:r>
          </w:p>
        </w:tc>
      </w:tr>
      <w:tr w:rsidR="009E748F" w:rsidRPr="00753B97" w14:paraId="3BCDB9F1" w14:textId="77777777" w:rsidTr="009E748F">
        <w:trPr>
          <w:trHeight w:val="438"/>
        </w:trPr>
        <w:tc>
          <w:tcPr>
            <w:tcW w:w="2406" w:type="dxa"/>
            <w:tcBorders>
              <w:top w:val="nil"/>
              <w:left w:val="single" w:sz="4" w:space="0" w:color="auto"/>
              <w:bottom w:val="single" w:sz="4" w:space="0" w:color="auto"/>
              <w:right w:val="single" w:sz="4" w:space="0" w:color="auto"/>
            </w:tcBorders>
            <w:shd w:val="clear" w:color="000000" w:fill="D9D9D9"/>
            <w:vAlign w:val="bottom"/>
            <w:hideMark/>
          </w:tcPr>
          <w:p w14:paraId="2CF7DF6F" w14:textId="77777777" w:rsidR="006A5A78" w:rsidRPr="00753B97" w:rsidRDefault="006A5A78" w:rsidP="00247B52">
            <w:pPr>
              <w:spacing w:after="0" w:line="240" w:lineRule="auto"/>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 xml:space="preserve">Β. Φόροι και δασμοί επί εισαγωγών </w:t>
            </w:r>
          </w:p>
        </w:tc>
        <w:tc>
          <w:tcPr>
            <w:tcW w:w="904" w:type="dxa"/>
            <w:tcBorders>
              <w:top w:val="nil"/>
              <w:left w:val="nil"/>
              <w:bottom w:val="single" w:sz="4" w:space="0" w:color="auto"/>
              <w:right w:val="single" w:sz="4" w:space="0" w:color="auto"/>
            </w:tcBorders>
            <w:shd w:val="clear" w:color="000000" w:fill="D9D9D9"/>
            <w:noWrap/>
            <w:vAlign w:val="bottom"/>
            <w:hideMark/>
          </w:tcPr>
          <w:p w14:paraId="3C4373A0"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189</w:t>
            </w:r>
          </w:p>
        </w:tc>
        <w:tc>
          <w:tcPr>
            <w:tcW w:w="1060" w:type="dxa"/>
            <w:tcBorders>
              <w:top w:val="nil"/>
              <w:left w:val="nil"/>
              <w:bottom w:val="single" w:sz="4" w:space="0" w:color="auto"/>
              <w:right w:val="single" w:sz="4" w:space="0" w:color="auto"/>
            </w:tcBorders>
            <w:shd w:val="clear" w:color="000000" w:fill="D9D9D9"/>
            <w:noWrap/>
            <w:vAlign w:val="bottom"/>
            <w:hideMark/>
          </w:tcPr>
          <w:p w14:paraId="02B793DA"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219</w:t>
            </w:r>
          </w:p>
        </w:tc>
        <w:tc>
          <w:tcPr>
            <w:tcW w:w="1195" w:type="dxa"/>
            <w:tcBorders>
              <w:top w:val="nil"/>
              <w:left w:val="nil"/>
              <w:bottom w:val="single" w:sz="4" w:space="0" w:color="auto"/>
              <w:right w:val="single" w:sz="4" w:space="0" w:color="auto"/>
            </w:tcBorders>
            <w:shd w:val="clear" w:color="000000" w:fill="D9D9D9"/>
            <w:noWrap/>
            <w:vAlign w:val="bottom"/>
            <w:hideMark/>
          </w:tcPr>
          <w:p w14:paraId="57AFB3B0"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206</w:t>
            </w:r>
          </w:p>
        </w:tc>
        <w:tc>
          <w:tcPr>
            <w:tcW w:w="730" w:type="dxa"/>
            <w:tcBorders>
              <w:top w:val="nil"/>
              <w:left w:val="nil"/>
              <w:bottom w:val="single" w:sz="4" w:space="0" w:color="auto"/>
              <w:right w:val="single" w:sz="4" w:space="0" w:color="auto"/>
            </w:tcBorders>
            <w:shd w:val="clear" w:color="000000" w:fill="D9D9D9"/>
            <w:noWrap/>
            <w:vAlign w:val="bottom"/>
            <w:hideMark/>
          </w:tcPr>
          <w:p w14:paraId="0A8D4833"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30</w:t>
            </w:r>
          </w:p>
        </w:tc>
        <w:tc>
          <w:tcPr>
            <w:tcW w:w="1195" w:type="dxa"/>
            <w:tcBorders>
              <w:top w:val="nil"/>
              <w:left w:val="nil"/>
              <w:bottom w:val="single" w:sz="4" w:space="0" w:color="auto"/>
              <w:right w:val="single" w:sz="4" w:space="0" w:color="auto"/>
            </w:tcBorders>
            <w:shd w:val="clear" w:color="000000" w:fill="D9D9D9"/>
            <w:noWrap/>
            <w:vAlign w:val="bottom"/>
            <w:hideMark/>
          </w:tcPr>
          <w:p w14:paraId="69178E2A" w14:textId="77777777" w:rsidR="006A5A78" w:rsidRPr="004774FB" w:rsidRDefault="006A5A78" w:rsidP="00247B52">
            <w:pPr>
              <w:spacing w:after="0" w:line="240" w:lineRule="auto"/>
              <w:jc w:val="center"/>
              <w:rPr>
                <w:rFonts w:ascii="Calibri" w:eastAsia="Times New Roman" w:hAnsi="Calibri" w:cs="Calibri"/>
                <w:b/>
                <w:bCs/>
                <w:i/>
                <w:color w:val="000000"/>
                <w:lang w:eastAsia="el-GR"/>
              </w:rPr>
            </w:pPr>
            <w:r w:rsidRPr="004774FB">
              <w:rPr>
                <w:rFonts w:ascii="Calibri" w:eastAsia="Times New Roman" w:hAnsi="Calibri" w:cs="Calibri"/>
                <w:b/>
                <w:bCs/>
                <w:i/>
                <w:color w:val="000000"/>
                <w:lang w:eastAsia="el-GR"/>
              </w:rPr>
              <w:t>13</w:t>
            </w:r>
          </w:p>
        </w:tc>
        <w:tc>
          <w:tcPr>
            <w:tcW w:w="869" w:type="dxa"/>
            <w:tcBorders>
              <w:top w:val="nil"/>
              <w:left w:val="nil"/>
              <w:bottom w:val="single" w:sz="4" w:space="0" w:color="auto"/>
              <w:right w:val="single" w:sz="4" w:space="0" w:color="auto"/>
            </w:tcBorders>
            <w:shd w:val="clear" w:color="000000" w:fill="D9D9D9"/>
            <w:noWrap/>
            <w:vAlign w:val="bottom"/>
            <w:hideMark/>
          </w:tcPr>
          <w:p w14:paraId="47B5BF98"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15,9%</w:t>
            </w:r>
          </w:p>
        </w:tc>
        <w:tc>
          <w:tcPr>
            <w:tcW w:w="1210" w:type="dxa"/>
            <w:tcBorders>
              <w:top w:val="nil"/>
              <w:left w:val="nil"/>
              <w:bottom w:val="single" w:sz="4" w:space="0" w:color="auto"/>
              <w:right w:val="single" w:sz="4" w:space="0" w:color="auto"/>
            </w:tcBorders>
            <w:shd w:val="clear" w:color="000000" w:fill="D9D9D9"/>
            <w:noWrap/>
            <w:vAlign w:val="bottom"/>
            <w:hideMark/>
          </w:tcPr>
          <w:p w14:paraId="2283F7FF" w14:textId="77777777" w:rsidR="006A5A78" w:rsidRPr="004774FB" w:rsidRDefault="006A5A78" w:rsidP="00247B52">
            <w:pPr>
              <w:spacing w:after="0" w:line="240" w:lineRule="auto"/>
              <w:jc w:val="center"/>
              <w:rPr>
                <w:rFonts w:ascii="Calibri" w:eastAsia="Times New Roman" w:hAnsi="Calibri" w:cs="Calibri"/>
                <w:b/>
                <w:bCs/>
                <w:i/>
                <w:color w:val="000000"/>
                <w:lang w:eastAsia="el-GR"/>
              </w:rPr>
            </w:pPr>
            <w:r w:rsidRPr="004774FB">
              <w:rPr>
                <w:rFonts w:ascii="Calibri" w:eastAsia="Times New Roman" w:hAnsi="Calibri" w:cs="Calibri"/>
                <w:b/>
                <w:bCs/>
                <w:i/>
                <w:color w:val="000000"/>
                <w:lang w:eastAsia="el-GR"/>
              </w:rPr>
              <w:t>6,3%</w:t>
            </w:r>
          </w:p>
        </w:tc>
      </w:tr>
      <w:tr w:rsidR="009E748F" w:rsidRPr="00753B97" w14:paraId="3D86A20B" w14:textId="77777777" w:rsidTr="009E748F">
        <w:trPr>
          <w:trHeight w:val="438"/>
        </w:trPr>
        <w:tc>
          <w:tcPr>
            <w:tcW w:w="2406" w:type="dxa"/>
            <w:tcBorders>
              <w:top w:val="nil"/>
              <w:left w:val="single" w:sz="4" w:space="0" w:color="auto"/>
              <w:bottom w:val="single" w:sz="4" w:space="0" w:color="auto"/>
              <w:right w:val="single" w:sz="4" w:space="0" w:color="auto"/>
            </w:tcBorders>
            <w:shd w:val="clear" w:color="000000" w:fill="D9D9D9"/>
            <w:vAlign w:val="bottom"/>
            <w:hideMark/>
          </w:tcPr>
          <w:p w14:paraId="5E633741" w14:textId="77777777" w:rsidR="006A5A78" w:rsidRPr="00753B97" w:rsidRDefault="006A5A78" w:rsidP="00247B52">
            <w:pPr>
              <w:spacing w:after="0" w:line="240" w:lineRule="auto"/>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 xml:space="preserve">Γ. Τακτικοί φόροι ακίνητης περιουσίας </w:t>
            </w:r>
          </w:p>
        </w:tc>
        <w:tc>
          <w:tcPr>
            <w:tcW w:w="904" w:type="dxa"/>
            <w:tcBorders>
              <w:top w:val="nil"/>
              <w:left w:val="nil"/>
              <w:bottom w:val="single" w:sz="4" w:space="0" w:color="auto"/>
              <w:right w:val="single" w:sz="4" w:space="0" w:color="auto"/>
            </w:tcBorders>
            <w:shd w:val="clear" w:color="000000" w:fill="D9D9D9"/>
            <w:noWrap/>
            <w:vAlign w:val="bottom"/>
            <w:hideMark/>
          </w:tcPr>
          <w:p w14:paraId="1F4B9740"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812</w:t>
            </w:r>
          </w:p>
        </w:tc>
        <w:tc>
          <w:tcPr>
            <w:tcW w:w="1060" w:type="dxa"/>
            <w:tcBorders>
              <w:top w:val="nil"/>
              <w:left w:val="nil"/>
              <w:bottom w:val="single" w:sz="4" w:space="0" w:color="auto"/>
              <w:right w:val="single" w:sz="4" w:space="0" w:color="auto"/>
            </w:tcBorders>
            <w:shd w:val="clear" w:color="000000" w:fill="D9D9D9"/>
            <w:noWrap/>
            <w:vAlign w:val="bottom"/>
            <w:hideMark/>
          </w:tcPr>
          <w:p w14:paraId="31F63589"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1.094</w:t>
            </w:r>
          </w:p>
        </w:tc>
        <w:tc>
          <w:tcPr>
            <w:tcW w:w="1195" w:type="dxa"/>
            <w:tcBorders>
              <w:top w:val="nil"/>
              <w:left w:val="nil"/>
              <w:bottom w:val="single" w:sz="4" w:space="0" w:color="auto"/>
              <w:right w:val="single" w:sz="4" w:space="0" w:color="auto"/>
            </w:tcBorders>
            <w:shd w:val="clear" w:color="000000" w:fill="D9D9D9"/>
            <w:noWrap/>
            <w:vAlign w:val="bottom"/>
            <w:hideMark/>
          </w:tcPr>
          <w:p w14:paraId="4D70A6F4"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959</w:t>
            </w:r>
          </w:p>
        </w:tc>
        <w:tc>
          <w:tcPr>
            <w:tcW w:w="730" w:type="dxa"/>
            <w:tcBorders>
              <w:top w:val="nil"/>
              <w:left w:val="nil"/>
              <w:bottom w:val="single" w:sz="4" w:space="0" w:color="auto"/>
              <w:right w:val="single" w:sz="4" w:space="0" w:color="auto"/>
            </w:tcBorders>
            <w:shd w:val="clear" w:color="000000" w:fill="D9D9D9"/>
            <w:noWrap/>
            <w:vAlign w:val="bottom"/>
            <w:hideMark/>
          </w:tcPr>
          <w:p w14:paraId="75C1C4D7"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282</w:t>
            </w:r>
          </w:p>
        </w:tc>
        <w:tc>
          <w:tcPr>
            <w:tcW w:w="1195" w:type="dxa"/>
            <w:tcBorders>
              <w:top w:val="nil"/>
              <w:left w:val="nil"/>
              <w:bottom w:val="single" w:sz="4" w:space="0" w:color="auto"/>
              <w:right w:val="single" w:sz="4" w:space="0" w:color="auto"/>
            </w:tcBorders>
            <w:shd w:val="clear" w:color="000000" w:fill="D9D9D9"/>
            <w:noWrap/>
            <w:vAlign w:val="bottom"/>
            <w:hideMark/>
          </w:tcPr>
          <w:p w14:paraId="25A96305" w14:textId="77777777" w:rsidR="006A5A78" w:rsidRPr="004774FB" w:rsidRDefault="006A5A78" w:rsidP="00247B52">
            <w:pPr>
              <w:spacing w:after="0" w:line="240" w:lineRule="auto"/>
              <w:jc w:val="center"/>
              <w:rPr>
                <w:rFonts w:ascii="Calibri" w:eastAsia="Times New Roman" w:hAnsi="Calibri" w:cs="Calibri"/>
                <w:b/>
                <w:bCs/>
                <w:i/>
                <w:color w:val="000000"/>
                <w:lang w:eastAsia="el-GR"/>
              </w:rPr>
            </w:pPr>
            <w:r w:rsidRPr="004774FB">
              <w:rPr>
                <w:rFonts w:ascii="Calibri" w:eastAsia="Times New Roman" w:hAnsi="Calibri" w:cs="Calibri"/>
                <w:b/>
                <w:bCs/>
                <w:i/>
                <w:color w:val="000000"/>
                <w:lang w:eastAsia="el-GR"/>
              </w:rPr>
              <w:t>135</w:t>
            </w:r>
          </w:p>
        </w:tc>
        <w:tc>
          <w:tcPr>
            <w:tcW w:w="869" w:type="dxa"/>
            <w:tcBorders>
              <w:top w:val="nil"/>
              <w:left w:val="nil"/>
              <w:bottom w:val="single" w:sz="4" w:space="0" w:color="auto"/>
              <w:right w:val="single" w:sz="4" w:space="0" w:color="auto"/>
            </w:tcBorders>
            <w:shd w:val="clear" w:color="000000" w:fill="D9D9D9"/>
            <w:noWrap/>
            <w:vAlign w:val="bottom"/>
            <w:hideMark/>
          </w:tcPr>
          <w:p w14:paraId="6E48747B"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34,7%</w:t>
            </w:r>
          </w:p>
        </w:tc>
        <w:tc>
          <w:tcPr>
            <w:tcW w:w="1210" w:type="dxa"/>
            <w:tcBorders>
              <w:top w:val="nil"/>
              <w:left w:val="nil"/>
              <w:bottom w:val="single" w:sz="4" w:space="0" w:color="auto"/>
              <w:right w:val="single" w:sz="4" w:space="0" w:color="auto"/>
            </w:tcBorders>
            <w:shd w:val="clear" w:color="000000" w:fill="D9D9D9"/>
            <w:noWrap/>
            <w:vAlign w:val="bottom"/>
            <w:hideMark/>
          </w:tcPr>
          <w:p w14:paraId="6CA97F54" w14:textId="77777777" w:rsidR="006A5A78" w:rsidRPr="004774FB" w:rsidRDefault="006A5A78" w:rsidP="00247B52">
            <w:pPr>
              <w:spacing w:after="0" w:line="240" w:lineRule="auto"/>
              <w:jc w:val="center"/>
              <w:rPr>
                <w:rFonts w:ascii="Calibri" w:eastAsia="Times New Roman" w:hAnsi="Calibri" w:cs="Calibri"/>
                <w:b/>
                <w:bCs/>
                <w:i/>
                <w:color w:val="000000"/>
                <w:lang w:eastAsia="el-GR"/>
              </w:rPr>
            </w:pPr>
            <w:r w:rsidRPr="004774FB">
              <w:rPr>
                <w:rFonts w:ascii="Calibri" w:eastAsia="Times New Roman" w:hAnsi="Calibri" w:cs="Calibri"/>
                <w:b/>
                <w:bCs/>
                <w:i/>
                <w:color w:val="000000"/>
                <w:lang w:eastAsia="el-GR"/>
              </w:rPr>
              <w:t>14,1%</w:t>
            </w:r>
          </w:p>
        </w:tc>
      </w:tr>
      <w:tr w:rsidR="009E748F" w:rsidRPr="00753B97" w14:paraId="3F4A4366" w14:textId="77777777" w:rsidTr="009E748F">
        <w:trPr>
          <w:trHeight w:val="218"/>
        </w:trPr>
        <w:tc>
          <w:tcPr>
            <w:tcW w:w="2406" w:type="dxa"/>
            <w:tcBorders>
              <w:top w:val="nil"/>
              <w:left w:val="single" w:sz="4" w:space="0" w:color="auto"/>
              <w:bottom w:val="single" w:sz="4" w:space="0" w:color="auto"/>
              <w:right w:val="single" w:sz="4" w:space="0" w:color="auto"/>
            </w:tcBorders>
            <w:shd w:val="clear" w:color="auto" w:fill="auto"/>
            <w:noWrap/>
            <w:vAlign w:val="bottom"/>
            <w:hideMark/>
          </w:tcPr>
          <w:p w14:paraId="71034274" w14:textId="77777777" w:rsidR="006A5A78" w:rsidRPr="00753B97" w:rsidRDefault="006A5A78" w:rsidP="00247B52">
            <w:pPr>
              <w:spacing w:after="0" w:line="240" w:lineRule="auto"/>
              <w:jc w:val="right"/>
              <w:rPr>
                <w:rFonts w:ascii="Calibri" w:eastAsia="Times New Roman" w:hAnsi="Calibri" w:cs="Calibri"/>
                <w:i/>
                <w:iCs/>
                <w:color w:val="000000"/>
                <w:sz w:val="20"/>
                <w:szCs w:val="20"/>
                <w:lang w:eastAsia="el-GR"/>
              </w:rPr>
            </w:pPr>
            <w:r w:rsidRPr="00753B97">
              <w:rPr>
                <w:rFonts w:ascii="Calibri" w:eastAsia="Times New Roman" w:hAnsi="Calibri" w:cs="Calibri"/>
                <w:i/>
                <w:iCs/>
                <w:color w:val="000000"/>
                <w:sz w:val="20"/>
                <w:szCs w:val="20"/>
                <w:lang w:eastAsia="el-GR"/>
              </w:rPr>
              <w:t>εκ των οποίων: ΕΝΦΙΑ</w:t>
            </w:r>
          </w:p>
        </w:tc>
        <w:tc>
          <w:tcPr>
            <w:tcW w:w="904" w:type="dxa"/>
            <w:tcBorders>
              <w:top w:val="nil"/>
              <w:left w:val="nil"/>
              <w:bottom w:val="single" w:sz="4" w:space="0" w:color="auto"/>
              <w:right w:val="single" w:sz="4" w:space="0" w:color="auto"/>
            </w:tcBorders>
            <w:shd w:val="clear" w:color="auto" w:fill="auto"/>
            <w:noWrap/>
            <w:vAlign w:val="bottom"/>
            <w:hideMark/>
          </w:tcPr>
          <w:p w14:paraId="251960C4"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774</w:t>
            </w:r>
          </w:p>
        </w:tc>
        <w:tc>
          <w:tcPr>
            <w:tcW w:w="1060" w:type="dxa"/>
            <w:tcBorders>
              <w:top w:val="nil"/>
              <w:left w:val="nil"/>
              <w:bottom w:val="single" w:sz="4" w:space="0" w:color="auto"/>
              <w:right w:val="single" w:sz="4" w:space="0" w:color="auto"/>
            </w:tcBorders>
            <w:shd w:val="clear" w:color="auto" w:fill="auto"/>
            <w:noWrap/>
            <w:vAlign w:val="bottom"/>
            <w:hideMark/>
          </w:tcPr>
          <w:p w14:paraId="59A20629"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1.067</w:t>
            </w:r>
          </w:p>
        </w:tc>
        <w:tc>
          <w:tcPr>
            <w:tcW w:w="1195" w:type="dxa"/>
            <w:tcBorders>
              <w:top w:val="nil"/>
              <w:left w:val="nil"/>
              <w:bottom w:val="single" w:sz="4" w:space="0" w:color="auto"/>
              <w:right w:val="single" w:sz="4" w:space="0" w:color="auto"/>
            </w:tcBorders>
            <w:shd w:val="clear" w:color="auto" w:fill="auto"/>
            <w:noWrap/>
            <w:vAlign w:val="bottom"/>
            <w:hideMark/>
          </w:tcPr>
          <w:p w14:paraId="37D32D42"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936</w:t>
            </w:r>
          </w:p>
        </w:tc>
        <w:tc>
          <w:tcPr>
            <w:tcW w:w="730" w:type="dxa"/>
            <w:tcBorders>
              <w:top w:val="nil"/>
              <w:left w:val="nil"/>
              <w:bottom w:val="single" w:sz="4" w:space="0" w:color="auto"/>
              <w:right w:val="single" w:sz="4" w:space="0" w:color="auto"/>
            </w:tcBorders>
            <w:shd w:val="clear" w:color="auto" w:fill="auto"/>
            <w:noWrap/>
            <w:vAlign w:val="bottom"/>
            <w:hideMark/>
          </w:tcPr>
          <w:p w14:paraId="3B7C1910"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293</w:t>
            </w:r>
          </w:p>
        </w:tc>
        <w:tc>
          <w:tcPr>
            <w:tcW w:w="1195" w:type="dxa"/>
            <w:tcBorders>
              <w:top w:val="nil"/>
              <w:left w:val="nil"/>
              <w:bottom w:val="single" w:sz="4" w:space="0" w:color="auto"/>
              <w:right w:val="single" w:sz="4" w:space="0" w:color="auto"/>
            </w:tcBorders>
            <w:shd w:val="clear" w:color="auto" w:fill="auto"/>
            <w:noWrap/>
            <w:vAlign w:val="bottom"/>
            <w:hideMark/>
          </w:tcPr>
          <w:p w14:paraId="22DA5DB8" w14:textId="77777777" w:rsidR="006A5A78" w:rsidRPr="004774FB" w:rsidRDefault="006A5A78" w:rsidP="00247B52">
            <w:pPr>
              <w:spacing w:after="0" w:line="240" w:lineRule="auto"/>
              <w:jc w:val="center"/>
              <w:rPr>
                <w:rFonts w:ascii="Calibri" w:eastAsia="Times New Roman" w:hAnsi="Calibri" w:cs="Calibri"/>
                <w:i/>
                <w:color w:val="000000"/>
                <w:lang w:eastAsia="el-GR"/>
              </w:rPr>
            </w:pPr>
            <w:r w:rsidRPr="004774FB">
              <w:rPr>
                <w:rFonts w:ascii="Calibri" w:eastAsia="Times New Roman" w:hAnsi="Calibri" w:cs="Calibri"/>
                <w:i/>
                <w:color w:val="000000"/>
                <w:lang w:eastAsia="el-GR"/>
              </w:rPr>
              <w:t>131</w:t>
            </w:r>
          </w:p>
        </w:tc>
        <w:tc>
          <w:tcPr>
            <w:tcW w:w="869" w:type="dxa"/>
            <w:tcBorders>
              <w:top w:val="nil"/>
              <w:left w:val="nil"/>
              <w:bottom w:val="single" w:sz="4" w:space="0" w:color="auto"/>
              <w:right w:val="single" w:sz="4" w:space="0" w:color="auto"/>
            </w:tcBorders>
            <w:shd w:val="clear" w:color="auto" w:fill="auto"/>
            <w:noWrap/>
            <w:vAlign w:val="bottom"/>
            <w:hideMark/>
          </w:tcPr>
          <w:p w14:paraId="2E4A2CB1"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37,9%</w:t>
            </w:r>
          </w:p>
        </w:tc>
        <w:tc>
          <w:tcPr>
            <w:tcW w:w="1210" w:type="dxa"/>
            <w:tcBorders>
              <w:top w:val="nil"/>
              <w:left w:val="nil"/>
              <w:bottom w:val="single" w:sz="4" w:space="0" w:color="auto"/>
              <w:right w:val="single" w:sz="4" w:space="0" w:color="auto"/>
            </w:tcBorders>
            <w:shd w:val="clear" w:color="auto" w:fill="auto"/>
            <w:noWrap/>
            <w:vAlign w:val="bottom"/>
            <w:hideMark/>
          </w:tcPr>
          <w:p w14:paraId="6EA15BC3" w14:textId="77777777" w:rsidR="006A5A78" w:rsidRPr="004774FB" w:rsidRDefault="006A5A78" w:rsidP="00247B52">
            <w:pPr>
              <w:spacing w:after="0" w:line="240" w:lineRule="auto"/>
              <w:jc w:val="center"/>
              <w:rPr>
                <w:rFonts w:ascii="Calibri" w:eastAsia="Times New Roman" w:hAnsi="Calibri" w:cs="Calibri"/>
                <w:i/>
                <w:color w:val="000000"/>
                <w:lang w:eastAsia="el-GR"/>
              </w:rPr>
            </w:pPr>
            <w:r w:rsidRPr="004774FB">
              <w:rPr>
                <w:rFonts w:ascii="Calibri" w:eastAsia="Times New Roman" w:hAnsi="Calibri" w:cs="Calibri"/>
                <w:i/>
                <w:color w:val="000000"/>
                <w:lang w:eastAsia="el-GR"/>
              </w:rPr>
              <w:t>14,0%</w:t>
            </w:r>
          </w:p>
        </w:tc>
      </w:tr>
      <w:tr w:rsidR="009E748F" w:rsidRPr="00753B97" w14:paraId="2D046A5F" w14:textId="77777777" w:rsidTr="009E748F">
        <w:trPr>
          <w:trHeight w:val="218"/>
        </w:trPr>
        <w:tc>
          <w:tcPr>
            <w:tcW w:w="2406" w:type="dxa"/>
            <w:tcBorders>
              <w:top w:val="nil"/>
              <w:left w:val="single" w:sz="4" w:space="0" w:color="auto"/>
              <w:bottom w:val="single" w:sz="4" w:space="0" w:color="auto"/>
              <w:right w:val="single" w:sz="4" w:space="0" w:color="auto"/>
            </w:tcBorders>
            <w:shd w:val="clear" w:color="000000" w:fill="D9D9D9"/>
            <w:noWrap/>
            <w:vAlign w:val="bottom"/>
            <w:hideMark/>
          </w:tcPr>
          <w:p w14:paraId="1F0867C3" w14:textId="77777777" w:rsidR="006A5A78" w:rsidRPr="00753B97" w:rsidRDefault="006A5A78" w:rsidP="00247B52">
            <w:pPr>
              <w:spacing w:after="0" w:line="240" w:lineRule="auto"/>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Δ. Λοιποί φόροι επί παραγωγής</w:t>
            </w:r>
          </w:p>
        </w:tc>
        <w:tc>
          <w:tcPr>
            <w:tcW w:w="904" w:type="dxa"/>
            <w:tcBorders>
              <w:top w:val="nil"/>
              <w:left w:val="nil"/>
              <w:bottom w:val="single" w:sz="4" w:space="0" w:color="auto"/>
              <w:right w:val="single" w:sz="4" w:space="0" w:color="auto"/>
            </w:tcBorders>
            <w:shd w:val="clear" w:color="000000" w:fill="D9D9D9"/>
            <w:noWrap/>
            <w:vAlign w:val="bottom"/>
            <w:hideMark/>
          </w:tcPr>
          <w:p w14:paraId="2081772A"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859</w:t>
            </w:r>
          </w:p>
        </w:tc>
        <w:tc>
          <w:tcPr>
            <w:tcW w:w="1060" w:type="dxa"/>
            <w:tcBorders>
              <w:top w:val="nil"/>
              <w:left w:val="nil"/>
              <w:bottom w:val="single" w:sz="4" w:space="0" w:color="auto"/>
              <w:right w:val="single" w:sz="4" w:space="0" w:color="auto"/>
            </w:tcBorders>
            <w:shd w:val="clear" w:color="000000" w:fill="D9D9D9"/>
            <w:noWrap/>
            <w:vAlign w:val="bottom"/>
            <w:hideMark/>
          </w:tcPr>
          <w:p w14:paraId="21C53923"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858</w:t>
            </w:r>
          </w:p>
        </w:tc>
        <w:tc>
          <w:tcPr>
            <w:tcW w:w="1195" w:type="dxa"/>
            <w:tcBorders>
              <w:top w:val="nil"/>
              <w:left w:val="nil"/>
              <w:bottom w:val="single" w:sz="4" w:space="0" w:color="auto"/>
              <w:right w:val="single" w:sz="4" w:space="0" w:color="auto"/>
            </w:tcBorders>
            <w:shd w:val="clear" w:color="000000" w:fill="D9D9D9"/>
            <w:noWrap/>
            <w:vAlign w:val="bottom"/>
            <w:hideMark/>
          </w:tcPr>
          <w:p w14:paraId="262DB401"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843</w:t>
            </w:r>
          </w:p>
        </w:tc>
        <w:tc>
          <w:tcPr>
            <w:tcW w:w="730" w:type="dxa"/>
            <w:tcBorders>
              <w:top w:val="nil"/>
              <w:left w:val="nil"/>
              <w:bottom w:val="single" w:sz="4" w:space="0" w:color="auto"/>
              <w:right w:val="single" w:sz="4" w:space="0" w:color="auto"/>
            </w:tcBorders>
            <w:shd w:val="clear" w:color="000000" w:fill="D9D9D9"/>
            <w:noWrap/>
            <w:vAlign w:val="bottom"/>
            <w:hideMark/>
          </w:tcPr>
          <w:p w14:paraId="425F5E5C"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-1</w:t>
            </w:r>
          </w:p>
        </w:tc>
        <w:tc>
          <w:tcPr>
            <w:tcW w:w="1195" w:type="dxa"/>
            <w:tcBorders>
              <w:top w:val="nil"/>
              <w:left w:val="nil"/>
              <w:bottom w:val="single" w:sz="4" w:space="0" w:color="auto"/>
              <w:right w:val="single" w:sz="4" w:space="0" w:color="auto"/>
            </w:tcBorders>
            <w:shd w:val="clear" w:color="000000" w:fill="D9D9D9"/>
            <w:noWrap/>
            <w:vAlign w:val="bottom"/>
            <w:hideMark/>
          </w:tcPr>
          <w:p w14:paraId="5FB3BAA6" w14:textId="77777777" w:rsidR="006A5A78" w:rsidRPr="004774FB" w:rsidRDefault="006A5A78" w:rsidP="00247B52">
            <w:pPr>
              <w:spacing w:after="0" w:line="240" w:lineRule="auto"/>
              <w:jc w:val="center"/>
              <w:rPr>
                <w:rFonts w:ascii="Calibri" w:eastAsia="Times New Roman" w:hAnsi="Calibri" w:cs="Calibri"/>
                <w:b/>
                <w:bCs/>
                <w:i/>
                <w:color w:val="000000"/>
                <w:lang w:eastAsia="el-GR"/>
              </w:rPr>
            </w:pPr>
            <w:r w:rsidRPr="004774FB">
              <w:rPr>
                <w:rFonts w:ascii="Calibri" w:eastAsia="Times New Roman" w:hAnsi="Calibri" w:cs="Calibri"/>
                <w:b/>
                <w:bCs/>
                <w:i/>
                <w:color w:val="000000"/>
                <w:lang w:eastAsia="el-GR"/>
              </w:rPr>
              <w:t>15</w:t>
            </w:r>
          </w:p>
        </w:tc>
        <w:tc>
          <w:tcPr>
            <w:tcW w:w="869" w:type="dxa"/>
            <w:tcBorders>
              <w:top w:val="nil"/>
              <w:left w:val="nil"/>
              <w:bottom w:val="single" w:sz="4" w:space="0" w:color="auto"/>
              <w:right w:val="single" w:sz="4" w:space="0" w:color="auto"/>
            </w:tcBorders>
            <w:shd w:val="clear" w:color="000000" w:fill="D9D9D9"/>
            <w:noWrap/>
            <w:vAlign w:val="bottom"/>
            <w:hideMark/>
          </w:tcPr>
          <w:p w14:paraId="0D0C5A3C"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-0,1%</w:t>
            </w:r>
          </w:p>
        </w:tc>
        <w:tc>
          <w:tcPr>
            <w:tcW w:w="1210" w:type="dxa"/>
            <w:tcBorders>
              <w:top w:val="nil"/>
              <w:left w:val="nil"/>
              <w:bottom w:val="single" w:sz="4" w:space="0" w:color="auto"/>
              <w:right w:val="single" w:sz="4" w:space="0" w:color="auto"/>
            </w:tcBorders>
            <w:shd w:val="clear" w:color="000000" w:fill="D9D9D9"/>
            <w:noWrap/>
            <w:vAlign w:val="bottom"/>
            <w:hideMark/>
          </w:tcPr>
          <w:p w14:paraId="2DEE60CD" w14:textId="77777777" w:rsidR="006A5A78" w:rsidRPr="004774FB" w:rsidRDefault="006A5A78" w:rsidP="00247B52">
            <w:pPr>
              <w:spacing w:after="0" w:line="240" w:lineRule="auto"/>
              <w:jc w:val="center"/>
              <w:rPr>
                <w:rFonts w:ascii="Calibri" w:eastAsia="Times New Roman" w:hAnsi="Calibri" w:cs="Calibri"/>
                <w:b/>
                <w:bCs/>
                <w:i/>
                <w:color w:val="000000"/>
                <w:lang w:eastAsia="el-GR"/>
              </w:rPr>
            </w:pPr>
            <w:r w:rsidRPr="004774FB">
              <w:rPr>
                <w:rFonts w:ascii="Calibri" w:eastAsia="Times New Roman" w:hAnsi="Calibri" w:cs="Calibri"/>
                <w:b/>
                <w:bCs/>
                <w:i/>
                <w:color w:val="000000"/>
                <w:lang w:eastAsia="el-GR"/>
              </w:rPr>
              <w:t>1,8%</w:t>
            </w:r>
          </w:p>
        </w:tc>
      </w:tr>
      <w:tr w:rsidR="009E748F" w:rsidRPr="00753B97" w14:paraId="6996FB58" w14:textId="77777777" w:rsidTr="009E748F">
        <w:trPr>
          <w:trHeight w:val="218"/>
        </w:trPr>
        <w:tc>
          <w:tcPr>
            <w:tcW w:w="2406" w:type="dxa"/>
            <w:tcBorders>
              <w:top w:val="nil"/>
              <w:left w:val="single" w:sz="4" w:space="0" w:color="auto"/>
              <w:bottom w:val="single" w:sz="4" w:space="0" w:color="auto"/>
              <w:right w:val="single" w:sz="4" w:space="0" w:color="auto"/>
            </w:tcBorders>
            <w:shd w:val="clear" w:color="000000" w:fill="D9D9D9"/>
            <w:noWrap/>
            <w:vAlign w:val="bottom"/>
            <w:hideMark/>
          </w:tcPr>
          <w:p w14:paraId="1D718672" w14:textId="77777777" w:rsidR="006A5A78" w:rsidRPr="00753B97" w:rsidRDefault="006A5A78" w:rsidP="00247B52">
            <w:pPr>
              <w:spacing w:after="0" w:line="240" w:lineRule="auto"/>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 xml:space="preserve">Ε. Φόρος εισοδήματος (1+2+3) </w:t>
            </w:r>
          </w:p>
        </w:tc>
        <w:tc>
          <w:tcPr>
            <w:tcW w:w="904" w:type="dxa"/>
            <w:tcBorders>
              <w:top w:val="nil"/>
              <w:left w:val="nil"/>
              <w:bottom w:val="single" w:sz="4" w:space="0" w:color="auto"/>
              <w:right w:val="single" w:sz="4" w:space="0" w:color="auto"/>
            </w:tcBorders>
            <w:shd w:val="clear" w:color="000000" w:fill="D9D9D9"/>
            <w:noWrap/>
            <w:vAlign w:val="bottom"/>
            <w:hideMark/>
          </w:tcPr>
          <w:p w14:paraId="273F8547"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10.048</w:t>
            </w:r>
          </w:p>
        </w:tc>
        <w:tc>
          <w:tcPr>
            <w:tcW w:w="1060" w:type="dxa"/>
            <w:tcBorders>
              <w:top w:val="nil"/>
              <w:left w:val="nil"/>
              <w:bottom w:val="single" w:sz="4" w:space="0" w:color="auto"/>
              <w:right w:val="single" w:sz="4" w:space="0" w:color="auto"/>
            </w:tcBorders>
            <w:shd w:val="clear" w:color="000000" w:fill="D9D9D9"/>
            <w:noWrap/>
            <w:vAlign w:val="bottom"/>
            <w:hideMark/>
          </w:tcPr>
          <w:p w14:paraId="4AE8C1AB"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10.662</w:t>
            </w:r>
          </w:p>
        </w:tc>
        <w:tc>
          <w:tcPr>
            <w:tcW w:w="1195" w:type="dxa"/>
            <w:tcBorders>
              <w:top w:val="nil"/>
              <w:left w:val="nil"/>
              <w:bottom w:val="single" w:sz="4" w:space="0" w:color="auto"/>
              <w:right w:val="single" w:sz="4" w:space="0" w:color="auto"/>
            </w:tcBorders>
            <w:shd w:val="clear" w:color="000000" w:fill="D9D9D9"/>
            <w:noWrap/>
            <w:vAlign w:val="bottom"/>
            <w:hideMark/>
          </w:tcPr>
          <w:p w14:paraId="5E5AA4E5"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10.047</w:t>
            </w:r>
          </w:p>
        </w:tc>
        <w:tc>
          <w:tcPr>
            <w:tcW w:w="730" w:type="dxa"/>
            <w:tcBorders>
              <w:top w:val="nil"/>
              <w:left w:val="nil"/>
              <w:bottom w:val="single" w:sz="4" w:space="0" w:color="auto"/>
              <w:right w:val="single" w:sz="4" w:space="0" w:color="auto"/>
            </w:tcBorders>
            <w:shd w:val="clear" w:color="000000" w:fill="D9D9D9"/>
            <w:noWrap/>
            <w:vAlign w:val="bottom"/>
            <w:hideMark/>
          </w:tcPr>
          <w:p w14:paraId="5674D4FC"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614</w:t>
            </w:r>
          </w:p>
        </w:tc>
        <w:tc>
          <w:tcPr>
            <w:tcW w:w="1195" w:type="dxa"/>
            <w:tcBorders>
              <w:top w:val="nil"/>
              <w:left w:val="nil"/>
              <w:bottom w:val="single" w:sz="4" w:space="0" w:color="auto"/>
              <w:right w:val="single" w:sz="4" w:space="0" w:color="auto"/>
            </w:tcBorders>
            <w:shd w:val="clear" w:color="000000" w:fill="D9D9D9"/>
            <w:noWrap/>
            <w:vAlign w:val="bottom"/>
            <w:hideMark/>
          </w:tcPr>
          <w:p w14:paraId="5B1BA1AF" w14:textId="77777777" w:rsidR="006A5A78" w:rsidRPr="004774FB" w:rsidRDefault="006A5A78" w:rsidP="00247B52">
            <w:pPr>
              <w:spacing w:after="0" w:line="240" w:lineRule="auto"/>
              <w:jc w:val="center"/>
              <w:rPr>
                <w:rFonts w:ascii="Calibri" w:eastAsia="Times New Roman" w:hAnsi="Calibri" w:cs="Calibri"/>
                <w:b/>
                <w:bCs/>
                <w:i/>
                <w:color w:val="000000"/>
                <w:lang w:eastAsia="el-GR"/>
              </w:rPr>
            </w:pPr>
            <w:r w:rsidRPr="004774FB">
              <w:rPr>
                <w:rFonts w:ascii="Calibri" w:eastAsia="Times New Roman" w:hAnsi="Calibri" w:cs="Calibri"/>
                <w:b/>
                <w:bCs/>
                <w:i/>
                <w:color w:val="000000"/>
                <w:lang w:eastAsia="el-GR"/>
              </w:rPr>
              <w:t>615</w:t>
            </w:r>
          </w:p>
        </w:tc>
        <w:tc>
          <w:tcPr>
            <w:tcW w:w="869" w:type="dxa"/>
            <w:tcBorders>
              <w:top w:val="nil"/>
              <w:left w:val="nil"/>
              <w:bottom w:val="single" w:sz="4" w:space="0" w:color="auto"/>
              <w:right w:val="single" w:sz="4" w:space="0" w:color="auto"/>
            </w:tcBorders>
            <w:shd w:val="clear" w:color="000000" w:fill="D9D9D9"/>
            <w:noWrap/>
            <w:vAlign w:val="bottom"/>
            <w:hideMark/>
          </w:tcPr>
          <w:p w14:paraId="4E16A41E"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6,1%</w:t>
            </w:r>
          </w:p>
        </w:tc>
        <w:tc>
          <w:tcPr>
            <w:tcW w:w="1210" w:type="dxa"/>
            <w:tcBorders>
              <w:top w:val="nil"/>
              <w:left w:val="nil"/>
              <w:bottom w:val="single" w:sz="4" w:space="0" w:color="auto"/>
              <w:right w:val="single" w:sz="4" w:space="0" w:color="auto"/>
            </w:tcBorders>
            <w:shd w:val="clear" w:color="000000" w:fill="D9D9D9"/>
            <w:noWrap/>
            <w:vAlign w:val="bottom"/>
            <w:hideMark/>
          </w:tcPr>
          <w:p w14:paraId="55A3022A" w14:textId="77777777" w:rsidR="006A5A78" w:rsidRPr="004774FB" w:rsidRDefault="006A5A78" w:rsidP="00247B52">
            <w:pPr>
              <w:spacing w:after="0" w:line="240" w:lineRule="auto"/>
              <w:jc w:val="center"/>
              <w:rPr>
                <w:rFonts w:ascii="Calibri" w:eastAsia="Times New Roman" w:hAnsi="Calibri" w:cs="Calibri"/>
                <w:b/>
                <w:bCs/>
                <w:i/>
                <w:color w:val="000000"/>
                <w:lang w:eastAsia="el-GR"/>
              </w:rPr>
            </w:pPr>
            <w:r w:rsidRPr="004774FB">
              <w:rPr>
                <w:rFonts w:ascii="Calibri" w:eastAsia="Times New Roman" w:hAnsi="Calibri" w:cs="Calibri"/>
                <w:b/>
                <w:bCs/>
                <w:i/>
                <w:color w:val="000000"/>
                <w:lang w:eastAsia="el-GR"/>
              </w:rPr>
              <w:t>6,1%</w:t>
            </w:r>
          </w:p>
        </w:tc>
      </w:tr>
      <w:tr w:rsidR="009E748F" w:rsidRPr="00753B97" w14:paraId="62297E04" w14:textId="77777777" w:rsidTr="009E748F">
        <w:trPr>
          <w:trHeight w:val="383"/>
        </w:trPr>
        <w:tc>
          <w:tcPr>
            <w:tcW w:w="2406" w:type="dxa"/>
            <w:tcBorders>
              <w:top w:val="nil"/>
              <w:left w:val="single" w:sz="4" w:space="0" w:color="auto"/>
              <w:bottom w:val="single" w:sz="4" w:space="0" w:color="auto"/>
              <w:right w:val="single" w:sz="4" w:space="0" w:color="auto"/>
            </w:tcBorders>
            <w:shd w:val="clear" w:color="auto" w:fill="auto"/>
            <w:vAlign w:val="bottom"/>
            <w:hideMark/>
          </w:tcPr>
          <w:p w14:paraId="603542FF" w14:textId="77777777" w:rsidR="006A5A78" w:rsidRPr="00753B97" w:rsidRDefault="006A5A78" w:rsidP="00247B52">
            <w:pPr>
              <w:spacing w:after="0" w:line="240" w:lineRule="auto"/>
              <w:rPr>
                <w:rFonts w:ascii="Calibri" w:eastAsia="Times New Roman" w:hAnsi="Calibri" w:cs="Calibri"/>
                <w:i/>
                <w:iCs/>
                <w:color w:val="000000"/>
                <w:sz w:val="20"/>
                <w:szCs w:val="20"/>
                <w:lang w:eastAsia="el-GR"/>
              </w:rPr>
            </w:pPr>
            <w:r w:rsidRPr="00753B97">
              <w:rPr>
                <w:rFonts w:ascii="Calibri" w:eastAsia="Times New Roman" w:hAnsi="Calibri" w:cs="Calibri"/>
                <w:i/>
                <w:iCs/>
                <w:color w:val="000000"/>
                <w:sz w:val="20"/>
                <w:szCs w:val="20"/>
                <w:lang w:eastAsia="el-GR"/>
              </w:rPr>
              <w:t xml:space="preserve">1.Φόρος εισοδήματος πληρωτέος από Φυσικά Πρόσωπα (ΦΠ) </w:t>
            </w:r>
          </w:p>
        </w:tc>
        <w:tc>
          <w:tcPr>
            <w:tcW w:w="904" w:type="dxa"/>
            <w:tcBorders>
              <w:top w:val="nil"/>
              <w:left w:val="nil"/>
              <w:bottom w:val="single" w:sz="4" w:space="0" w:color="auto"/>
              <w:right w:val="single" w:sz="4" w:space="0" w:color="auto"/>
            </w:tcBorders>
            <w:shd w:val="clear" w:color="auto" w:fill="auto"/>
            <w:noWrap/>
            <w:vAlign w:val="bottom"/>
            <w:hideMark/>
          </w:tcPr>
          <w:p w14:paraId="76581D48"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7.690</w:t>
            </w:r>
          </w:p>
        </w:tc>
        <w:tc>
          <w:tcPr>
            <w:tcW w:w="1060" w:type="dxa"/>
            <w:tcBorders>
              <w:top w:val="nil"/>
              <w:left w:val="nil"/>
              <w:bottom w:val="single" w:sz="4" w:space="0" w:color="auto"/>
              <w:right w:val="single" w:sz="4" w:space="0" w:color="auto"/>
            </w:tcBorders>
            <w:shd w:val="clear" w:color="auto" w:fill="auto"/>
            <w:noWrap/>
            <w:vAlign w:val="bottom"/>
            <w:hideMark/>
          </w:tcPr>
          <w:p w14:paraId="2D683B88"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7.691</w:t>
            </w:r>
          </w:p>
        </w:tc>
        <w:tc>
          <w:tcPr>
            <w:tcW w:w="1195" w:type="dxa"/>
            <w:tcBorders>
              <w:top w:val="nil"/>
              <w:left w:val="nil"/>
              <w:bottom w:val="single" w:sz="4" w:space="0" w:color="auto"/>
              <w:right w:val="single" w:sz="4" w:space="0" w:color="auto"/>
            </w:tcBorders>
            <w:shd w:val="clear" w:color="auto" w:fill="auto"/>
            <w:noWrap/>
            <w:vAlign w:val="bottom"/>
            <w:hideMark/>
          </w:tcPr>
          <w:p w14:paraId="12C0AB4C"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7.429</w:t>
            </w:r>
          </w:p>
        </w:tc>
        <w:tc>
          <w:tcPr>
            <w:tcW w:w="730" w:type="dxa"/>
            <w:tcBorders>
              <w:top w:val="nil"/>
              <w:left w:val="nil"/>
              <w:bottom w:val="single" w:sz="4" w:space="0" w:color="auto"/>
              <w:right w:val="single" w:sz="4" w:space="0" w:color="auto"/>
            </w:tcBorders>
            <w:shd w:val="clear" w:color="auto" w:fill="auto"/>
            <w:noWrap/>
            <w:vAlign w:val="bottom"/>
            <w:hideMark/>
          </w:tcPr>
          <w:p w14:paraId="047842C1"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1</w:t>
            </w:r>
          </w:p>
        </w:tc>
        <w:tc>
          <w:tcPr>
            <w:tcW w:w="1195" w:type="dxa"/>
            <w:tcBorders>
              <w:top w:val="nil"/>
              <w:left w:val="nil"/>
              <w:bottom w:val="single" w:sz="4" w:space="0" w:color="auto"/>
              <w:right w:val="single" w:sz="4" w:space="0" w:color="auto"/>
            </w:tcBorders>
            <w:shd w:val="clear" w:color="auto" w:fill="auto"/>
            <w:noWrap/>
            <w:vAlign w:val="bottom"/>
            <w:hideMark/>
          </w:tcPr>
          <w:p w14:paraId="14A585D0" w14:textId="77777777" w:rsidR="006A5A78" w:rsidRPr="004774FB" w:rsidRDefault="006A5A78" w:rsidP="00247B52">
            <w:pPr>
              <w:spacing w:after="0" w:line="240" w:lineRule="auto"/>
              <w:jc w:val="center"/>
              <w:rPr>
                <w:rFonts w:ascii="Calibri" w:eastAsia="Times New Roman" w:hAnsi="Calibri" w:cs="Calibri"/>
                <w:i/>
                <w:color w:val="000000"/>
                <w:lang w:eastAsia="el-GR"/>
              </w:rPr>
            </w:pPr>
            <w:r w:rsidRPr="004774FB">
              <w:rPr>
                <w:rFonts w:ascii="Calibri" w:eastAsia="Times New Roman" w:hAnsi="Calibri" w:cs="Calibri"/>
                <w:i/>
                <w:color w:val="000000"/>
                <w:lang w:eastAsia="el-GR"/>
              </w:rPr>
              <w:t>262</w:t>
            </w:r>
          </w:p>
        </w:tc>
        <w:tc>
          <w:tcPr>
            <w:tcW w:w="869" w:type="dxa"/>
            <w:tcBorders>
              <w:top w:val="nil"/>
              <w:left w:val="nil"/>
              <w:bottom w:val="single" w:sz="4" w:space="0" w:color="auto"/>
              <w:right w:val="single" w:sz="4" w:space="0" w:color="auto"/>
            </w:tcBorders>
            <w:shd w:val="clear" w:color="auto" w:fill="auto"/>
            <w:noWrap/>
            <w:vAlign w:val="bottom"/>
            <w:hideMark/>
          </w:tcPr>
          <w:p w14:paraId="2D0B29AC"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0,0%</w:t>
            </w:r>
          </w:p>
        </w:tc>
        <w:tc>
          <w:tcPr>
            <w:tcW w:w="1210" w:type="dxa"/>
            <w:tcBorders>
              <w:top w:val="nil"/>
              <w:left w:val="nil"/>
              <w:bottom w:val="single" w:sz="4" w:space="0" w:color="auto"/>
              <w:right w:val="single" w:sz="4" w:space="0" w:color="auto"/>
            </w:tcBorders>
            <w:shd w:val="clear" w:color="auto" w:fill="auto"/>
            <w:noWrap/>
            <w:vAlign w:val="bottom"/>
            <w:hideMark/>
          </w:tcPr>
          <w:p w14:paraId="204A6C4D" w14:textId="77777777" w:rsidR="006A5A78" w:rsidRPr="004774FB" w:rsidRDefault="006A5A78" w:rsidP="00247B52">
            <w:pPr>
              <w:spacing w:after="0" w:line="240" w:lineRule="auto"/>
              <w:jc w:val="center"/>
              <w:rPr>
                <w:rFonts w:ascii="Calibri" w:eastAsia="Times New Roman" w:hAnsi="Calibri" w:cs="Calibri"/>
                <w:i/>
                <w:color w:val="000000"/>
                <w:lang w:eastAsia="el-GR"/>
              </w:rPr>
            </w:pPr>
            <w:r w:rsidRPr="004774FB">
              <w:rPr>
                <w:rFonts w:ascii="Calibri" w:eastAsia="Times New Roman" w:hAnsi="Calibri" w:cs="Calibri"/>
                <w:i/>
                <w:color w:val="000000"/>
                <w:lang w:eastAsia="el-GR"/>
              </w:rPr>
              <w:t>3,5%</w:t>
            </w:r>
          </w:p>
        </w:tc>
      </w:tr>
      <w:tr w:rsidR="009E748F" w:rsidRPr="00753B97" w14:paraId="3476D1E0" w14:textId="77777777" w:rsidTr="009E748F">
        <w:trPr>
          <w:trHeight w:val="383"/>
        </w:trPr>
        <w:tc>
          <w:tcPr>
            <w:tcW w:w="2406" w:type="dxa"/>
            <w:tcBorders>
              <w:top w:val="nil"/>
              <w:left w:val="single" w:sz="4" w:space="0" w:color="auto"/>
              <w:bottom w:val="single" w:sz="4" w:space="0" w:color="auto"/>
              <w:right w:val="single" w:sz="4" w:space="0" w:color="auto"/>
            </w:tcBorders>
            <w:shd w:val="clear" w:color="auto" w:fill="auto"/>
            <w:vAlign w:val="bottom"/>
            <w:hideMark/>
          </w:tcPr>
          <w:p w14:paraId="6CD45A8F" w14:textId="77777777" w:rsidR="006A5A78" w:rsidRPr="00753B97" w:rsidRDefault="006A5A78" w:rsidP="00247B52">
            <w:pPr>
              <w:spacing w:after="0" w:line="240" w:lineRule="auto"/>
              <w:rPr>
                <w:rFonts w:ascii="Calibri" w:eastAsia="Times New Roman" w:hAnsi="Calibri" w:cs="Calibri"/>
                <w:i/>
                <w:iCs/>
                <w:color w:val="000000"/>
                <w:sz w:val="20"/>
                <w:szCs w:val="20"/>
                <w:lang w:eastAsia="el-GR"/>
              </w:rPr>
            </w:pPr>
            <w:r w:rsidRPr="00753B97">
              <w:rPr>
                <w:rFonts w:ascii="Calibri" w:eastAsia="Times New Roman" w:hAnsi="Calibri" w:cs="Calibri"/>
                <w:i/>
                <w:iCs/>
                <w:color w:val="000000"/>
                <w:sz w:val="20"/>
                <w:szCs w:val="20"/>
                <w:lang w:eastAsia="el-GR"/>
              </w:rPr>
              <w:t>2. Φόρος εισοδήματος πληρωτέος από εταιρείες (ΝΠ)</w:t>
            </w:r>
          </w:p>
        </w:tc>
        <w:tc>
          <w:tcPr>
            <w:tcW w:w="904" w:type="dxa"/>
            <w:tcBorders>
              <w:top w:val="nil"/>
              <w:left w:val="nil"/>
              <w:bottom w:val="single" w:sz="4" w:space="0" w:color="auto"/>
              <w:right w:val="single" w:sz="4" w:space="0" w:color="auto"/>
            </w:tcBorders>
            <w:shd w:val="clear" w:color="auto" w:fill="auto"/>
            <w:noWrap/>
            <w:vAlign w:val="bottom"/>
            <w:hideMark/>
          </w:tcPr>
          <w:p w14:paraId="29A30A80"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1.539</w:t>
            </w:r>
          </w:p>
        </w:tc>
        <w:tc>
          <w:tcPr>
            <w:tcW w:w="1060" w:type="dxa"/>
            <w:tcBorders>
              <w:top w:val="nil"/>
              <w:left w:val="nil"/>
              <w:bottom w:val="single" w:sz="4" w:space="0" w:color="auto"/>
              <w:right w:val="single" w:sz="4" w:space="0" w:color="auto"/>
            </w:tcBorders>
            <w:shd w:val="clear" w:color="auto" w:fill="auto"/>
            <w:noWrap/>
            <w:vAlign w:val="bottom"/>
            <w:hideMark/>
          </w:tcPr>
          <w:p w14:paraId="6ED68F5D"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2.119</w:t>
            </w:r>
          </w:p>
        </w:tc>
        <w:tc>
          <w:tcPr>
            <w:tcW w:w="1195" w:type="dxa"/>
            <w:tcBorders>
              <w:top w:val="nil"/>
              <w:left w:val="nil"/>
              <w:bottom w:val="single" w:sz="4" w:space="0" w:color="auto"/>
              <w:right w:val="single" w:sz="4" w:space="0" w:color="auto"/>
            </w:tcBorders>
            <w:shd w:val="clear" w:color="auto" w:fill="auto"/>
            <w:noWrap/>
            <w:vAlign w:val="bottom"/>
            <w:hideMark/>
          </w:tcPr>
          <w:p w14:paraId="3846CBD6"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1.773</w:t>
            </w:r>
          </w:p>
        </w:tc>
        <w:tc>
          <w:tcPr>
            <w:tcW w:w="730" w:type="dxa"/>
            <w:tcBorders>
              <w:top w:val="nil"/>
              <w:left w:val="nil"/>
              <w:bottom w:val="single" w:sz="4" w:space="0" w:color="auto"/>
              <w:right w:val="single" w:sz="4" w:space="0" w:color="auto"/>
            </w:tcBorders>
            <w:shd w:val="clear" w:color="auto" w:fill="auto"/>
            <w:noWrap/>
            <w:vAlign w:val="bottom"/>
            <w:hideMark/>
          </w:tcPr>
          <w:p w14:paraId="0F069DB2"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580</w:t>
            </w:r>
          </w:p>
        </w:tc>
        <w:tc>
          <w:tcPr>
            <w:tcW w:w="1195" w:type="dxa"/>
            <w:tcBorders>
              <w:top w:val="nil"/>
              <w:left w:val="nil"/>
              <w:bottom w:val="single" w:sz="4" w:space="0" w:color="auto"/>
              <w:right w:val="single" w:sz="4" w:space="0" w:color="auto"/>
            </w:tcBorders>
            <w:shd w:val="clear" w:color="auto" w:fill="auto"/>
            <w:noWrap/>
            <w:vAlign w:val="bottom"/>
            <w:hideMark/>
          </w:tcPr>
          <w:p w14:paraId="0BDC7E0C" w14:textId="77777777" w:rsidR="006A5A78" w:rsidRPr="004774FB" w:rsidRDefault="006A5A78" w:rsidP="00247B52">
            <w:pPr>
              <w:spacing w:after="0" w:line="240" w:lineRule="auto"/>
              <w:jc w:val="center"/>
              <w:rPr>
                <w:rFonts w:ascii="Calibri" w:eastAsia="Times New Roman" w:hAnsi="Calibri" w:cs="Calibri"/>
                <w:i/>
                <w:color w:val="000000"/>
                <w:lang w:eastAsia="el-GR"/>
              </w:rPr>
            </w:pPr>
            <w:r w:rsidRPr="004774FB">
              <w:rPr>
                <w:rFonts w:ascii="Calibri" w:eastAsia="Times New Roman" w:hAnsi="Calibri" w:cs="Calibri"/>
                <w:i/>
                <w:color w:val="000000"/>
                <w:lang w:eastAsia="el-GR"/>
              </w:rPr>
              <w:t>346</w:t>
            </w:r>
          </w:p>
        </w:tc>
        <w:tc>
          <w:tcPr>
            <w:tcW w:w="869" w:type="dxa"/>
            <w:tcBorders>
              <w:top w:val="nil"/>
              <w:left w:val="nil"/>
              <w:bottom w:val="single" w:sz="4" w:space="0" w:color="auto"/>
              <w:right w:val="single" w:sz="4" w:space="0" w:color="auto"/>
            </w:tcBorders>
            <w:shd w:val="clear" w:color="auto" w:fill="auto"/>
            <w:noWrap/>
            <w:vAlign w:val="bottom"/>
            <w:hideMark/>
          </w:tcPr>
          <w:p w14:paraId="24DC57AC"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37,7%</w:t>
            </w:r>
          </w:p>
        </w:tc>
        <w:tc>
          <w:tcPr>
            <w:tcW w:w="1210" w:type="dxa"/>
            <w:tcBorders>
              <w:top w:val="nil"/>
              <w:left w:val="nil"/>
              <w:bottom w:val="single" w:sz="4" w:space="0" w:color="auto"/>
              <w:right w:val="single" w:sz="4" w:space="0" w:color="auto"/>
            </w:tcBorders>
            <w:shd w:val="clear" w:color="auto" w:fill="auto"/>
            <w:noWrap/>
            <w:vAlign w:val="bottom"/>
            <w:hideMark/>
          </w:tcPr>
          <w:p w14:paraId="341C15A3" w14:textId="77777777" w:rsidR="006A5A78" w:rsidRPr="004774FB" w:rsidRDefault="006A5A78" w:rsidP="00247B52">
            <w:pPr>
              <w:spacing w:after="0" w:line="240" w:lineRule="auto"/>
              <w:jc w:val="center"/>
              <w:rPr>
                <w:rFonts w:ascii="Calibri" w:eastAsia="Times New Roman" w:hAnsi="Calibri" w:cs="Calibri"/>
                <w:i/>
                <w:color w:val="000000"/>
                <w:lang w:eastAsia="el-GR"/>
              </w:rPr>
            </w:pPr>
            <w:r w:rsidRPr="004774FB">
              <w:rPr>
                <w:rFonts w:ascii="Calibri" w:eastAsia="Times New Roman" w:hAnsi="Calibri" w:cs="Calibri"/>
                <w:i/>
                <w:color w:val="000000"/>
                <w:lang w:eastAsia="el-GR"/>
              </w:rPr>
              <w:t>19,5%</w:t>
            </w:r>
          </w:p>
        </w:tc>
      </w:tr>
      <w:tr w:rsidR="009E748F" w:rsidRPr="00753B97" w14:paraId="17842733" w14:textId="77777777" w:rsidTr="009E748F">
        <w:trPr>
          <w:trHeight w:val="218"/>
        </w:trPr>
        <w:tc>
          <w:tcPr>
            <w:tcW w:w="2406" w:type="dxa"/>
            <w:tcBorders>
              <w:top w:val="nil"/>
              <w:left w:val="single" w:sz="4" w:space="0" w:color="auto"/>
              <w:bottom w:val="single" w:sz="4" w:space="0" w:color="auto"/>
              <w:right w:val="single" w:sz="4" w:space="0" w:color="auto"/>
            </w:tcBorders>
            <w:shd w:val="clear" w:color="auto" w:fill="auto"/>
            <w:noWrap/>
            <w:vAlign w:val="bottom"/>
            <w:hideMark/>
          </w:tcPr>
          <w:p w14:paraId="4D5E590A" w14:textId="77777777" w:rsidR="006A5A78" w:rsidRPr="00753B97" w:rsidRDefault="006A5A78" w:rsidP="00247B52">
            <w:pPr>
              <w:spacing w:after="0" w:line="240" w:lineRule="auto"/>
              <w:rPr>
                <w:rFonts w:ascii="Calibri" w:eastAsia="Times New Roman" w:hAnsi="Calibri" w:cs="Calibri"/>
                <w:i/>
                <w:iCs/>
                <w:color w:val="000000"/>
                <w:sz w:val="20"/>
                <w:szCs w:val="20"/>
                <w:lang w:eastAsia="el-GR"/>
              </w:rPr>
            </w:pPr>
            <w:r w:rsidRPr="00753B97">
              <w:rPr>
                <w:rFonts w:ascii="Calibri" w:eastAsia="Times New Roman" w:hAnsi="Calibri" w:cs="Calibri"/>
                <w:i/>
                <w:iCs/>
                <w:color w:val="000000"/>
                <w:sz w:val="20"/>
                <w:szCs w:val="20"/>
                <w:lang w:eastAsia="el-GR"/>
              </w:rPr>
              <w:t>3. Λοιποί φόροι εισοδήματος</w:t>
            </w:r>
          </w:p>
        </w:tc>
        <w:tc>
          <w:tcPr>
            <w:tcW w:w="904" w:type="dxa"/>
            <w:tcBorders>
              <w:top w:val="nil"/>
              <w:left w:val="nil"/>
              <w:bottom w:val="single" w:sz="4" w:space="0" w:color="auto"/>
              <w:right w:val="single" w:sz="4" w:space="0" w:color="auto"/>
            </w:tcBorders>
            <w:shd w:val="clear" w:color="auto" w:fill="auto"/>
            <w:noWrap/>
            <w:vAlign w:val="bottom"/>
            <w:hideMark/>
          </w:tcPr>
          <w:p w14:paraId="378AA63B"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818</w:t>
            </w:r>
          </w:p>
        </w:tc>
        <w:tc>
          <w:tcPr>
            <w:tcW w:w="1060" w:type="dxa"/>
            <w:tcBorders>
              <w:top w:val="nil"/>
              <w:left w:val="nil"/>
              <w:bottom w:val="single" w:sz="4" w:space="0" w:color="auto"/>
              <w:right w:val="single" w:sz="4" w:space="0" w:color="auto"/>
            </w:tcBorders>
            <w:shd w:val="clear" w:color="auto" w:fill="auto"/>
            <w:noWrap/>
            <w:vAlign w:val="bottom"/>
            <w:hideMark/>
          </w:tcPr>
          <w:p w14:paraId="5D17F7DA"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852</w:t>
            </w:r>
          </w:p>
        </w:tc>
        <w:tc>
          <w:tcPr>
            <w:tcW w:w="1195" w:type="dxa"/>
            <w:tcBorders>
              <w:top w:val="nil"/>
              <w:left w:val="nil"/>
              <w:bottom w:val="single" w:sz="4" w:space="0" w:color="auto"/>
              <w:right w:val="single" w:sz="4" w:space="0" w:color="auto"/>
            </w:tcBorders>
            <w:shd w:val="clear" w:color="auto" w:fill="auto"/>
            <w:noWrap/>
            <w:vAlign w:val="bottom"/>
            <w:hideMark/>
          </w:tcPr>
          <w:p w14:paraId="7B8C5EE7"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844</w:t>
            </w:r>
          </w:p>
        </w:tc>
        <w:tc>
          <w:tcPr>
            <w:tcW w:w="730" w:type="dxa"/>
            <w:tcBorders>
              <w:top w:val="nil"/>
              <w:left w:val="nil"/>
              <w:bottom w:val="single" w:sz="4" w:space="0" w:color="auto"/>
              <w:right w:val="single" w:sz="4" w:space="0" w:color="auto"/>
            </w:tcBorders>
            <w:shd w:val="clear" w:color="auto" w:fill="auto"/>
            <w:noWrap/>
            <w:vAlign w:val="bottom"/>
            <w:hideMark/>
          </w:tcPr>
          <w:p w14:paraId="5321B5A9"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34</w:t>
            </w:r>
          </w:p>
        </w:tc>
        <w:tc>
          <w:tcPr>
            <w:tcW w:w="1195" w:type="dxa"/>
            <w:tcBorders>
              <w:top w:val="nil"/>
              <w:left w:val="nil"/>
              <w:bottom w:val="single" w:sz="4" w:space="0" w:color="auto"/>
              <w:right w:val="single" w:sz="4" w:space="0" w:color="auto"/>
            </w:tcBorders>
            <w:shd w:val="clear" w:color="auto" w:fill="auto"/>
            <w:noWrap/>
            <w:vAlign w:val="bottom"/>
            <w:hideMark/>
          </w:tcPr>
          <w:p w14:paraId="4F42E40B" w14:textId="77777777" w:rsidR="006A5A78" w:rsidRPr="004774FB" w:rsidRDefault="006A5A78" w:rsidP="00247B52">
            <w:pPr>
              <w:spacing w:after="0" w:line="240" w:lineRule="auto"/>
              <w:jc w:val="center"/>
              <w:rPr>
                <w:rFonts w:ascii="Calibri" w:eastAsia="Times New Roman" w:hAnsi="Calibri" w:cs="Calibri"/>
                <w:i/>
                <w:color w:val="000000"/>
                <w:lang w:eastAsia="el-GR"/>
              </w:rPr>
            </w:pPr>
            <w:r w:rsidRPr="004774FB">
              <w:rPr>
                <w:rFonts w:ascii="Calibri" w:eastAsia="Times New Roman" w:hAnsi="Calibri" w:cs="Calibri"/>
                <w:i/>
                <w:color w:val="000000"/>
                <w:lang w:eastAsia="el-GR"/>
              </w:rPr>
              <w:t>8</w:t>
            </w:r>
          </w:p>
        </w:tc>
        <w:tc>
          <w:tcPr>
            <w:tcW w:w="869" w:type="dxa"/>
            <w:tcBorders>
              <w:top w:val="nil"/>
              <w:left w:val="nil"/>
              <w:bottom w:val="single" w:sz="4" w:space="0" w:color="auto"/>
              <w:right w:val="single" w:sz="4" w:space="0" w:color="auto"/>
            </w:tcBorders>
            <w:shd w:val="clear" w:color="auto" w:fill="auto"/>
            <w:noWrap/>
            <w:vAlign w:val="bottom"/>
            <w:hideMark/>
          </w:tcPr>
          <w:p w14:paraId="5433570E"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4,2%</w:t>
            </w:r>
          </w:p>
        </w:tc>
        <w:tc>
          <w:tcPr>
            <w:tcW w:w="1210" w:type="dxa"/>
            <w:tcBorders>
              <w:top w:val="nil"/>
              <w:left w:val="nil"/>
              <w:bottom w:val="single" w:sz="4" w:space="0" w:color="auto"/>
              <w:right w:val="single" w:sz="4" w:space="0" w:color="auto"/>
            </w:tcBorders>
            <w:shd w:val="clear" w:color="auto" w:fill="auto"/>
            <w:noWrap/>
            <w:vAlign w:val="bottom"/>
            <w:hideMark/>
          </w:tcPr>
          <w:p w14:paraId="509FA4DA" w14:textId="77777777" w:rsidR="006A5A78" w:rsidRPr="004774FB" w:rsidRDefault="006A5A78" w:rsidP="00247B52">
            <w:pPr>
              <w:spacing w:after="0" w:line="240" w:lineRule="auto"/>
              <w:jc w:val="center"/>
              <w:rPr>
                <w:rFonts w:ascii="Calibri" w:eastAsia="Times New Roman" w:hAnsi="Calibri" w:cs="Calibri"/>
                <w:i/>
                <w:color w:val="000000"/>
                <w:lang w:eastAsia="el-GR"/>
              </w:rPr>
            </w:pPr>
            <w:r w:rsidRPr="004774FB">
              <w:rPr>
                <w:rFonts w:ascii="Calibri" w:eastAsia="Times New Roman" w:hAnsi="Calibri" w:cs="Calibri"/>
                <w:i/>
                <w:color w:val="000000"/>
                <w:lang w:eastAsia="el-GR"/>
              </w:rPr>
              <w:t>0,9%</w:t>
            </w:r>
          </w:p>
        </w:tc>
      </w:tr>
      <w:tr w:rsidR="009E748F" w:rsidRPr="00753B97" w14:paraId="6CE4DBEC" w14:textId="77777777" w:rsidTr="009E748F">
        <w:trPr>
          <w:trHeight w:val="218"/>
        </w:trPr>
        <w:tc>
          <w:tcPr>
            <w:tcW w:w="2406" w:type="dxa"/>
            <w:tcBorders>
              <w:top w:val="nil"/>
              <w:left w:val="single" w:sz="4" w:space="0" w:color="auto"/>
              <w:bottom w:val="single" w:sz="4" w:space="0" w:color="auto"/>
              <w:right w:val="single" w:sz="4" w:space="0" w:color="auto"/>
            </w:tcBorders>
            <w:shd w:val="clear" w:color="000000" w:fill="D9D9D9"/>
            <w:noWrap/>
            <w:vAlign w:val="bottom"/>
            <w:hideMark/>
          </w:tcPr>
          <w:p w14:paraId="43E08780" w14:textId="77777777" w:rsidR="006A5A78" w:rsidRPr="00753B97" w:rsidRDefault="006A5A78" w:rsidP="00247B52">
            <w:pPr>
              <w:spacing w:after="0" w:line="240" w:lineRule="auto"/>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 xml:space="preserve">ΣΤ. Φόροι κεφαλαίου </w:t>
            </w:r>
          </w:p>
        </w:tc>
        <w:tc>
          <w:tcPr>
            <w:tcW w:w="904" w:type="dxa"/>
            <w:tcBorders>
              <w:top w:val="nil"/>
              <w:left w:val="nil"/>
              <w:bottom w:val="single" w:sz="4" w:space="0" w:color="auto"/>
              <w:right w:val="single" w:sz="4" w:space="0" w:color="auto"/>
            </w:tcBorders>
            <w:shd w:val="clear" w:color="000000" w:fill="D9D9D9"/>
            <w:noWrap/>
            <w:vAlign w:val="bottom"/>
            <w:hideMark/>
          </w:tcPr>
          <w:p w14:paraId="17BB0747"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134</w:t>
            </w:r>
          </w:p>
        </w:tc>
        <w:tc>
          <w:tcPr>
            <w:tcW w:w="1060" w:type="dxa"/>
            <w:tcBorders>
              <w:top w:val="nil"/>
              <w:left w:val="nil"/>
              <w:bottom w:val="single" w:sz="4" w:space="0" w:color="auto"/>
              <w:right w:val="single" w:sz="4" w:space="0" w:color="auto"/>
            </w:tcBorders>
            <w:shd w:val="clear" w:color="000000" w:fill="D9D9D9"/>
            <w:noWrap/>
            <w:vAlign w:val="bottom"/>
            <w:hideMark/>
          </w:tcPr>
          <w:p w14:paraId="7D12F718"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140</w:t>
            </w:r>
          </w:p>
        </w:tc>
        <w:tc>
          <w:tcPr>
            <w:tcW w:w="1195" w:type="dxa"/>
            <w:tcBorders>
              <w:top w:val="nil"/>
              <w:left w:val="nil"/>
              <w:bottom w:val="single" w:sz="4" w:space="0" w:color="auto"/>
              <w:right w:val="single" w:sz="4" w:space="0" w:color="auto"/>
            </w:tcBorders>
            <w:shd w:val="clear" w:color="000000" w:fill="D9D9D9"/>
            <w:noWrap/>
            <w:vAlign w:val="bottom"/>
            <w:hideMark/>
          </w:tcPr>
          <w:p w14:paraId="5B9E5EC9"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159</w:t>
            </w:r>
          </w:p>
        </w:tc>
        <w:tc>
          <w:tcPr>
            <w:tcW w:w="730" w:type="dxa"/>
            <w:tcBorders>
              <w:top w:val="nil"/>
              <w:left w:val="nil"/>
              <w:bottom w:val="single" w:sz="4" w:space="0" w:color="auto"/>
              <w:right w:val="single" w:sz="4" w:space="0" w:color="auto"/>
            </w:tcBorders>
            <w:shd w:val="clear" w:color="000000" w:fill="D9D9D9"/>
            <w:noWrap/>
            <w:vAlign w:val="bottom"/>
            <w:hideMark/>
          </w:tcPr>
          <w:p w14:paraId="65A723A7"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6</w:t>
            </w:r>
          </w:p>
        </w:tc>
        <w:tc>
          <w:tcPr>
            <w:tcW w:w="1195" w:type="dxa"/>
            <w:tcBorders>
              <w:top w:val="nil"/>
              <w:left w:val="nil"/>
              <w:bottom w:val="single" w:sz="4" w:space="0" w:color="auto"/>
              <w:right w:val="single" w:sz="4" w:space="0" w:color="auto"/>
            </w:tcBorders>
            <w:shd w:val="clear" w:color="000000" w:fill="D9D9D9"/>
            <w:noWrap/>
            <w:vAlign w:val="bottom"/>
            <w:hideMark/>
          </w:tcPr>
          <w:p w14:paraId="580FA751" w14:textId="77777777" w:rsidR="006A5A78" w:rsidRPr="004774FB" w:rsidRDefault="006A5A78" w:rsidP="00247B52">
            <w:pPr>
              <w:spacing w:after="0" w:line="240" w:lineRule="auto"/>
              <w:jc w:val="center"/>
              <w:rPr>
                <w:rFonts w:ascii="Calibri" w:eastAsia="Times New Roman" w:hAnsi="Calibri" w:cs="Calibri"/>
                <w:b/>
                <w:bCs/>
                <w:i/>
                <w:color w:val="000000"/>
                <w:lang w:eastAsia="el-GR"/>
              </w:rPr>
            </w:pPr>
            <w:r w:rsidRPr="004774FB">
              <w:rPr>
                <w:rFonts w:ascii="Calibri" w:eastAsia="Times New Roman" w:hAnsi="Calibri" w:cs="Calibri"/>
                <w:b/>
                <w:bCs/>
                <w:i/>
                <w:color w:val="000000"/>
                <w:lang w:eastAsia="el-GR"/>
              </w:rPr>
              <w:t>-19</w:t>
            </w:r>
          </w:p>
        </w:tc>
        <w:tc>
          <w:tcPr>
            <w:tcW w:w="869" w:type="dxa"/>
            <w:tcBorders>
              <w:top w:val="nil"/>
              <w:left w:val="nil"/>
              <w:bottom w:val="single" w:sz="4" w:space="0" w:color="auto"/>
              <w:right w:val="single" w:sz="4" w:space="0" w:color="auto"/>
            </w:tcBorders>
            <w:shd w:val="clear" w:color="000000" w:fill="D9D9D9"/>
            <w:noWrap/>
            <w:vAlign w:val="bottom"/>
            <w:hideMark/>
          </w:tcPr>
          <w:p w14:paraId="6B92AC9C"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4,5%</w:t>
            </w:r>
          </w:p>
        </w:tc>
        <w:tc>
          <w:tcPr>
            <w:tcW w:w="1210" w:type="dxa"/>
            <w:tcBorders>
              <w:top w:val="nil"/>
              <w:left w:val="nil"/>
              <w:bottom w:val="single" w:sz="4" w:space="0" w:color="auto"/>
              <w:right w:val="single" w:sz="4" w:space="0" w:color="auto"/>
            </w:tcBorders>
            <w:shd w:val="clear" w:color="000000" w:fill="D9D9D9"/>
            <w:noWrap/>
            <w:vAlign w:val="bottom"/>
            <w:hideMark/>
          </w:tcPr>
          <w:p w14:paraId="74F4C2DF" w14:textId="77777777" w:rsidR="006A5A78" w:rsidRPr="004774FB" w:rsidRDefault="006A5A78" w:rsidP="00247B52">
            <w:pPr>
              <w:spacing w:after="0" w:line="240" w:lineRule="auto"/>
              <w:jc w:val="center"/>
              <w:rPr>
                <w:rFonts w:ascii="Calibri" w:eastAsia="Times New Roman" w:hAnsi="Calibri" w:cs="Calibri"/>
                <w:b/>
                <w:bCs/>
                <w:i/>
                <w:color w:val="000000"/>
                <w:lang w:eastAsia="el-GR"/>
              </w:rPr>
            </w:pPr>
            <w:r w:rsidRPr="004774FB">
              <w:rPr>
                <w:rFonts w:ascii="Calibri" w:eastAsia="Times New Roman" w:hAnsi="Calibri" w:cs="Calibri"/>
                <w:b/>
                <w:bCs/>
                <w:i/>
                <w:color w:val="000000"/>
                <w:lang w:eastAsia="el-GR"/>
              </w:rPr>
              <w:t>-11,9%</w:t>
            </w:r>
          </w:p>
        </w:tc>
      </w:tr>
      <w:tr w:rsidR="009E748F" w:rsidRPr="00753B97" w14:paraId="5B81DD48" w14:textId="77777777" w:rsidTr="009E748F">
        <w:trPr>
          <w:trHeight w:val="218"/>
        </w:trPr>
        <w:tc>
          <w:tcPr>
            <w:tcW w:w="2406" w:type="dxa"/>
            <w:tcBorders>
              <w:top w:val="nil"/>
              <w:left w:val="single" w:sz="4" w:space="0" w:color="auto"/>
              <w:bottom w:val="single" w:sz="4" w:space="0" w:color="auto"/>
              <w:right w:val="single" w:sz="4" w:space="0" w:color="auto"/>
            </w:tcBorders>
            <w:shd w:val="clear" w:color="000000" w:fill="D9D9D9"/>
            <w:noWrap/>
            <w:vAlign w:val="bottom"/>
            <w:hideMark/>
          </w:tcPr>
          <w:p w14:paraId="22D5D0C4" w14:textId="77777777" w:rsidR="006A5A78" w:rsidRPr="00753B97" w:rsidRDefault="006A5A78" w:rsidP="00247B52">
            <w:pPr>
              <w:spacing w:after="0" w:line="240" w:lineRule="auto"/>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 xml:space="preserve">Ζ. Λοιποί τρέχοντες φόροι </w:t>
            </w:r>
          </w:p>
        </w:tc>
        <w:tc>
          <w:tcPr>
            <w:tcW w:w="904" w:type="dxa"/>
            <w:tcBorders>
              <w:top w:val="nil"/>
              <w:left w:val="nil"/>
              <w:bottom w:val="single" w:sz="4" w:space="0" w:color="auto"/>
              <w:right w:val="single" w:sz="4" w:space="0" w:color="auto"/>
            </w:tcBorders>
            <w:shd w:val="clear" w:color="000000" w:fill="D9D9D9"/>
            <w:noWrap/>
            <w:vAlign w:val="bottom"/>
            <w:hideMark/>
          </w:tcPr>
          <w:p w14:paraId="7FB6B58F"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1.053</w:t>
            </w:r>
          </w:p>
        </w:tc>
        <w:tc>
          <w:tcPr>
            <w:tcW w:w="1060" w:type="dxa"/>
            <w:tcBorders>
              <w:top w:val="nil"/>
              <w:left w:val="nil"/>
              <w:bottom w:val="single" w:sz="4" w:space="0" w:color="auto"/>
              <w:right w:val="single" w:sz="4" w:space="0" w:color="auto"/>
            </w:tcBorders>
            <w:shd w:val="clear" w:color="000000" w:fill="D9D9D9"/>
            <w:noWrap/>
            <w:vAlign w:val="bottom"/>
            <w:hideMark/>
          </w:tcPr>
          <w:p w14:paraId="1F601E4C"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1.446</w:t>
            </w:r>
          </w:p>
        </w:tc>
        <w:tc>
          <w:tcPr>
            <w:tcW w:w="1195" w:type="dxa"/>
            <w:tcBorders>
              <w:top w:val="nil"/>
              <w:left w:val="nil"/>
              <w:bottom w:val="single" w:sz="4" w:space="0" w:color="auto"/>
              <w:right w:val="single" w:sz="4" w:space="0" w:color="auto"/>
            </w:tcBorders>
            <w:shd w:val="clear" w:color="000000" w:fill="D9D9D9"/>
            <w:noWrap/>
            <w:vAlign w:val="bottom"/>
            <w:hideMark/>
          </w:tcPr>
          <w:p w14:paraId="4576FA17"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1.637</w:t>
            </w:r>
          </w:p>
        </w:tc>
        <w:tc>
          <w:tcPr>
            <w:tcW w:w="730" w:type="dxa"/>
            <w:tcBorders>
              <w:top w:val="nil"/>
              <w:left w:val="nil"/>
              <w:bottom w:val="single" w:sz="4" w:space="0" w:color="auto"/>
              <w:right w:val="single" w:sz="4" w:space="0" w:color="auto"/>
            </w:tcBorders>
            <w:shd w:val="clear" w:color="000000" w:fill="D9D9D9"/>
            <w:noWrap/>
            <w:vAlign w:val="bottom"/>
            <w:hideMark/>
          </w:tcPr>
          <w:p w14:paraId="00650BD7"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393</w:t>
            </w:r>
          </w:p>
        </w:tc>
        <w:tc>
          <w:tcPr>
            <w:tcW w:w="1195" w:type="dxa"/>
            <w:tcBorders>
              <w:top w:val="nil"/>
              <w:left w:val="nil"/>
              <w:bottom w:val="single" w:sz="4" w:space="0" w:color="auto"/>
              <w:right w:val="single" w:sz="4" w:space="0" w:color="auto"/>
            </w:tcBorders>
            <w:shd w:val="clear" w:color="000000" w:fill="D9D9D9"/>
            <w:noWrap/>
            <w:vAlign w:val="bottom"/>
            <w:hideMark/>
          </w:tcPr>
          <w:p w14:paraId="3F83F585" w14:textId="77777777" w:rsidR="006A5A78" w:rsidRPr="004774FB" w:rsidRDefault="006A5A78" w:rsidP="00247B52">
            <w:pPr>
              <w:spacing w:after="0" w:line="240" w:lineRule="auto"/>
              <w:jc w:val="center"/>
              <w:rPr>
                <w:rFonts w:ascii="Calibri" w:eastAsia="Times New Roman" w:hAnsi="Calibri" w:cs="Calibri"/>
                <w:b/>
                <w:bCs/>
                <w:i/>
                <w:color w:val="000000"/>
                <w:lang w:eastAsia="el-GR"/>
              </w:rPr>
            </w:pPr>
            <w:r w:rsidRPr="004774FB">
              <w:rPr>
                <w:rFonts w:ascii="Calibri" w:eastAsia="Times New Roman" w:hAnsi="Calibri" w:cs="Calibri"/>
                <w:b/>
                <w:bCs/>
                <w:i/>
                <w:color w:val="000000"/>
                <w:lang w:eastAsia="el-GR"/>
              </w:rPr>
              <w:t>-191</w:t>
            </w:r>
          </w:p>
        </w:tc>
        <w:tc>
          <w:tcPr>
            <w:tcW w:w="869" w:type="dxa"/>
            <w:tcBorders>
              <w:top w:val="nil"/>
              <w:left w:val="nil"/>
              <w:bottom w:val="single" w:sz="4" w:space="0" w:color="auto"/>
              <w:right w:val="single" w:sz="4" w:space="0" w:color="auto"/>
            </w:tcBorders>
            <w:shd w:val="clear" w:color="000000" w:fill="D9D9D9"/>
            <w:noWrap/>
            <w:vAlign w:val="bottom"/>
            <w:hideMark/>
          </w:tcPr>
          <w:p w14:paraId="446ED4EC" w14:textId="77777777" w:rsidR="006A5A78" w:rsidRPr="00753B97" w:rsidRDefault="006A5A78" w:rsidP="00247B52">
            <w:pPr>
              <w:spacing w:after="0" w:line="240" w:lineRule="auto"/>
              <w:jc w:val="center"/>
              <w:rPr>
                <w:rFonts w:ascii="Calibri" w:eastAsia="Times New Roman" w:hAnsi="Calibri" w:cs="Calibri"/>
                <w:b/>
                <w:bCs/>
                <w:color w:val="000000"/>
                <w:lang w:eastAsia="el-GR"/>
              </w:rPr>
            </w:pPr>
            <w:r w:rsidRPr="00753B97">
              <w:rPr>
                <w:rFonts w:ascii="Calibri" w:eastAsia="Times New Roman" w:hAnsi="Calibri" w:cs="Calibri"/>
                <w:b/>
                <w:bCs/>
                <w:color w:val="000000"/>
                <w:lang w:eastAsia="el-GR"/>
              </w:rPr>
              <w:t>37,3%</w:t>
            </w:r>
          </w:p>
        </w:tc>
        <w:tc>
          <w:tcPr>
            <w:tcW w:w="1210" w:type="dxa"/>
            <w:tcBorders>
              <w:top w:val="nil"/>
              <w:left w:val="nil"/>
              <w:bottom w:val="single" w:sz="4" w:space="0" w:color="auto"/>
              <w:right w:val="single" w:sz="4" w:space="0" w:color="auto"/>
            </w:tcBorders>
            <w:shd w:val="clear" w:color="000000" w:fill="D9D9D9"/>
            <w:noWrap/>
            <w:vAlign w:val="bottom"/>
            <w:hideMark/>
          </w:tcPr>
          <w:p w14:paraId="6AEB2F48" w14:textId="77777777" w:rsidR="006A5A78" w:rsidRPr="004774FB" w:rsidRDefault="006A5A78" w:rsidP="00247B52">
            <w:pPr>
              <w:spacing w:after="0" w:line="240" w:lineRule="auto"/>
              <w:jc w:val="center"/>
              <w:rPr>
                <w:rFonts w:ascii="Calibri" w:eastAsia="Times New Roman" w:hAnsi="Calibri" w:cs="Calibri"/>
                <w:b/>
                <w:bCs/>
                <w:i/>
                <w:color w:val="000000"/>
                <w:lang w:eastAsia="el-GR"/>
              </w:rPr>
            </w:pPr>
            <w:r w:rsidRPr="004774FB">
              <w:rPr>
                <w:rFonts w:ascii="Calibri" w:eastAsia="Times New Roman" w:hAnsi="Calibri" w:cs="Calibri"/>
                <w:b/>
                <w:bCs/>
                <w:i/>
                <w:color w:val="000000"/>
                <w:lang w:eastAsia="el-GR"/>
              </w:rPr>
              <w:t>-11,7%</w:t>
            </w:r>
          </w:p>
        </w:tc>
      </w:tr>
      <w:tr w:rsidR="009E748F" w:rsidRPr="00753B97" w14:paraId="08C809B9" w14:textId="77777777" w:rsidTr="009E748F">
        <w:trPr>
          <w:trHeight w:val="218"/>
        </w:trPr>
        <w:tc>
          <w:tcPr>
            <w:tcW w:w="2406" w:type="dxa"/>
            <w:tcBorders>
              <w:top w:val="nil"/>
              <w:left w:val="single" w:sz="4" w:space="0" w:color="auto"/>
              <w:bottom w:val="single" w:sz="4" w:space="0" w:color="auto"/>
              <w:right w:val="single" w:sz="4" w:space="0" w:color="auto"/>
            </w:tcBorders>
            <w:shd w:val="clear" w:color="auto" w:fill="auto"/>
            <w:noWrap/>
            <w:vAlign w:val="bottom"/>
            <w:hideMark/>
          </w:tcPr>
          <w:p w14:paraId="20130460" w14:textId="77777777" w:rsidR="006A5A78" w:rsidRPr="00753B97" w:rsidRDefault="006A5A78" w:rsidP="00247B52">
            <w:pPr>
              <w:spacing w:after="0" w:line="240" w:lineRule="auto"/>
              <w:rPr>
                <w:rFonts w:ascii="Calibri" w:eastAsia="Times New Roman" w:hAnsi="Calibri" w:cs="Calibri"/>
                <w:i/>
                <w:iCs/>
                <w:color w:val="000000"/>
                <w:sz w:val="20"/>
                <w:szCs w:val="20"/>
                <w:lang w:eastAsia="el-GR"/>
              </w:rPr>
            </w:pPr>
            <w:r w:rsidRPr="00753B97">
              <w:rPr>
                <w:rFonts w:ascii="Calibri" w:eastAsia="Times New Roman" w:hAnsi="Calibri" w:cs="Calibri"/>
                <w:i/>
                <w:iCs/>
                <w:color w:val="000000"/>
                <w:sz w:val="20"/>
                <w:szCs w:val="20"/>
                <w:lang w:eastAsia="el-GR"/>
              </w:rPr>
              <w:t xml:space="preserve">εκ των οποίων: Φόροι οχημάτων </w:t>
            </w:r>
          </w:p>
        </w:tc>
        <w:tc>
          <w:tcPr>
            <w:tcW w:w="904" w:type="dxa"/>
            <w:tcBorders>
              <w:top w:val="nil"/>
              <w:left w:val="nil"/>
              <w:bottom w:val="single" w:sz="4" w:space="0" w:color="auto"/>
              <w:right w:val="single" w:sz="4" w:space="0" w:color="auto"/>
            </w:tcBorders>
            <w:shd w:val="clear" w:color="auto" w:fill="auto"/>
            <w:noWrap/>
            <w:vAlign w:val="bottom"/>
            <w:hideMark/>
          </w:tcPr>
          <w:p w14:paraId="149B9BF6"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176</w:t>
            </w:r>
          </w:p>
        </w:tc>
        <w:tc>
          <w:tcPr>
            <w:tcW w:w="1060" w:type="dxa"/>
            <w:tcBorders>
              <w:top w:val="nil"/>
              <w:left w:val="nil"/>
              <w:bottom w:val="single" w:sz="4" w:space="0" w:color="auto"/>
              <w:right w:val="single" w:sz="4" w:space="0" w:color="auto"/>
            </w:tcBorders>
            <w:shd w:val="clear" w:color="auto" w:fill="auto"/>
            <w:noWrap/>
            <w:vAlign w:val="bottom"/>
            <w:hideMark/>
          </w:tcPr>
          <w:p w14:paraId="30BAF1FA"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756</w:t>
            </w:r>
          </w:p>
        </w:tc>
        <w:tc>
          <w:tcPr>
            <w:tcW w:w="1195" w:type="dxa"/>
            <w:tcBorders>
              <w:top w:val="nil"/>
              <w:left w:val="nil"/>
              <w:bottom w:val="single" w:sz="4" w:space="0" w:color="auto"/>
              <w:right w:val="single" w:sz="4" w:space="0" w:color="auto"/>
            </w:tcBorders>
            <w:shd w:val="clear" w:color="auto" w:fill="auto"/>
            <w:noWrap/>
            <w:vAlign w:val="bottom"/>
            <w:hideMark/>
          </w:tcPr>
          <w:p w14:paraId="0EE1D3D9"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757</w:t>
            </w:r>
          </w:p>
        </w:tc>
        <w:tc>
          <w:tcPr>
            <w:tcW w:w="730" w:type="dxa"/>
            <w:tcBorders>
              <w:top w:val="nil"/>
              <w:left w:val="nil"/>
              <w:bottom w:val="single" w:sz="4" w:space="0" w:color="auto"/>
              <w:right w:val="single" w:sz="4" w:space="0" w:color="auto"/>
            </w:tcBorders>
            <w:shd w:val="clear" w:color="auto" w:fill="auto"/>
            <w:noWrap/>
            <w:vAlign w:val="bottom"/>
            <w:hideMark/>
          </w:tcPr>
          <w:p w14:paraId="0888DF03"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580</w:t>
            </w:r>
          </w:p>
        </w:tc>
        <w:tc>
          <w:tcPr>
            <w:tcW w:w="1195" w:type="dxa"/>
            <w:tcBorders>
              <w:top w:val="nil"/>
              <w:left w:val="nil"/>
              <w:bottom w:val="single" w:sz="4" w:space="0" w:color="auto"/>
              <w:right w:val="single" w:sz="4" w:space="0" w:color="auto"/>
            </w:tcBorders>
            <w:shd w:val="clear" w:color="auto" w:fill="auto"/>
            <w:noWrap/>
            <w:vAlign w:val="bottom"/>
            <w:hideMark/>
          </w:tcPr>
          <w:p w14:paraId="05E02BE4" w14:textId="77777777" w:rsidR="006A5A78" w:rsidRPr="004774FB" w:rsidRDefault="006A5A78" w:rsidP="00247B52">
            <w:pPr>
              <w:spacing w:after="0" w:line="240" w:lineRule="auto"/>
              <w:jc w:val="center"/>
              <w:rPr>
                <w:rFonts w:ascii="Calibri" w:eastAsia="Times New Roman" w:hAnsi="Calibri" w:cs="Calibri"/>
                <w:i/>
                <w:color w:val="000000"/>
                <w:lang w:eastAsia="el-GR"/>
              </w:rPr>
            </w:pPr>
            <w:r w:rsidRPr="004774FB">
              <w:rPr>
                <w:rFonts w:ascii="Calibri" w:eastAsia="Times New Roman" w:hAnsi="Calibri" w:cs="Calibri"/>
                <w:i/>
                <w:color w:val="000000"/>
                <w:lang w:eastAsia="el-GR"/>
              </w:rPr>
              <w:t>-1</w:t>
            </w:r>
          </w:p>
        </w:tc>
        <w:tc>
          <w:tcPr>
            <w:tcW w:w="869" w:type="dxa"/>
            <w:tcBorders>
              <w:top w:val="nil"/>
              <w:left w:val="nil"/>
              <w:bottom w:val="single" w:sz="4" w:space="0" w:color="auto"/>
              <w:right w:val="single" w:sz="4" w:space="0" w:color="auto"/>
            </w:tcBorders>
            <w:shd w:val="clear" w:color="auto" w:fill="auto"/>
            <w:noWrap/>
            <w:vAlign w:val="bottom"/>
            <w:hideMark/>
          </w:tcPr>
          <w:p w14:paraId="04008D58" w14:textId="77777777" w:rsidR="006A5A78" w:rsidRPr="00753B97" w:rsidRDefault="006A5A78" w:rsidP="00247B52">
            <w:pPr>
              <w:spacing w:after="0" w:line="240" w:lineRule="auto"/>
              <w:jc w:val="center"/>
              <w:rPr>
                <w:rFonts w:ascii="Calibri" w:eastAsia="Times New Roman" w:hAnsi="Calibri" w:cs="Calibri"/>
                <w:color w:val="000000"/>
                <w:lang w:eastAsia="el-GR"/>
              </w:rPr>
            </w:pPr>
            <w:r w:rsidRPr="00753B97">
              <w:rPr>
                <w:rFonts w:ascii="Calibri" w:eastAsia="Times New Roman" w:hAnsi="Calibri" w:cs="Calibri"/>
                <w:color w:val="000000"/>
                <w:lang w:eastAsia="el-GR"/>
              </w:rPr>
              <w:t>329,5%</w:t>
            </w:r>
          </w:p>
        </w:tc>
        <w:tc>
          <w:tcPr>
            <w:tcW w:w="1210" w:type="dxa"/>
            <w:tcBorders>
              <w:top w:val="nil"/>
              <w:left w:val="nil"/>
              <w:bottom w:val="single" w:sz="4" w:space="0" w:color="auto"/>
              <w:right w:val="single" w:sz="4" w:space="0" w:color="auto"/>
            </w:tcBorders>
            <w:shd w:val="clear" w:color="auto" w:fill="auto"/>
            <w:noWrap/>
            <w:vAlign w:val="bottom"/>
            <w:hideMark/>
          </w:tcPr>
          <w:p w14:paraId="243B0F56" w14:textId="77777777" w:rsidR="006A5A78" w:rsidRPr="004774FB" w:rsidRDefault="006A5A78" w:rsidP="00247B52">
            <w:pPr>
              <w:spacing w:after="0" w:line="240" w:lineRule="auto"/>
              <w:jc w:val="center"/>
              <w:rPr>
                <w:rFonts w:ascii="Calibri" w:eastAsia="Times New Roman" w:hAnsi="Calibri" w:cs="Calibri"/>
                <w:i/>
                <w:color w:val="000000"/>
                <w:lang w:eastAsia="el-GR"/>
              </w:rPr>
            </w:pPr>
            <w:r w:rsidRPr="004774FB">
              <w:rPr>
                <w:rFonts w:ascii="Calibri" w:eastAsia="Times New Roman" w:hAnsi="Calibri" w:cs="Calibri"/>
                <w:i/>
                <w:color w:val="000000"/>
                <w:lang w:eastAsia="el-GR"/>
              </w:rPr>
              <w:t>-0,1%</w:t>
            </w:r>
          </w:p>
        </w:tc>
      </w:tr>
    </w:tbl>
    <w:p w14:paraId="7D29A983" w14:textId="77777777" w:rsidR="006A5A78" w:rsidRDefault="006A5A78" w:rsidP="006A5A78">
      <w:pPr>
        <w:spacing w:after="0"/>
        <w:rPr>
          <w:i/>
          <w:sz w:val="18"/>
          <w:szCs w:val="18"/>
        </w:rPr>
      </w:pPr>
      <w:r w:rsidRPr="00DD1570">
        <w:rPr>
          <w:i/>
          <w:sz w:val="18"/>
          <w:szCs w:val="18"/>
        </w:rPr>
        <w:t>Πηγή: Μηνιαίο Δελτίο Εκτέλεσης Κρατικού Προϋπολογισμού Ιούλιος 202</w:t>
      </w:r>
      <w:r>
        <w:rPr>
          <w:i/>
          <w:sz w:val="18"/>
          <w:szCs w:val="18"/>
        </w:rPr>
        <w:t>1 (τροποποιημένη ταμειακή βάση).</w:t>
      </w:r>
    </w:p>
    <w:p w14:paraId="42590658" w14:textId="77777777" w:rsidR="006A5A78" w:rsidRPr="00793437" w:rsidRDefault="006A5A78" w:rsidP="006A5A78">
      <w:pPr>
        <w:spacing w:after="0"/>
        <w:rPr>
          <w:i/>
          <w:sz w:val="18"/>
          <w:szCs w:val="18"/>
        </w:rPr>
      </w:pPr>
      <w:r w:rsidRPr="00753B97">
        <w:rPr>
          <w:rFonts w:ascii="Calibri" w:eastAsia="Times New Roman" w:hAnsi="Calibri" w:cs="Calibri"/>
          <w:color w:val="000000"/>
          <w:sz w:val="18"/>
          <w:szCs w:val="18"/>
          <w:lang w:eastAsia="el-GR"/>
        </w:rPr>
        <w:t xml:space="preserve">(*) Φόροι με μορφή χαρτοσήμου + φόροι επί χρημ/κών &amp; κεφ/κών συν/γων + φόροι ταξινόμησης οχημάτων + λοιποί φόροι συγκ. Υπηρεσιών +λοιποί φόροι επί αγαθών </w:t>
      </w:r>
    </w:p>
    <w:p w14:paraId="6C552C44" w14:textId="77777777" w:rsidR="006A5A78" w:rsidRDefault="006A5A78" w:rsidP="006A5A78">
      <w:pPr>
        <w:spacing w:after="0" w:line="360" w:lineRule="auto"/>
        <w:rPr>
          <w:b/>
        </w:rPr>
      </w:pPr>
    </w:p>
    <w:p w14:paraId="1A9025CA" w14:textId="0804E540" w:rsidR="006A5A78" w:rsidRPr="009E748F" w:rsidRDefault="006A5A78" w:rsidP="009E748F">
      <w:pPr>
        <w:spacing w:after="160"/>
        <w:rPr>
          <w:color w:val="auto"/>
        </w:rPr>
      </w:pPr>
      <w:r w:rsidRPr="009E748F">
        <w:rPr>
          <w:color w:val="auto"/>
        </w:rPr>
        <w:t>Ειδικότερα τα φορολογικά έσοδα αυξήθηκαν κατά 2.691 εκατ</w:t>
      </w:r>
      <w:r w:rsidR="009E748F">
        <w:rPr>
          <w:color w:val="auto"/>
        </w:rPr>
        <w:t>.</w:t>
      </w:r>
      <w:r w:rsidRPr="009E748F">
        <w:rPr>
          <w:color w:val="auto"/>
        </w:rPr>
        <w:t xml:space="preserve"> ευρώ ή κατά 8,7% σε σχέση με πέρυσι. Ενδεικτικό είναι ότι όλες σχεδόν οι κατηγορίες φορολογικών εσόδων </w:t>
      </w:r>
      <w:r w:rsidR="007735B6">
        <w:rPr>
          <w:color w:val="auto"/>
        </w:rPr>
        <w:t>παρουσίασαν</w:t>
      </w:r>
      <w:r w:rsidRPr="009E748F">
        <w:rPr>
          <w:color w:val="auto"/>
        </w:rPr>
        <w:t xml:space="preserve"> αύξηση σε σχέση με το αντίστοιχο χρονικό διάστημα  του 2020. </w:t>
      </w:r>
    </w:p>
    <w:p w14:paraId="27067E3E" w14:textId="6014F589" w:rsidR="006A5A78" w:rsidRPr="009E748F" w:rsidRDefault="006A5A78" w:rsidP="009E748F">
      <w:pPr>
        <w:rPr>
          <w:color w:val="auto"/>
        </w:rPr>
      </w:pPr>
      <w:r w:rsidRPr="009E748F">
        <w:rPr>
          <w:color w:val="auto"/>
        </w:rPr>
        <w:t>Ως προς τον στόχο τα φορολογικά έσοδα εμφανίστηκαν βελτιωμένα κατά 895 εκατ. ευρώ, ή 2,7%. Η υπέρβαση των φορολογικών εσόδων ως προς το στόχο προήλθε από βελτιωμένες εισπράξεις από φόρους εισοδήματος φυσικών και νομικών προσώπων, από ΦΠΑ</w:t>
      </w:r>
      <w:r w:rsidR="009E748F">
        <w:rPr>
          <w:color w:val="auto"/>
        </w:rPr>
        <w:t xml:space="preserve"> και </w:t>
      </w:r>
      <w:r w:rsidRPr="009E748F">
        <w:rPr>
          <w:color w:val="auto"/>
        </w:rPr>
        <w:t xml:space="preserve">ΕΝΦΙΑ. Από τα παραπάνω προκύπτει το συμπέρασμα ότι ο βαθμός της βελτίωσης της οικονομικής δραστηριότητας, της αύξησης της απασχόλησης και των τουριστικών εισπράξεων κατά τους θερινούς μήνες ήταν καλύτερος από αυτό που </w:t>
      </w:r>
      <w:r w:rsidRPr="009E748F">
        <w:rPr>
          <w:color w:val="auto"/>
        </w:rPr>
        <w:lastRenderedPageBreak/>
        <w:t xml:space="preserve">αναμενόταν στο σενάριο του ΜΠΔΣ 2022-2025 τον Μάιο. </w:t>
      </w:r>
      <w:r w:rsidR="00A72B24">
        <w:rPr>
          <w:color w:val="auto"/>
        </w:rPr>
        <w:t>Εξάλλου,</w:t>
      </w:r>
      <w:r w:rsidR="009E748F">
        <w:rPr>
          <w:color w:val="auto"/>
        </w:rPr>
        <w:t xml:space="preserve"> λόγω της καταβολής μικρότερης προκαταβολής φόρου για τα νομικά πρόσωπα</w:t>
      </w:r>
      <w:r w:rsidR="00A72B24">
        <w:rPr>
          <w:color w:val="auto"/>
        </w:rPr>
        <w:t xml:space="preserve"> πέρυσι</w:t>
      </w:r>
      <w:r w:rsidR="009E748F">
        <w:rPr>
          <w:color w:val="auto"/>
        </w:rPr>
        <w:t>, προκλήθηκε μία μη αναμενόμενη υψηλότερη εκκαθάριση φέτος που ώθησε το</w:t>
      </w:r>
      <w:r w:rsidR="00A72B24">
        <w:rPr>
          <w:color w:val="auto"/>
        </w:rPr>
        <w:t>ν</w:t>
      </w:r>
      <w:r w:rsidR="009E748F">
        <w:rPr>
          <w:color w:val="auto"/>
        </w:rPr>
        <w:t xml:space="preserve"> ΦΕΝΠ σε υψηλότερο από το προβλεπόμενο επίπεδο. Τέλος</w:t>
      </w:r>
      <w:r w:rsidR="0028351C">
        <w:rPr>
          <w:color w:val="auto"/>
        </w:rPr>
        <w:t>,</w:t>
      </w:r>
      <w:r w:rsidRPr="009E748F">
        <w:rPr>
          <w:color w:val="auto"/>
        </w:rPr>
        <w:t xml:space="preserve"> οι βελτιωμένες εισπράξεις του ΕΝΦΙΑ, αποδίδονται σε μη αναμενόμενη αύξηση της καταβολής της πρώτης δόσης κατά τον μήνα Σεπτέμβριο. </w:t>
      </w:r>
    </w:p>
    <w:p w14:paraId="3F25CB6B" w14:textId="323F4C8E" w:rsidR="006A5A78" w:rsidRPr="00244827" w:rsidRDefault="00FD791B" w:rsidP="009E748F">
      <w:pPr>
        <w:pStyle w:val="Web"/>
        <w:shd w:val="clear" w:color="auto" w:fill="FFFFFF"/>
        <w:spacing w:before="0" w:beforeAutospacing="0" w:after="0" w:afterAutospacing="0"/>
        <w:jc w:val="both"/>
        <w:rPr>
          <w:rFonts w:asciiTheme="minorHAnsi" w:hAnsiTheme="minorHAnsi" w:cstheme="minorHAnsi"/>
          <w:b/>
          <w:sz w:val="22"/>
          <w:szCs w:val="22"/>
        </w:rPr>
      </w:pPr>
      <w:bookmarkStart w:id="135" w:name="_Toc89172856"/>
      <w:r w:rsidRPr="00FD791B">
        <w:rPr>
          <w:rFonts w:ascii="Trebuchet MS" w:hAnsi="Trebuchet MS"/>
          <w:b/>
          <w:iCs/>
          <w:color w:val="808080" w:themeColor="background1" w:themeShade="80"/>
          <w:sz w:val="20"/>
          <w:szCs w:val="20"/>
        </w:rPr>
        <w:t xml:space="preserve">Πίνακας </w:t>
      </w:r>
      <w:r w:rsidRPr="00FD791B">
        <w:rPr>
          <w:rFonts w:ascii="Trebuchet MS" w:hAnsi="Trebuchet MS"/>
          <w:b/>
          <w:iCs/>
          <w:color w:val="808080" w:themeColor="background1" w:themeShade="80"/>
          <w:sz w:val="20"/>
          <w:szCs w:val="20"/>
        </w:rPr>
        <w:fldChar w:fldCharType="begin"/>
      </w:r>
      <w:r w:rsidRPr="00FD791B">
        <w:rPr>
          <w:rFonts w:ascii="Trebuchet MS" w:hAnsi="Trebuchet MS"/>
          <w:b/>
          <w:iCs/>
          <w:color w:val="808080" w:themeColor="background1" w:themeShade="80"/>
          <w:sz w:val="20"/>
          <w:szCs w:val="20"/>
        </w:rPr>
        <w:instrText xml:space="preserve"> SEQ Πίνακας \* ARABIC </w:instrText>
      </w:r>
      <w:r w:rsidRPr="00FD791B">
        <w:rPr>
          <w:rFonts w:ascii="Trebuchet MS" w:hAnsi="Trebuchet MS"/>
          <w:b/>
          <w:iCs/>
          <w:color w:val="808080" w:themeColor="background1" w:themeShade="80"/>
          <w:sz w:val="20"/>
          <w:szCs w:val="20"/>
        </w:rPr>
        <w:fldChar w:fldCharType="separate"/>
      </w:r>
      <w:r w:rsidR="0038196B">
        <w:rPr>
          <w:rFonts w:ascii="Trebuchet MS" w:hAnsi="Trebuchet MS"/>
          <w:b/>
          <w:iCs/>
          <w:noProof/>
          <w:color w:val="808080" w:themeColor="background1" w:themeShade="80"/>
          <w:sz w:val="20"/>
          <w:szCs w:val="20"/>
        </w:rPr>
        <w:t>11</w:t>
      </w:r>
      <w:r w:rsidRPr="00FD791B">
        <w:rPr>
          <w:rFonts w:ascii="Trebuchet MS" w:hAnsi="Trebuchet MS"/>
          <w:b/>
          <w:iCs/>
          <w:color w:val="808080" w:themeColor="background1" w:themeShade="80"/>
          <w:sz w:val="20"/>
          <w:szCs w:val="20"/>
        </w:rPr>
        <w:fldChar w:fldCharType="end"/>
      </w:r>
      <w:r w:rsidRPr="00FD791B">
        <w:rPr>
          <w:rFonts w:ascii="Trebuchet MS" w:hAnsi="Trebuchet MS"/>
          <w:b/>
          <w:iCs/>
          <w:color w:val="808080" w:themeColor="background1" w:themeShade="80"/>
          <w:sz w:val="20"/>
          <w:szCs w:val="20"/>
        </w:rPr>
        <w:t>:</w:t>
      </w:r>
      <w:r w:rsidRPr="00FD791B">
        <w:rPr>
          <w:rFonts w:ascii="Trebuchet MS" w:hAnsi="Trebuchet MS"/>
          <w:b/>
          <w:iCs/>
          <w:color w:val="808080" w:themeColor="background1" w:themeShade="80"/>
        </w:rPr>
        <w:t xml:space="preserve"> </w:t>
      </w:r>
      <w:r w:rsidR="006A5A78" w:rsidRPr="00FD791B">
        <w:rPr>
          <w:rFonts w:ascii="Trebuchet MS" w:eastAsiaTheme="minorHAnsi" w:hAnsi="Trebuchet MS" w:cstheme="minorBidi"/>
          <w:color w:val="00A3E0"/>
          <w:sz w:val="20"/>
          <w:szCs w:val="20"/>
          <w:lang w:eastAsia="en-US"/>
        </w:rPr>
        <w:t>Δαπάνες  Κρατικού Προϋπολογισμού Ιανουάριος-Σεπτέμβριος 2021 (εκατ. ευρώ).</w:t>
      </w:r>
      <w:bookmarkEnd w:id="135"/>
      <w:r w:rsidR="006A5A78" w:rsidRPr="00244827">
        <w:rPr>
          <w:rFonts w:asciiTheme="minorHAnsi" w:hAnsiTheme="minorHAnsi" w:cstheme="minorHAnsi"/>
          <w:b/>
          <w:sz w:val="22"/>
          <w:szCs w:val="22"/>
        </w:rPr>
        <w:t xml:space="preserve">      </w:t>
      </w:r>
    </w:p>
    <w:tbl>
      <w:tblPr>
        <w:tblW w:w="9255" w:type="dxa"/>
        <w:tblLook w:val="04A0" w:firstRow="1" w:lastRow="0" w:firstColumn="1" w:lastColumn="0" w:noHBand="0" w:noVBand="1"/>
      </w:tblPr>
      <w:tblGrid>
        <w:gridCol w:w="2715"/>
        <w:gridCol w:w="926"/>
        <w:gridCol w:w="1034"/>
        <w:gridCol w:w="1053"/>
        <w:gridCol w:w="1194"/>
        <w:gridCol w:w="1189"/>
        <w:gridCol w:w="1144"/>
      </w:tblGrid>
      <w:tr w:rsidR="006A5A78" w:rsidRPr="00F87C3C" w14:paraId="70389C3A" w14:textId="77777777" w:rsidTr="00B6235D">
        <w:trPr>
          <w:trHeight w:val="199"/>
        </w:trPr>
        <w:tc>
          <w:tcPr>
            <w:tcW w:w="6922" w:type="dxa"/>
            <w:gridSpan w:val="5"/>
            <w:tcBorders>
              <w:top w:val="single" w:sz="4" w:space="0" w:color="auto"/>
              <w:left w:val="nil"/>
              <w:bottom w:val="nil"/>
              <w:right w:val="nil"/>
            </w:tcBorders>
            <w:shd w:val="clear" w:color="auto" w:fill="BDD6EE" w:themeFill="accent1" w:themeFillTint="66"/>
            <w:noWrap/>
            <w:vAlign w:val="bottom"/>
            <w:hideMark/>
          </w:tcPr>
          <w:p w14:paraId="27F998DF" w14:textId="77777777" w:rsidR="006A5A78" w:rsidRPr="00F87C3C" w:rsidRDefault="006A5A78" w:rsidP="00247B52">
            <w:pPr>
              <w:spacing w:after="0" w:line="240" w:lineRule="auto"/>
              <w:jc w:val="center"/>
              <w:rPr>
                <w:rFonts w:ascii="Calibri" w:eastAsia="Times New Roman" w:hAnsi="Calibri" w:cs="Calibri"/>
                <w:b/>
                <w:bCs/>
                <w:color w:val="000000"/>
                <w:sz w:val="24"/>
                <w:szCs w:val="24"/>
                <w:lang w:eastAsia="el-GR"/>
              </w:rPr>
            </w:pPr>
            <w:r w:rsidRPr="00F87C3C">
              <w:rPr>
                <w:rFonts w:ascii="Calibri" w:eastAsia="Times New Roman" w:hAnsi="Calibri" w:cs="Calibri"/>
                <w:b/>
                <w:bCs/>
                <w:color w:val="000000"/>
                <w:sz w:val="24"/>
                <w:szCs w:val="24"/>
                <w:lang w:eastAsia="el-GR"/>
              </w:rPr>
              <w:t xml:space="preserve">                                           Ιανουάριος - Σεπτέμβριος  2021</w:t>
            </w:r>
          </w:p>
        </w:tc>
        <w:tc>
          <w:tcPr>
            <w:tcW w:w="1189" w:type="dxa"/>
            <w:vMerge w:val="restart"/>
            <w:tcBorders>
              <w:top w:val="single" w:sz="4" w:space="0" w:color="auto"/>
              <w:left w:val="nil"/>
              <w:bottom w:val="nil"/>
              <w:right w:val="nil"/>
            </w:tcBorders>
            <w:shd w:val="clear" w:color="auto" w:fill="BDD6EE" w:themeFill="accent1" w:themeFillTint="66"/>
            <w:vAlign w:val="bottom"/>
            <w:hideMark/>
          </w:tcPr>
          <w:p w14:paraId="2D6A640D" w14:textId="77777777" w:rsidR="006A5A78" w:rsidRPr="00F87C3C" w:rsidRDefault="006A5A78" w:rsidP="00247B52">
            <w:pPr>
              <w:spacing w:after="0" w:line="240" w:lineRule="auto"/>
              <w:jc w:val="center"/>
              <w:rPr>
                <w:rFonts w:ascii="Calibri" w:eastAsia="Times New Roman" w:hAnsi="Calibri" w:cs="Calibri"/>
                <w:b/>
                <w:bCs/>
                <w:color w:val="000000"/>
                <w:lang w:eastAsia="el-GR"/>
              </w:rPr>
            </w:pPr>
            <w:r w:rsidRPr="00F87C3C">
              <w:rPr>
                <w:rFonts w:ascii="Calibri" w:eastAsia="Times New Roman" w:hAnsi="Calibri" w:cs="Calibri"/>
                <w:b/>
                <w:bCs/>
                <w:color w:val="000000"/>
                <w:lang w:eastAsia="el-GR"/>
              </w:rPr>
              <w:t xml:space="preserve">% </w:t>
            </w:r>
            <w:r w:rsidRPr="00A72B24">
              <w:rPr>
                <w:rFonts w:ascii="Calibri" w:eastAsia="Times New Roman" w:hAnsi="Calibri" w:cs="Calibri"/>
                <w:b/>
                <w:bCs/>
                <w:color w:val="000000"/>
                <w:sz w:val="21"/>
                <w:szCs w:val="21"/>
                <w:lang w:eastAsia="el-GR"/>
              </w:rPr>
              <w:t>Μεταβολή</w:t>
            </w:r>
            <w:r w:rsidRPr="00F87C3C">
              <w:rPr>
                <w:rFonts w:ascii="Calibri" w:eastAsia="Times New Roman" w:hAnsi="Calibri" w:cs="Calibri"/>
                <w:b/>
                <w:bCs/>
                <w:color w:val="000000"/>
                <w:lang w:eastAsia="el-GR"/>
              </w:rPr>
              <w:t xml:space="preserve"> </w:t>
            </w:r>
          </w:p>
        </w:tc>
        <w:tc>
          <w:tcPr>
            <w:tcW w:w="1144" w:type="dxa"/>
            <w:vMerge w:val="restart"/>
            <w:tcBorders>
              <w:top w:val="single" w:sz="4" w:space="0" w:color="auto"/>
              <w:left w:val="nil"/>
              <w:bottom w:val="single" w:sz="4" w:space="0" w:color="000000"/>
              <w:right w:val="single" w:sz="4" w:space="0" w:color="auto"/>
            </w:tcBorders>
            <w:shd w:val="clear" w:color="auto" w:fill="BDD6EE" w:themeFill="accent1" w:themeFillTint="66"/>
            <w:vAlign w:val="bottom"/>
            <w:hideMark/>
          </w:tcPr>
          <w:p w14:paraId="658D13AC" w14:textId="77777777" w:rsidR="006A5A78" w:rsidRPr="00F87C3C" w:rsidRDefault="006A5A78" w:rsidP="00247B52">
            <w:pPr>
              <w:spacing w:after="0" w:line="240" w:lineRule="auto"/>
              <w:jc w:val="center"/>
              <w:rPr>
                <w:rFonts w:ascii="Calibri" w:eastAsia="Times New Roman" w:hAnsi="Calibri" w:cs="Calibri"/>
                <w:b/>
                <w:bCs/>
                <w:color w:val="000000"/>
                <w:lang w:eastAsia="el-GR"/>
              </w:rPr>
            </w:pPr>
            <w:r w:rsidRPr="00A72B24">
              <w:rPr>
                <w:rFonts w:ascii="Calibri" w:eastAsia="Times New Roman" w:hAnsi="Calibri" w:cs="Calibri"/>
                <w:b/>
                <w:bCs/>
                <w:color w:val="000000"/>
                <w:sz w:val="21"/>
                <w:szCs w:val="21"/>
                <w:lang w:eastAsia="el-GR"/>
              </w:rPr>
              <w:t>Ποσοστό εκτέλεσης</w:t>
            </w:r>
            <w:r w:rsidRPr="00F87C3C">
              <w:rPr>
                <w:rFonts w:ascii="Calibri" w:eastAsia="Times New Roman" w:hAnsi="Calibri" w:cs="Calibri"/>
                <w:b/>
                <w:bCs/>
                <w:color w:val="000000"/>
                <w:lang w:eastAsia="el-GR"/>
              </w:rPr>
              <w:t xml:space="preserve"> (%) </w:t>
            </w:r>
          </w:p>
        </w:tc>
      </w:tr>
      <w:tr w:rsidR="006A5A78" w:rsidRPr="00F87C3C" w14:paraId="0B51AB0E" w14:textId="77777777" w:rsidTr="00B6235D">
        <w:trPr>
          <w:trHeight w:val="190"/>
        </w:trPr>
        <w:tc>
          <w:tcPr>
            <w:tcW w:w="2715" w:type="dxa"/>
            <w:tcBorders>
              <w:top w:val="nil"/>
              <w:left w:val="nil"/>
              <w:bottom w:val="nil"/>
              <w:right w:val="nil"/>
            </w:tcBorders>
            <w:shd w:val="clear" w:color="auto" w:fill="BDD6EE" w:themeFill="accent1" w:themeFillTint="66"/>
            <w:noWrap/>
            <w:vAlign w:val="bottom"/>
            <w:hideMark/>
          </w:tcPr>
          <w:p w14:paraId="46CE48BE" w14:textId="77777777" w:rsidR="006A5A78" w:rsidRPr="00F87C3C" w:rsidRDefault="006A5A78" w:rsidP="00247B52">
            <w:pPr>
              <w:spacing w:after="0" w:line="240" w:lineRule="auto"/>
              <w:rPr>
                <w:rFonts w:ascii="Calibri" w:eastAsia="Times New Roman" w:hAnsi="Calibri" w:cs="Calibri"/>
                <w:color w:val="000000"/>
                <w:lang w:eastAsia="el-GR"/>
              </w:rPr>
            </w:pPr>
            <w:r w:rsidRPr="00F87C3C">
              <w:rPr>
                <w:rFonts w:ascii="Calibri" w:eastAsia="Times New Roman" w:hAnsi="Calibri" w:cs="Calibri"/>
                <w:color w:val="000000"/>
                <w:lang w:eastAsia="el-GR"/>
              </w:rPr>
              <w:t> </w:t>
            </w:r>
          </w:p>
        </w:tc>
        <w:tc>
          <w:tcPr>
            <w:tcW w:w="1960" w:type="dxa"/>
            <w:gridSpan w:val="2"/>
            <w:tcBorders>
              <w:top w:val="nil"/>
              <w:left w:val="nil"/>
              <w:bottom w:val="nil"/>
              <w:right w:val="nil"/>
            </w:tcBorders>
            <w:shd w:val="clear" w:color="auto" w:fill="BDD6EE" w:themeFill="accent1" w:themeFillTint="66"/>
            <w:noWrap/>
            <w:vAlign w:val="bottom"/>
            <w:hideMark/>
          </w:tcPr>
          <w:p w14:paraId="72C97B9C" w14:textId="77777777" w:rsidR="006A5A78" w:rsidRPr="00A72B24" w:rsidRDefault="006A5A78" w:rsidP="00247B52">
            <w:pPr>
              <w:spacing w:after="0" w:line="240" w:lineRule="auto"/>
              <w:jc w:val="center"/>
              <w:rPr>
                <w:rFonts w:ascii="Calibri" w:eastAsia="Times New Roman" w:hAnsi="Calibri" w:cs="Calibri"/>
                <w:b/>
                <w:bCs/>
                <w:color w:val="000000"/>
                <w:sz w:val="21"/>
                <w:szCs w:val="21"/>
                <w:lang w:eastAsia="el-GR"/>
              </w:rPr>
            </w:pPr>
            <w:r w:rsidRPr="00A72B24">
              <w:rPr>
                <w:rFonts w:ascii="Calibri" w:eastAsia="Times New Roman" w:hAnsi="Calibri" w:cs="Calibri"/>
                <w:b/>
                <w:bCs/>
                <w:color w:val="000000"/>
                <w:sz w:val="21"/>
                <w:szCs w:val="21"/>
                <w:lang w:eastAsia="el-GR"/>
              </w:rPr>
              <w:t>Πραγματοποιήσεις</w:t>
            </w:r>
          </w:p>
        </w:tc>
        <w:tc>
          <w:tcPr>
            <w:tcW w:w="1053" w:type="dxa"/>
            <w:tcBorders>
              <w:top w:val="nil"/>
              <w:left w:val="nil"/>
              <w:bottom w:val="nil"/>
              <w:right w:val="nil"/>
            </w:tcBorders>
            <w:shd w:val="clear" w:color="auto" w:fill="BDD6EE" w:themeFill="accent1" w:themeFillTint="66"/>
            <w:vAlign w:val="bottom"/>
            <w:hideMark/>
          </w:tcPr>
          <w:p w14:paraId="369800AA" w14:textId="77777777" w:rsidR="006A5A78" w:rsidRPr="00A72B24" w:rsidRDefault="006A5A78" w:rsidP="00247B52">
            <w:pPr>
              <w:spacing w:after="0" w:line="240" w:lineRule="auto"/>
              <w:jc w:val="center"/>
              <w:rPr>
                <w:rFonts w:ascii="Calibri" w:eastAsia="Times New Roman" w:hAnsi="Calibri" w:cs="Calibri"/>
                <w:b/>
                <w:bCs/>
                <w:color w:val="000000"/>
                <w:sz w:val="21"/>
                <w:szCs w:val="21"/>
                <w:lang w:eastAsia="el-GR"/>
              </w:rPr>
            </w:pPr>
            <w:r w:rsidRPr="00A72B24">
              <w:rPr>
                <w:rFonts w:ascii="Calibri" w:eastAsia="Times New Roman" w:hAnsi="Calibri" w:cs="Calibri"/>
                <w:b/>
                <w:bCs/>
                <w:color w:val="000000"/>
                <w:sz w:val="21"/>
                <w:szCs w:val="21"/>
                <w:lang w:eastAsia="el-GR"/>
              </w:rPr>
              <w:t xml:space="preserve">Διαφορά </w:t>
            </w:r>
          </w:p>
        </w:tc>
        <w:tc>
          <w:tcPr>
            <w:tcW w:w="1193" w:type="dxa"/>
            <w:vMerge w:val="restart"/>
            <w:tcBorders>
              <w:top w:val="nil"/>
              <w:left w:val="nil"/>
              <w:bottom w:val="single" w:sz="4" w:space="0" w:color="000000"/>
              <w:right w:val="nil"/>
            </w:tcBorders>
            <w:shd w:val="clear" w:color="auto" w:fill="BDD6EE" w:themeFill="accent1" w:themeFillTint="66"/>
            <w:vAlign w:val="bottom"/>
            <w:hideMark/>
          </w:tcPr>
          <w:p w14:paraId="005E504E" w14:textId="77777777" w:rsidR="006A5A78" w:rsidRPr="00F87C3C" w:rsidRDefault="006A5A78" w:rsidP="00247B52">
            <w:pPr>
              <w:spacing w:after="0" w:line="240" w:lineRule="auto"/>
              <w:jc w:val="center"/>
              <w:rPr>
                <w:rFonts w:ascii="Calibri" w:eastAsia="Times New Roman" w:hAnsi="Calibri" w:cs="Calibri"/>
                <w:b/>
                <w:bCs/>
                <w:color w:val="000000"/>
                <w:lang w:eastAsia="el-GR"/>
              </w:rPr>
            </w:pPr>
            <w:r w:rsidRPr="00A72B24">
              <w:rPr>
                <w:rFonts w:ascii="Calibri" w:eastAsia="Times New Roman" w:hAnsi="Calibri" w:cs="Calibri"/>
                <w:b/>
                <w:bCs/>
                <w:color w:val="000000"/>
                <w:sz w:val="21"/>
                <w:szCs w:val="21"/>
                <w:lang w:eastAsia="el-GR"/>
              </w:rPr>
              <w:t>Εκτιμήσεις</w:t>
            </w:r>
            <w:r w:rsidRPr="00F87C3C">
              <w:rPr>
                <w:rFonts w:ascii="Calibri" w:eastAsia="Times New Roman" w:hAnsi="Calibri" w:cs="Calibri"/>
                <w:b/>
                <w:bCs/>
                <w:color w:val="000000"/>
                <w:lang w:eastAsia="el-GR"/>
              </w:rPr>
              <w:t xml:space="preserve"> </w:t>
            </w:r>
            <w:r w:rsidRPr="00A72B24">
              <w:rPr>
                <w:rFonts w:ascii="Calibri" w:eastAsia="Times New Roman" w:hAnsi="Calibri" w:cs="Calibri"/>
                <w:b/>
                <w:bCs/>
                <w:color w:val="000000"/>
                <w:sz w:val="21"/>
                <w:szCs w:val="21"/>
                <w:lang w:eastAsia="el-GR"/>
              </w:rPr>
              <w:t>ΜΠΔΣ</w:t>
            </w:r>
            <w:r w:rsidRPr="00F87C3C">
              <w:rPr>
                <w:rFonts w:ascii="Calibri" w:eastAsia="Times New Roman" w:hAnsi="Calibri" w:cs="Calibri"/>
                <w:b/>
                <w:bCs/>
                <w:color w:val="000000"/>
                <w:lang w:eastAsia="el-GR"/>
              </w:rPr>
              <w:t xml:space="preserve"> </w:t>
            </w:r>
            <w:r w:rsidRPr="00A72B24">
              <w:rPr>
                <w:rFonts w:ascii="Calibri" w:eastAsia="Times New Roman" w:hAnsi="Calibri" w:cs="Calibri"/>
                <w:b/>
                <w:bCs/>
                <w:color w:val="000000"/>
                <w:sz w:val="21"/>
                <w:szCs w:val="21"/>
                <w:lang w:eastAsia="el-GR"/>
              </w:rPr>
              <w:t>2022-2025</w:t>
            </w:r>
            <w:r w:rsidRPr="00F87C3C">
              <w:rPr>
                <w:rFonts w:ascii="Calibri" w:eastAsia="Times New Roman" w:hAnsi="Calibri" w:cs="Calibri"/>
                <w:b/>
                <w:bCs/>
                <w:color w:val="000000"/>
                <w:lang w:eastAsia="el-GR"/>
              </w:rPr>
              <w:t xml:space="preserve"> (1)</w:t>
            </w:r>
          </w:p>
        </w:tc>
        <w:tc>
          <w:tcPr>
            <w:tcW w:w="1189" w:type="dxa"/>
            <w:vMerge/>
            <w:tcBorders>
              <w:top w:val="single" w:sz="4" w:space="0" w:color="auto"/>
              <w:left w:val="nil"/>
              <w:bottom w:val="nil"/>
              <w:right w:val="nil"/>
            </w:tcBorders>
            <w:shd w:val="clear" w:color="auto" w:fill="BDD6EE" w:themeFill="accent1" w:themeFillTint="66"/>
            <w:vAlign w:val="center"/>
            <w:hideMark/>
          </w:tcPr>
          <w:p w14:paraId="3D3B6BF2" w14:textId="77777777" w:rsidR="006A5A78" w:rsidRPr="00F87C3C" w:rsidRDefault="006A5A78" w:rsidP="00247B52">
            <w:pPr>
              <w:spacing w:after="0" w:line="240" w:lineRule="auto"/>
              <w:rPr>
                <w:rFonts w:ascii="Calibri" w:eastAsia="Times New Roman" w:hAnsi="Calibri" w:cs="Calibri"/>
                <w:b/>
                <w:bCs/>
                <w:color w:val="000000"/>
                <w:lang w:eastAsia="el-GR"/>
              </w:rPr>
            </w:pPr>
          </w:p>
        </w:tc>
        <w:tc>
          <w:tcPr>
            <w:tcW w:w="1144" w:type="dxa"/>
            <w:vMerge/>
            <w:tcBorders>
              <w:top w:val="single" w:sz="4" w:space="0" w:color="auto"/>
              <w:left w:val="nil"/>
              <w:bottom w:val="single" w:sz="4" w:space="0" w:color="000000"/>
              <w:right w:val="single" w:sz="4" w:space="0" w:color="auto"/>
            </w:tcBorders>
            <w:shd w:val="clear" w:color="auto" w:fill="BDD6EE" w:themeFill="accent1" w:themeFillTint="66"/>
            <w:vAlign w:val="center"/>
            <w:hideMark/>
          </w:tcPr>
          <w:p w14:paraId="2BA8F1D1" w14:textId="77777777" w:rsidR="006A5A78" w:rsidRPr="00F87C3C" w:rsidRDefault="006A5A78" w:rsidP="00247B52">
            <w:pPr>
              <w:spacing w:after="0" w:line="240" w:lineRule="auto"/>
              <w:rPr>
                <w:rFonts w:ascii="Calibri" w:eastAsia="Times New Roman" w:hAnsi="Calibri" w:cs="Calibri"/>
                <w:b/>
                <w:bCs/>
                <w:color w:val="000000"/>
                <w:lang w:eastAsia="el-GR"/>
              </w:rPr>
            </w:pPr>
          </w:p>
        </w:tc>
      </w:tr>
      <w:tr w:rsidR="006A5A78" w:rsidRPr="00F87C3C" w14:paraId="0E16D26F" w14:textId="77777777" w:rsidTr="00B6235D">
        <w:trPr>
          <w:trHeight w:val="361"/>
        </w:trPr>
        <w:tc>
          <w:tcPr>
            <w:tcW w:w="2715" w:type="dxa"/>
            <w:tcBorders>
              <w:top w:val="nil"/>
              <w:left w:val="nil"/>
              <w:bottom w:val="single" w:sz="4" w:space="0" w:color="auto"/>
              <w:right w:val="nil"/>
            </w:tcBorders>
            <w:shd w:val="clear" w:color="auto" w:fill="BDD6EE" w:themeFill="accent1" w:themeFillTint="66"/>
            <w:noWrap/>
            <w:vAlign w:val="bottom"/>
            <w:hideMark/>
          </w:tcPr>
          <w:p w14:paraId="571C008A" w14:textId="77777777" w:rsidR="006A5A78" w:rsidRPr="00F87C3C" w:rsidRDefault="006A5A78" w:rsidP="00247B52">
            <w:pPr>
              <w:spacing w:after="0" w:line="240" w:lineRule="auto"/>
              <w:rPr>
                <w:rFonts w:ascii="Calibri" w:eastAsia="Times New Roman" w:hAnsi="Calibri" w:cs="Calibri"/>
                <w:color w:val="000000"/>
                <w:lang w:eastAsia="el-GR"/>
              </w:rPr>
            </w:pPr>
            <w:r w:rsidRPr="00F87C3C">
              <w:rPr>
                <w:rFonts w:ascii="Calibri" w:eastAsia="Times New Roman" w:hAnsi="Calibri" w:cs="Calibri"/>
                <w:color w:val="000000"/>
                <w:lang w:eastAsia="el-GR"/>
              </w:rPr>
              <w:t> </w:t>
            </w:r>
          </w:p>
        </w:tc>
        <w:tc>
          <w:tcPr>
            <w:tcW w:w="926" w:type="dxa"/>
            <w:tcBorders>
              <w:top w:val="nil"/>
              <w:left w:val="nil"/>
              <w:bottom w:val="single" w:sz="4" w:space="0" w:color="auto"/>
              <w:right w:val="nil"/>
            </w:tcBorders>
            <w:shd w:val="clear" w:color="auto" w:fill="BDD6EE" w:themeFill="accent1" w:themeFillTint="66"/>
            <w:noWrap/>
            <w:vAlign w:val="bottom"/>
            <w:hideMark/>
          </w:tcPr>
          <w:p w14:paraId="684DA0C5" w14:textId="77777777" w:rsidR="006A5A78" w:rsidRPr="00F87C3C" w:rsidRDefault="006A5A78" w:rsidP="00247B52">
            <w:pPr>
              <w:spacing w:after="0" w:line="240" w:lineRule="auto"/>
              <w:jc w:val="center"/>
              <w:rPr>
                <w:rFonts w:ascii="Calibri" w:eastAsia="Times New Roman" w:hAnsi="Calibri" w:cs="Calibri"/>
                <w:b/>
                <w:bCs/>
                <w:color w:val="000000"/>
                <w:lang w:eastAsia="el-GR"/>
              </w:rPr>
            </w:pPr>
            <w:r w:rsidRPr="00F87C3C">
              <w:rPr>
                <w:rFonts w:ascii="Calibri" w:eastAsia="Times New Roman" w:hAnsi="Calibri" w:cs="Calibri"/>
                <w:b/>
                <w:bCs/>
                <w:color w:val="000000"/>
                <w:lang w:eastAsia="el-GR"/>
              </w:rPr>
              <w:t>2020</w:t>
            </w:r>
          </w:p>
        </w:tc>
        <w:tc>
          <w:tcPr>
            <w:tcW w:w="1034" w:type="dxa"/>
            <w:tcBorders>
              <w:top w:val="nil"/>
              <w:left w:val="nil"/>
              <w:bottom w:val="single" w:sz="4" w:space="0" w:color="auto"/>
              <w:right w:val="nil"/>
            </w:tcBorders>
            <w:shd w:val="clear" w:color="auto" w:fill="BDD6EE" w:themeFill="accent1" w:themeFillTint="66"/>
            <w:noWrap/>
            <w:vAlign w:val="bottom"/>
            <w:hideMark/>
          </w:tcPr>
          <w:p w14:paraId="051DA253" w14:textId="77777777" w:rsidR="006A5A78" w:rsidRPr="00F87C3C" w:rsidRDefault="006A5A78" w:rsidP="00247B52">
            <w:pPr>
              <w:spacing w:after="0" w:line="240" w:lineRule="auto"/>
              <w:jc w:val="center"/>
              <w:rPr>
                <w:rFonts w:ascii="Calibri" w:eastAsia="Times New Roman" w:hAnsi="Calibri" w:cs="Calibri"/>
                <w:b/>
                <w:bCs/>
                <w:color w:val="000000"/>
                <w:lang w:eastAsia="el-GR"/>
              </w:rPr>
            </w:pPr>
            <w:r w:rsidRPr="00F87C3C">
              <w:rPr>
                <w:rFonts w:ascii="Calibri" w:eastAsia="Times New Roman" w:hAnsi="Calibri" w:cs="Calibri"/>
                <w:b/>
                <w:bCs/>
                <w:color w:val="000000"/>
                <w:lang w:eastAsia="el-GR"/>
              </w:rPr>
              <w:t>2021</w:t>
            </w:r>
          </w:p>
        </w:tc>
        <w:tc>
          <w:tcPr>
            <w:tcW w:w="1053" w:type="dxa"/>
            <w:tcBorders>
              <w:top w:val="nil"/>
              <w:left w:val="nil"/>
              <w:bottom w:val="single" w:sz="4" w:space="0" w:color="auto"/>
              <w:right w:val="nil"/>
            </w:tcBorders>
            <w:shd w:val="clear" w:color="auto" w:fill="BDD6EE" w:themeFill="accent1" w:themeFillTint="66"/>
            <w:noWrap/>
            <w:vAlign w:val="bottom"/>
            <w:hideMark/>
          </w:tcPr>
          <w:p w14:paraId="5CE90E30" w14:textId="77777777" w:rsidR="006A5A78" w:rsidRPr="00F87C3C" w:rsidRDefault="006A5A78" w:rsidP="00247B52">
            <w:pPr>
              <w:spacing w:after="0" w:line="240" w:lineRule="auto"/>
              <w:jc w:val="center"/>
              <w:rPr>
                <w:rFonts w:ascii="Calibri" w:eastAsia="Times New Roman" w:hAnsi="Calibri" w:cs="Calibri"/>
                <w:b/>
                <w:bCs/>
                <w:color w:val="000000"/>
                <w:lang w:eastAsia="el-GR"/>
              </w:rPr>
            </w:pPr>
            <w:r w:rsidRPr="00F87C3C">
              <w:rPr>
                <w:rFonts w:ascii="Calibri" w:eastAsia="Times New Roman" w:hAnsi="Calibri" w:cs="Calibri"/>
                <w:b/>
                <w:bCs/>
                <w:color w:val="000000"/>
                <w:lang w:eastAsia="el-GR"/>
              </w:rPr>
              <w:t>2021-2020</w:t>
            </w:r>
          </w:p>
        </w:tc>
        <w:tc>
          <w:tcPr>
            <w:tcW w:w="1193" w:type="dxa"/>
            <w:vMerge/>
            <w:tcBorders>
              <w:top w:val="nil"/>
              <w:left w:val="nil"/>
              <w:bottom w:val="single" w:sz="4" w:space="0" w:color="000000"/>
              <w:right w:val="nil"/>
            </w:tcBorders>
            <w:shd w:val="clear" w:color="auto" w:fill="BDD6EE" w:themeFill="accent1" w:themeFillTint="66"/>
            <w:vAlign w:val="center"/>
            <w:hideMark/>
          </w:tcPr>
          <w:p w14:paraId="73D21E94" w14:textId="77777777" w:rsidR="006A5A78" w:rsidRPr="00F87C3C" w:rsidRDefault="006A5A78" w:rsidP="00247B52">
            <w:pPr>
              <w:spacing w:after="0" w:line="240" w:lineRule="auto"/>
              <w:rPr>
                <w:rFonts w:ascii="Calibri" w:eastAsia="Times New Roman" w:hAnsi="Calibri" w:cs="Calibri"/>
                <w:b/>
                <w:bCs/>
                <w:color w:val="000000"/>
                <w:lang w:eastAsia="el-GR"/>
              </w:rPr>
            </w:pPr>
          </w:p>
        </w:tc>
        <w:tc>
          <w:tcPr>
            <w:tcW w:w="1189" w:type="dxa"/>
            <w:tcBorders>
              <w:top w:val="nil"/>
              <w:left w:val="nil"/>
              <w:bottom w:val="single" w:sz="4" w:space="0" w:color="auto"/>
              <w:right w:val="nil"/>
            </w:tcBorders>
            <w:shd w:val="clear" w:color="auto" w:fill="BDD6EE" w:themeFill="accent1" w:themeFillTint="66"/>
            <w:noWrap/>
            <w:vAlign w:val="bottom"/>
            <w:hideMark/>
          </w:tcPr>
          <w:p w14:paraId="5EEBF71E" w14:textId="77777777" w:rsidR="006A5A78" w:rsidRPr="00F87C3C" w:rsidRDefault="006A5A78" w:rsidP="00247B52">
            <w:pPr>
              <w:spacing w:after="0" w:line="240" w:lineRule="auto"/>
              <w:rPr>
                <w:rFonts w:ascii="Calibri" w:eastAsia="Times New Roman" w:hAnsi="Calibri" w:cs="Calibri"/>
                <w:b/>
                <w:bCs/>
                <w:color w:val="000000"/>
                <w:lang w:eastAsia="el-GR"/>
              </w:rPr>
            </w:pPr>
            <w:r w:rsidRPr="00F87C3C">
              <w:rPr>
                <w:rFonts w:ascii="Calibri" w:eastAsia="Times New Roman" w:hAnsi="Calibri" w:cs="Calibri"/>
                <w:b/>
                <w:bCs/>
                <w:color w:val="000000"/>
                <w:lang w:eastAsia="el-GR"/>
              </w:rPr>
              <w:t>2021-2020</w:t>
            </w:r>
          </w:p>
        </w:tc>
        <w:tc>
          <w:tcPr>
            <w:tcW w:w="1144" w:type="dxa"/>
            <w:vMerge/>
            <w:tcBorders>
              <w:top w:val="single" w:sz="4" w:space="0" w:color="auto"/>
              <w:left w:val="nil"/>
              <w:bottom w:val="single" w:sz="4" w:space="0" w:color="000000"/>
              <w:right w:val="single" w:sz="4" w:space="0" w:color="auto"/>
            </w:tcBorders>
            <w:shd w:val="clear" w:color="auto" w:fill="BDD6EE" w:themeFill="accent1" w:themeFillTint="66"/>
            <w:vAlign w:val="center"/>
            <w:hideMark/>
          </w:tcPr>
          <w:p w14:paraId="1D7434B5" w14:textId="77777777" w:rsidR="006A5A78" w:rsidRPr="00F87C3C" w:rsidRDefault="006A5A78" w:rsidP="00247B52">
            <w:pPr>
              <w:spacing w:after="0" w:line="240" w:lineRule="auto"/>
              <w:rPr>
                <w:rFonts w:ascii="Calibri" w:eastAsia="Times New Roman" w:hAnsi="Calibri" w:cs="Calibri"/>
                <w:b/>
                <w:bCs/>
                <w:color w:val="000000"/>
                <w:lang w:eastAsia="el-GR"/>
              </w:rPr>
            </w:pPr>
          </w:p>
        </w:tc>
      </w:tr>
      <w:tr w:rsidR="006A5A78" w:rsidRPr="00F87C3C" w14:paraId="592AA124" w14:textId="77777777" w:rsidTr="00B6235D">
        <w:trPr>
          <w:trHeight w:val="190"/>
        </w:trPr>
        <w:tc>
          <w:tcPr>
            <w:tcW w:w="2715" w:type="dxa"/>
            <w:tcBorders>
              <w:top w:val="nil"/>
              <w:left w:val="single" w:sz="4" w:space="0" w:color="auto"/>
              <w:bottom w:val="single" w:sz="4" w:space="0" w:color="auto"/>
              <w:right w:val="single" w:sz="4" w:space="0" w:color="auto"/>
            </w:tcBorders>
            <w:shd w:val="clear" w:color="000000" w:fill="BFBFBF"/>
            <w:vAlign w:val="bottom"/>
            <w:hideMark/>
          </w:tcPr>
          <w:p w14:paraId="1C93952A" w14:textId="77777777" w:rsidR="006A5A78" w:rsidRPr="00F87C3C" w:rsidRDefault="006A5A78" w:rsidP="00247B52">
            <w:pPr>
              <w:spacing w:after="0" w:line="240" w:lineRule="auto"/>
              <w:rPr>
                <w:rFonts w:ascii="Calibri" w:eastAsia="Times New Roman" w:hAnsi="Calibri" w:cs="Calibri"/>
                <w:b/>
                <w:bCs/>
                <w:color w:val="000000"/>
                <w:lang w:eastAsia="el-GR"/>
              </w:rPr>
            </w:pPr>
            <w:r w:rsidRPr="00F87C3C">
              <w:rPr>
                <w:rFonts w:ascii="Calibri" w:eastAsia="Times New Roman" w:hAnsi="Calibri" w:cs="Calibri"/>
                <w:b/>
                <w:bCs/>
                <w:color w:val="000000"/>
                <w:lang w:eastAsia="el-GR"/>
              </w:rPr>
              <w:t>Συνολικές Δαπάνες ΚΠ (Ι+ΙΙ)</w:t>
            </w:r>
          </w:p>
        </w:tc>
        <w:tc>
          <w:tcPr>
            <w:tcW w:w="926" w:type="dxa"/>
            <w:tcBorders>
              <w:top w:val="nil"/>
              <w:left w:val="nil"/>
              <w:bottom w:val="single" w:sz="4" w:space="0" w:color="auto"/>
              <w:right w:val="single" w:sz="4" w:space="0" w:color="auto"/>
            </w:tcBorders>
            <w:shd w:val="clear" w:color="000000" w:fill="BFBFBF"/>
            <w:noWrap/>
            <w:vAlign w:val="bottom"/>
            <w:hideMark/>
          </w:tcPr>
          <w:p w14:paraId="64CE1F82" w14:textId="77777777" w:rsidR="006A5A78" w:rsidRPr="00F87C3C" w:rsidRDefault="006A5A78" w:rsidP="00247B52">
            <w:pPr>
              <w:spacing w:after="0" w:line="240" w:lineRule="auto"/>
              <w:jc w:val="center"/>
              <w:rPr>
                <w:rFonts w:ascii="Calibri" w:eastAsia="Times New Roman" w:hAnsi="Calibri" w:cs="Calibri"/>
                <w:b/>
                <w:bCs/>
                <w:color w:val="000000"/>
                <w:lang w:eastAsia="el-GR"/>
              </w:rPr>
            </w:pPr>
            <w:r w:rsidRPr="00F87C3C">
              <w:rPr>
                <w:rFonts w:ascii="Calibri" w:eastAsia="Times New Roman" w:hAnsi="Calibri" w:cs="Calibri"/>
                <w:b/>
                <w:bCs/>
                <w:color w:val="000000"/>
                <w:lang w:eastAsia="el-GR"/>
              </w:rPr>
              <w:t>44.766</w:t>
            </w:r>
          </w:p>
        </w:tc>
        <w:tc>
          <w:tcPr>
            <w:tcW w:w="1034" w:type="dxa"/>
            <w:tcBorders>
              <w:top w:val="nil"/>
              <w:left w:val="nil"/>
              <w:bottom w:val="single" w:sz="4" w:space="0" w:color="auto"/>
              <w:right w:val="single" w:sz="4" w:space="0" w:color="auto"/>
            </w:tcBorders>
            <w:shd w:val="clear" w:color="000000" w:fill="BFBFBF"/>
            <w:noWrap/>
            <w:vAlign w:val="bottom"/>
            <w:hideMark/>
          </w:tcPr>
          <w:p w14:paraId="529BA15B" w14:textId="77777777" w:rsidR="006A5A78" w:rsidRPr="00F87C3C" w:rsidRDefault="006A5A78" w:rsidP="00247B52">
            <w:pPr>
              <w:spacing w:after="0" w:line="240" w:lineRule="auto"/>
              <w:jc w:val="center"/>
              <w:rPr>
                <w:rFonts w:ascii="Calibri" w:eastAsia="Times New Roman" w:hAnsi="Calibri" w:cs="Calibri"/>
                <w:b/>
                <w:bCs/>
                <w:color w:val="000000"/>
                <w:lang w:eastAsia="el-GR"/>
              </w:rPr>
            </w:pPr>
            <w:r w:rsidRPr="00F87C3C">
              <w:rPr>
                <w:rFonts w:ascii="Calibri" w:eastAsia="Times New Roman" w:hAnsi="Calibri" w:cs="Calibri"/>
                <w:b/>
                <w:bCs/>
                <w:color w:val="000000"/>
                <w:lang w:eastAsia="el-GR"/>
              </w:rPr>
              <w:t>49.600</w:t>
            </w:r>
          </w:p>
        </w:tc>
        <w:tc>
          <w:tcPr>
            <w:tcW w:w="1053" w:type="dxa"/>
            <w:tcBorders>
              <w:top w:val="nil"/>
              <w:left w:val="nil"/>
              <w:bottom w:val="single" w:sz="4" w:space="0" w:color="auto"/>
              <w:right w:val="single" w:sz="4" w:space="0" w:color="auto"/>
            </w:tcBorders>
            <w:shd w:val="clear" w:color="000000" w:fill="BFBFBF"/>
            <w:noWrap/>
            <w:vAlign w:val="bottom"/>
            <w:hideMark/>
          </w:tcPr>
          <w:p w14:paraId="378A05D0" w14:textId="77777777" w:rsidR="006A5A78" w:rsidRPr="00F87C3C" w:rsidRDefault="006A5A78" w:rsidP="00247B52">
            <w:pPr>
              <w:spacing w:after="0" w:line="240" w:lineRule="auto"/>
              <w:jc w:val="center"/>
              <w:rPr>
                <w:rFonts w:ascii="Calibri" w:eastAsia="Times New Roman" w:hAnsi="Calibri" w:cs="Calibri"/>
                <w:b/>
                <w:bCs/>
                <w:color w:val="000000"/>
                <w:lang w:eastAsia="el-GR"/>
              </w:rPr>
            </w:pPr>
            <w:r w:rsidRPr="00F87C3C">
              <w:rPr>
                <w:rFonts w:ascii="Calibri" w:eastAsia="Times New Roman" w:hAnsi="Calibri" w:cs="Calibri"/>
                <w:b/>
                <w:bCs/>
                <w:color w:val="000000"/>
                <w:lang w:eastAsia="el-GR"/>
              </w:rPr>
              <w:t>4.834</w:t>
            </w:r>
          </w:p>
        </w:tc>
        <w:tc>
          <w:tcPr>
            <w:tcW w:w="1193" w:type="dxa"/>
            <w:tcBorders>
              <w:top w:val="nil"/>
              <w:left w:val="nil"/>
              <w:bottom w:val="single" w:sz="4" w:space="0" w:color="auto"/>
              <w:right w:val="single" w:sz="4" w:space="0" w:color="auto"/>
            </w:tcBorders>
            <w:shd w:val="clear" w:color="000000" w:fill="BFBFBF"/>
            <w:noWrap/>
            <w:vAlign w:val="bottom"/>
            <w:hideMark/>
          </w:tcPr>
          <w:p w14:paraId="450DC9AA" w14:textId="77777777" w:rsidR="006A5A78" w:rsidRPr="00F87C3C" w:rsidRDefault="006A5A78" w:rsidP="00247B52">
            <w:pPr>
              <w:spacing w:after="0" w:line="240" w:lineRule="auto"/>
              <w:jc w:val="center"/>
              <w:rPr>
                <w:rFonts w:ascii="Calibri" w:eastAsia="Times New Roman" w:hAnsi="Calibri" w:cs="Calibri"/>
                <w:b/>
                <w:bCs/>
                <w:color w:val="000000"/>
                <w:lang w:eastAsia="el-GR"/>
              </w:rPr>
            </w:pPr>
            <w:r w:rsidRPr="00F87C3C">
              <w:rPr>
                <w:rFonts w:ascii="Calibri" w:eastAsia="Times New Roman" w:hAnsi="Calibri" w:cs="Calibri"/>
                <w:b/>
                <w:bCs/>
                <w:color w:val="000000"/>
                <w:lang w:eastAsia="el-GR"/>
              </w:rPr>
              <w:t>71.071</w:t>
            </w:r>
          </w:p>
        </w:tc>
        <w:tc>
          <w:tcPr>
            <w:tcW w:w="1189" w:type="dxa"/>
            <w:tcBorders>
              <w:top w:val="nil"/>
              <w:left w:val="nil"/>
              <w:bottom w:val="single" w:sz="4" w:space="0" w:color="auto"/>
              <w:right w:val="single" w:sz="4" w:space="0" w:color="auto"/>
            </w:tcBorders>
            <w:shd w:val="clear" w:color="000000" w:fill="BFBFBF"/>
            <w:noWrap/>
            <w:vAlign w:val="bottom"/>
            <w:hideMark/>
          </w:tcPr>
          <w:p w14:paraId="3CFE5513" w14:textId="77777777" w:rsidR="006A5A78" w:rsidRPr="00F87C3C" w:rsidRDefault="006A5A78" w:rsidP="00247B52">
            <w:pPr>
              <w:spacing w:after="0" w:line="240" w:lineRule="auto"/>
              <w:jc w:val="center"/>
              <w:rPr>
                <w:rFonts w:ascii="Calibri" w:eastAsia="Times New Roman" w:hAnsi="Calibri" w:cs="Calibri"/>
                <w:b/>
                <w:bCs/>
                <w:color w:val="000000"/>
                <w:lang w:eastAsia="el-GR"/>
              </w:rPr>
            </w:pPr>
            <w:r w:rsidRPr="00F87C3C">
              <w:rPr>
                <w:rFonts w:ascii="Calibri" w:eastAsia="Times New Roman" w:hAnsi="Calibri" w:cs="Calibri"/>
                <w:b/>
                <w:bCs/>
                <w:color w:val="000000"/>
                <w:lang w:eastAsia="el-GR"/>
              </w:rPr>
              <w:t>10,8%</w:t>
            </w:r>
          </w:p>
        </w:tc>
        <w:tc>
          <w:tcPr>
            <w:tcW w:w="1144" w:type="dxa"/>
            <w:tcBorders>
              <w:top w:val="nil"/>
              <w:left w:val="nil"/>
              <w:bottom w:val="single" w:sz="4" w:space="0" w:color="auto"/>
              <w:right w:val="single" w:sz="4" w:space="0" w:color="auto"/>
            </w:tcBorders>
            <w:shd w:val="clear" w:color="000000" w:fill="BFBFBF"/>
            <w:noWrap/>
            <w:vAlign w:val="bottom"/>
            <w:hideMark/>
          </w:tcPr>
          <w:p w14:paraId="04129D56" w14:textId="77777777" w:rsidR="006A5A78" w:rsidRPr="00F87C3C" w:rsidRDefault="006A5A78" w:rsidP="00247B52">
            <w:pPr>
              <w:spacing w:after="0" w:line="240" w:lineRule="auto"/>
              <w:jc w:val="center"/>
              <w:rPr>
                <w:rFonts w:ascii="Calibri" w:eastAsia="Times New Roman" w:hAnsi="Calibri" w:cs="Calibri"/>
                <w:b/>
                <w:bCs/>
                <w:color w:val="000000"/>
                <w:lang w:eastAsia="el-GR"/>
              </w:rPr>
            </w:pPr>
            <w:r w:rsidRPr="00F87C3C">
              <w:rPr>
                <w:rFonts w:ascii="Calibri" w:eastAsia="Times New Roman" w:hAnsi="Calibri" w:cs="Calibri"/>
                <w:b/>
                <w:bCs/>
                <w:color w:val="000000"/>
                <w:lang w:eastAsia="el-GR"/>
              </w:rPr>
              <w:t>69,8%</w:t>
            </w:r>
          </w:p>
        </w:tc>
      </w:tr>
      <w:tr w:rsidR="006A5A78" w:rsidRPr="00F87C3C" w14:paraId="1679854E" w14:textId="77777777" w:rsidTr="00B6235D">
        <w:trPr>
          <w:trHeight w:val="190"/>
        </w:trPr>
        <w:tc>
          <w:tcPr>
            <w:tcW w:w="2715" w:type="dxa"/>
            <w:tcBorders>
              <w:top w:val="nil"/>
              <w:left w:val="single" w:sz="4" w:space="0" w:color="auto"/>
              <w:bottom w:val="single" w:sz="4" w:space="0" w:color="auto"/>
              <w:right w:val="single" w:sz="4" w:space="0" w:color="auto"/>
            </w:tcBorders>
            <w:shd w:val="clear" w:color="000000" w:fill="D9D9D9"/>
            <w:vAlign w:val="bottom"/>
            <w:hideMark/>
          </w:tcPr>
          <w:p w14:paraId="5374C50F" w14:textId="77777777" w:rsidR="006A5A78" w:rsidRPr="00F87C3C" w:rsidRDefault="006A5A78" w:rsidP="00247B52">
            <w:pPr>
              <w:spacing w:after="0" w:line="240" w:lineRule="auto"/>
              <w:rPr>
                <w:rFonts w:ascii="Calibri" w:eastAsia="Times New Roman" w:hAnsi="Calibri" w:cs="Calibri"/>
                <w:b/>
                <w:bCs/>
                <w:color w:val="000000"/>
                <w:lang w:eastAsia="el-GR"/>
              </w:rPr>
            </w:pPr>
            <w:r w:rsidRPr="00F87C3C">
              <w:rPr>
                <w:rFonts w:ascii="Calibri" w:eastAsia="Times New Roman" w:hAnsi="Calibri" w:cs="Calibri"/>
                <w:b/>
                <w:bCs/>
                <w:color w:val="000000"/>
                <w:lang w:eastAsia="el-GR"/>
              </w:rPr>
              <w:t>Πρωτογενείς Δαπάνες (*)</w:t>
            </w:r>
          </w:p>
        </w:tc>
        <w:tc>
          <w:tcPr>
            <w:tcW w:w="926" w:type="dxa"/>
            <w:tcBorders>
              <w:top w:val="nil"/>
              <w:left w:val="nil"/>
              <w:bottom w:val="single" w:sz="4" w:space="0" w:color="auto"/>
              <w:right w:val="single" w:sz="4" w:space="0" w:color="auto"/>
            </w:tcBorders>
            <w:shd w:val="clear" w:color="000000" w:fill="D9D9D9"/>
            <w:noWrap/>
            <w:vAlign w:val="bottom"/>
            <w:hideMark/>
          </w:tcPr>
          <w:p w14:paraId="41B8A844"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40.494</w:t>
            </w:r>
          </w:p>
        </w:tc>
        <w:tc>
          <w:tcPr>
            <w:tcW w:w="1034" w:type="dxa"/>
            <w:tcBorders>
              <w:top w:val="nil"/>
              <w:left w:val="nil"/>
              <w:bottom w:val="single" w:sz="4" w:space="0" w:color="auto"/>
              <w:right w:val="single" w:sz="4" w:space="0" w:color="auto"/>
            </w:tcBorders>
            <w:shd w:val="clear" w:color="000000" w:fill="D9D9D9"/>
            <w:noWrap/>
            <w:vAlign w:val="bottom"/>
            <w:hideMark/>
          </w:tcPr>
          <w:p w14:paraId="641C0E0B"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45.221</w:t>
            </w:r>
          </w:p>
        </w:tc>
        <w:tc>
          <w:tcPr>
            <w:tcW w:w="1053" w:type="dxa"/>
            <w:tcBorders>
              <w:top w:val="nil"/>
              <w:left w:val="nil"/>
              <w:bottom w:val="single" w:sz="4" w:space="0" w:color="auto"/>
              <w:right w:val="single" w:sz="4" w:space="0" w:color="auto"/>
            </w:tcBorders>
            <w:shd w:val="clear" w:color="000000" w:fill="D0CECE"/>
            <w:noWrap/>
            <w:vAlign w:val="bottom"/>
            <w:hideMark/>
          </w:tcPr>
          <w:p w14:paraId="2353B7EE"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4.727</w:t>
            </w:r>
          </w:p>
        </w:tc>
        <w:tc>
          <w:tcPr>
            <w:tcW w:w="1193" w:type="dxa"/>
            <w:tcBorders>
              <w:top w:val="nil"/>
              <w:left w:val="nil"/>
              <w:bottom w:val="single" w:sz="4" w:space="0" w:color="auto"/>
              <w:right w:val="single" w:sz="4" w:space="0" w:color="auto"/>
            </w:tcBorders>
            <w:shd w:val="clear" w:color="000000" w:fill="D9D9D9"/>
            <w:noWrap/>
            <w:vAlign w:val="bottom"/>
            <w:hideMark/>
          </w:tcPr>
          <w:p w14:paraId="5DC3E992"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66.311</w:t>
            </w:r>
          </w:p>
        </w:tc>
        <w:tc>
          <w:tcPr>
            <w:tcW w:w="1189" w:type="dxa"/>
            <w:tcBorders>
              <w:top w:val="nil"/>
              <w:left w:val="nil"/>
              <w:bottom w:val="single" w:sz="4" w:space="0" w:color="auto"/>
              <w:right w:val="single" w:sz="4" w:space="0" w:color="auto"/>
            </w:tcBorders>
            <w:shd w:val="clear" w:color="000000" w:fill="D9D9D9"/>
            <w:noWrap/>
            <w:vAlign w:val="bottom"/>
            <w:hideMark/>
          </w:tcPr>
          <w:p w14:paraId="3FE46426"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11,7%</w:t>
            </w:r>
          </w:p>
        </w:tc>
        <w:tc>
          <w:tcPr>
            <w:tcW w:w="1144" w:type="dxa"/>
            <w:tcBorders>
              <w:top w:val="nil"/>
              <w:left w:val="nil"/>
              <w:bottom w:val="single" w:sz="4" w:space="0" w:color="auto"/>
              <w:right w:val="single" w:sz="4" w:space="0" w:color="auto"/>
            </w:tcBorders>
            <w:shd w:val="clear" w:color="000000" w:fill="D9D9D9"/>
            <w:noWrap/>
            <w:vAlign w:val="bottom"/>
            <w:hideMark/>
          </w:tcPr>
          <w:p w14:paraId="37E2E50A"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68,2%</w:t>
            </w:r>
          </w:p>
        </w:tc>
      </w:tr>
      <w:tr w:rsidR="006A5A78" w:rsidRPr="00F87C3C" w14:paraId="459E6C5D" w14:textId="77777777" w:rsidTr="00B6235D">
        <w:trPr>
          <w:trHeight w:val="190"/>
        </w:trPr>
        <w:tc>
          <w:tcPr>
            <w:tcW w:w="2715" w:type="dxa"/>
            <w:tcBorders>
              <w:top w:val="nil"/>
              <w:left w:val="single" w:sz="4" w:space="0" w:color="auto"/>
              <w:bottom w:val="single" w:sz="4" w:space="0" w:color="auto"/>
              <w:right w:val="single" w:sz="4" w:space="0" w:color="auto"/>
            </w:tcBorders>
            <w:shd w:val="clear" w:color="000000" w:fill="D0CECE"/>
            <w:noWrap/>
            <w:vAlign w:val="bottom"/>
            <w:hideMark/>
          </w:tcPr>
          <w:p w14:paraId="4EFBBE8D" w14:textId="77777777" w:rsidR="006A5A78" w:rsidRPr="00F87C3C" w:rsidRDefault="006A5A78" w:rsidP="00247B52">
            <w:pPr>
              <w:spacing w:after="0" w:line="240" w:lineRule="auto"/>
              <w:rPr>
                <w:rFonts w:ascii="Calibri" w:eastAsia="Times New Roman" w:hAnsi="Calibri" w:cs="Calibri"/>
                <w:color w:val="000000"/>
                <w:lang w:eastAsia="el-GR"/>
              </w:rPr>
            </w:pPr>
            <w:r w:rsidRPr="00F87C3C">
              <w:rPr>
                <w:rFonts w:ascii="Calibri" w:eastAsia="Times New Roman" w:hAnsi="Calibri" w:cs="Calibri"/>
                <w:color w:val="000000"/>
                <w:lang w:eastAsia="el-GR"/>
              </w:rPr>
              <w:t>Ι. Δαπάνες Τ.Π. (**)</w:t>
            </w:r>
          </w:p>
        </w:tc>
        <w:tc>
          <w:tcPr>
            <w:tcW w:w="926" w:type="dxa"/>
            <w:tcBorders>
              <w:top w:val="nil"/>
              <w:left w:val="nil"/>
              <w:bottom w:val="single" w:sz="4" w:space="0" w:color="auto"/>
              <w:right w:val="single" w:sz="4" w:space="0" w:color="auto"/>
            </w:tcBorders>
            <w:shd w:val="clear" w:color="000000" w:fill="D0CECE"/>
            <w:noWrap/>
            <w:vAlign w:val="bottom"/>
            <w:hideMark/>
          </w:tcPr>
          <w:p w14:paraId="2ACA106C"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38.400</w:t>
            </w:r>
          </w:p>
        </w:tc>
        <w:tc>
          <w:tcPr>
            <w:tcW w:w="1034" w:type="dxa"/>
            <w:tcBorders>
              <w:top w:val="nil"/>
              <w:left w:val="nil"/>
              <w:bottom w:val="single" w:sz="4" w:space="0" w:color="auto"/>
              <w:right w:val="single" w:sz="4" w:space="0" w:color="auto"/>
            </w:tcBorders>
            <w:shd w:val="clear" w:color="000000" w:fill="D0CECE"/>
            <w:noWrap/>
            <w:vAlign w:val="bottom"/>
            <w:hideMark/>
          </w:tcPr>
          <w:p w14:paraId="24E4D9F9"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43.179</w:t>
            </w:r>
          </w:p>
        </w:tc>
        <w:tc>
          <w:tcPr>
            <w:tcW w:w="1053" w:type="dxa"/>
            <w:tcBorders>
              <w:top w:val="nil"/>
              <w:left w:val="nil"/>
              <w:bottom w:val="single" w:sz="4" w:space="0" w:color="auto"/>
              <w:right w:val="single" w:sz="4" w:space="0" w:color="auto"/>
            </w:tcBorders>
            <w:shd w:val="clear" w:color="000000" w:fill="D0CECE"/>
            <w:noWrap/>
            <w:vAlign w:val="bottom"/>
            <w:hideMark/>
          </w:tcPr>
          <w:p w14:paraId="7A8AFE05"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4.779</w:t>
            </w:r>
          </w:p>
        </w:tc>
        <w:tc>
          <w:tcPr>
            <w:tcW w:w="1193" w:type="dxa"/>
            <w:tcBorders>
              <w:top w:val="nil"/>
              <w:left w:val="nil"/>
              <w:bottom w:val="single" w:sz="4" w:space="0" w:color="auto"/>
              <w:right w:val="single" w:sz="4" w:space="0" w:color="auto"/>
            </w:tcBorders>
            <w:shd w:val="clear" w:color="000000" w:fill="D0CECE"/>
            <w:noWrap/>
            <w:vAlign w:val="bottom"/>
            <w:hideMark/>
          </w:tcPr>
          <w:p w14:paraId="413FFA7B"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61.471</w:t>
            </w:r>
          </w:p>
        </w:tc>
        <w:tc>
          <w:tcPr>
            <w:tcW w:w="1189" w:type="dxa"/>
            <w:tcBorders>
              <w:top w:val="nil"/>
              <w:left w:val="nil"/>
              <w:bottom w:val="single" w:sz="4" w:space="0" w:color="auto"/>
              <w:right w:val="single" w:sz="4" w:space="0" w:color="auto"/>
            </w:tcBorders>
            <w:shd w:val="clear" w:color="000000" w:fill="D9D9D9"/>
            <w:noWrap/>
            <w:vAlign w:val="bottom"/>
            <w:hideMark/>
          </w:tcPr>
          <w:p w14:paraId="4E79137B"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12,4%</w:t>
            </w:r>
          </w:p>
        </w:tc>
        <w:tc>
          <w:tcPr>
            <w:tcW w:w="1144" w:type="dxa"/>
            <w:tcBorders>
              <w:top w:val="nil"/>
              <w:left w:val="nil"/>
              <w:bottom w:val="single" w:sz="4" w:space="0" w:color="auto"/>
              <w:right w:val="single" w:sz="4" w:space="0" w:color="auto"/>
            </w:tcBorders>
            <w:shd w:val="clear" w:color="000000" w:fill="D9D9D9"/>
            <w:noWrap/>
            <w:vAlign w:val="bottom"/>
            <w:hideMark/>
          </w:tcPr>
          <w:p w14:paraId="15ED2483"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70,2%</w:t>
            </w:r>
          </w:p>
        </w:tc>
      </w:tr>
      <w:tr w:rsidR="006A5A78" w:rsidRPr="00F87C3C" w14:paraId="2531AF39" w14:textId="77777777" w:rsidTr="00B6235D">
        <w:trPr>
          <w:trHeight w:val="190"/>
        </w:trPr>
        <w:tc>
          <w:tcPr>
            <w:tcW w:w="2715" w:type="dxa"/>
            <w:tcBorders>
              <w:top w:val="nil"/>
              <w:left w:val="single" w:sz="4" w:space="0" w:color="auto"/>
              <w:bottom w:val="single" w:sz="4" w:space="0" w:color="auto"/>
              <w:right w:val="single" w:sz="4" w:space="0" w:color="auto"/>
            </w:tcBorders>
            <w:shd w:val="clear" w:color="auto" w:fill="auto"/>
            <w:noWrap/>
            <w:vAlign w:val="bottom"/>
            <w:hideMark/>
          </w:tcPr>
          <w:p w14:paraId="69AFFD28" w14:textId="77777777" w:rsidR="006A5A78" w:rsidRPr="00F87C3C" w:rsidRDefault="006A5A78" w:rsidP="00247B52">
            <w:pPr>
              <w:spacing w:after="0" w:line="240" w:lineRule="auto"/>
              <w:rPr>
                <w:rFonts w:ascii="Calibri" w:eastAsia="Times New Roman" w:hAnsi="Calibri" w:cs="Calibri"/>
                <w:color w:val="000000"/>
                <w:lang w:eastAsia="el-GR"/>
              </w:rPr>
            </w:pPr>
            <w:r w:rsidRPr="00F87C3C">
              <w:rPr>
                <w:rFonts w:ascii="Calibri" w:eastAsia="Times New Roman" w:hAnsi="Calibri" w:cs="Calibri"/>
                <w:color w:val="000000"/>
                <w:lang w:eastAsia="el-GR"/>
              </w:rPr>
              <w:t>Παροχές σε εργαζόμενους</w:t>
            </w:r>
          </w:p>
        </w:tc>
        <w:tc>
          <w:tcPr>
            <w:tcW w:w="926" w:type="dxa"/>
            <w:tcBorders>
              <w:top w:val="nil"/>
              <w:left w:val="nil"/>
              <w:bottom w:val="single" w:sz="4" w:space="0" w:color="auto"/>
              <w:right w:val="single" w:sz="4" w:space="0" w:color="auto"/>
            </w:tcBorders>
            <w:shd w:val="clear" w:color="auto" w:fill="auto"/>
            <w:noWrap/>
            <w:vAlign w:val="bottom"/>
            <w:hideMark/>
          </w:tcPr>
          <w:p w14:paraId="1F8FCB6A"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9.980</w:t>
            </w:r>
          </w:p>
        </w:tc>
        <w:tc>
          <w:tcPr>
            <w:tcW w:w="1034" w:type="dxa"/>
            <w:tcBorders>
              <w:top w:val="nil"/>
              <w:left w:val="nil"/>
              <w:bottom w:val="single" w:sz="4" w:space="0" w:color="auto"/>
              <w:right w:val="single" w:sz="4" w:space="0" w:color="auto"/>
            </w:tcBorders>
            <w:shd w:val="clear" w:color="auto" w:fill="auto"/>
            <w:noWrap/>
            <w:vAlign w:val="bottom"/>
            <w:hideMark/>
          </w:tcPr>
          <w:p w14:paraId="6A7B59DA"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9.991</w:t>
            </w:r>
          </w:p>
        </w:tc>
        <w:tc>
          <w:tcPr>
            <w:tcW w:w="1053" w:type="dxa"/>
            <w:tcBorders>
              <w:top w:val="nil"/>
              <w:left w:val="nil"/>
              <w:bottom w:val="single" w:sz="4" w:space="0" w:color="auto"/>
              <w:right w:val="single" w:sz="4" w:space="0" w:color="auto"/>
            </w:tcBorders>
            <w:shd w:val="clear" w:color="auto" w:fill="auto"/>
            <w:noWrap/>
            <w:vAlign w:val="bottom"/>
            <w:hideMark/>
          </w:tcPr>
          <w:p w14:paraId="1932F0D1"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11</w:t>
            </w:r>
          </w:p>
        </w:tc>
        <w:tc>
          <w:tcPr>
            <w:tcW w:w="1193" w:type="dxa"/>
            <w:tcBorders>
              <w:top w:val="nil"/>
              <w:left w:val="nil"/>
              <w:bottom w:val="single" w:sz="4" w:space="0" w:color="auto"/>
              <w:right w:val="single" w:sz="4" w:space="0" w:color="auto"/>
            </w:tcBorders>
            <w:shd w:val="clear" w:color="auto" w:fill="auto"/>
            <w:noWrap/>
            <w:vAlign w:val="bottom"/>
            <w:hideMark/>
          </w:tcPr>
          <w:p w14:paraId="524D35A0"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13.481</w:t>
            </w:r>
          </w:p>
        </w:tc>
        <w:tc>
          <w:tcPr>
            <w:tcW w:w="1189" w:type="dxa"/>
            <w:tcBorders>
              <w:top w:val="nil"/>
              <w:left w:val="nil"/>
              <w:bottom w:val="single" w:sz="4" w:space="0" w:color="auto"/>
              <w:right w:val="single" w:sz="4" w:space="0" w:color="auto"/>
            </w:tcBorders>
            <w:shd w:val="clear" w:color="auto" w:fill="auto"/>
            <w:noWrap/>
            <w:vAlign w:val="bottom"/>
            <w:hideMark/>
          </w:tcPr>
          <w:p w14:paraId="770F21B3"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0,1%</w:t>
            </w:r>
          </w:p>
        </w:tc>
        <w:tc>
          <w:tcPr>
            <w:tcW w:w="1144" w:type="dxa"/>
            <w:tcBorders>
              <w:top w:val="nil"/>
              <w:left w:val="nil"/>
              <w:bottom w:val="single" w:sz="4" w:space="0" w:color="auto"/>
              <w:right w:val="single" w:sz="4" w:space="0" w:color="auto"/>
            </w:tcBorders>
            <w:shd w:val="clear" w:color="auto" w:fill="auto"/>
            <w:noWrap/>
            <w:vAlign w:val="bottom"/>
            <w:hideMark/>
          </w:tcPr>
          <w:p w14:paraId="1A8CC36B"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74,1%</w:t>
            </w:r>
          </w:p>
        </w:tc>
      </w:tr>
      <w:tr w:rsidR="006A5A78" w:rsidRPr="00F87C3C" w14:paraId="5899F35B" w14:textId="77777777" w:rsidTr="00B6235D">
        <w:trPr>
          <w:trHeight w:val="190"/>
        </w:trPr>
        <w:tc>
          <w:tcPr>
            <w:tcW w:w="2715" w:type="dxa"/>
            <w:tcBorders>
              <w:top w:val="nil"/>
              <w:left w:val="single" w:sz="4" w:space="0" w:color="auto"/>
              <w:bottom w:val="single" w:sz="4" w:space="0" w:color="auto"/>
              <w:right w:val="single" w:sz="4" w:space="0" w:color="auto"/>
            </w:tcBorders>
            <w:shd w:val="clear" w:color="auto" w:fill="auto"/>
            <w:vAlign w:val="bottom"/>
            <w:hideMark/>
          </w:tcPr>
          <w:p w14:paraId="7E1BDEE4" w14:textId="77777777" w:rsidR="006A5A78" w:rsidRPr="00F87C3C" w:rsidRDefault="006A5A78" w:rsidP="00247B52">
            <w:pPr>
              <w:spacing w:after="0" w:line="240" w:lineRule="auto"/>
              <w:rPr>
                <w:rFonts w:ascii="Calibri" w:eastAsia="Times New Roman" w:hAnsi="Calibri" w:cs="Calibri"/>
                <w:i/>
                <w:iCs/>
                <w:color w:val="000000"/>
                <w:sz w:val="20"/>
                <w:szCs w:val="20"/>
                <w:lang w:eastAsia="el-GR"/>
              </w:rPr>
            </w:pPr>
            <w:r w:rsidRPr="00F87C3C">
              <w:rPr>
                <w:rFonts w:ascii="Calibri" w:eastAsia="Times New Roman" w:hAnsi="Calibri" w:cs="Calibri"/>
                <w:i/>
                <w:iCs/>
                <w:color w:val="000000"/>
                <w:sz w:val="20"/>
                <w:szCs w:val="20"/>
                <w:lang w:eastAsia="el-GR"/>
              </w:rPr>
              <w:t>εκ των οποίων: Μικτές αποδοχές</w:t>
            </w:r>
          </w:p>
        </w:tc>
        <w:tc>
          <w:tcPr>
            <w:tcW w:w="926" w:type="dxa"/>
            <w:tcBorders>
              <w:top w:val="nil"/>
              <w:left w:val="nil"/>
              <w:bottom w:val="single" w:sz="4" w:space="0" w:color="auto"/>
              <w:right w:val="single" w:sz="4" w:space="0" w:color="auto"/>
            </w:tcBorders>
            <w:shd w:val="clear" w:color="auto" w:fill="auto"/>
            <w:noWrap/>
            <w:vAlign w:val="bottom"/>
            <w:hideMark/>
          </w:tcPr>
          <w:p w14:paraId="0E42D215" w14:textId="77777777" w:rsidR="006A5A78" w:rsidRPr="00F87C3C" w:rsidRDefault="006A5A78" w:rsidP="00247B52">
            <w:pPr>
              <w:spacing w:after="0" w:line="240" w:lineRule="auto"/>
              <w:jc w:val="center"/>
              <w:rPr>
                <w:rFonts w:ascii="Calibri" w:eastAsia="Times New Roman" w:hAnsi="Calibri" w:cs="Calibri"/>
                <w:i/>
                <w:iCs/>
                <w:color w:val="000000"/>
                <w:sz w:val="20"/>
                <w:szCs w:val="20"/>
                <w:lang w:eastAsia="el-GR"/>
              </w:rPr>
            </w:pPr>
            <w:r w:rsidRPr="00F87C3C">
              <w:rPr>
                <w:rFonts w:ascii="Calibri" w:eastAsia="Times New Roman" w:hAnsi="Calibri" w:cs="Calibri"/>
                <w:i/>
                <w:iCs/>
                <w:color w:val="000000"/>
                <w:sz w:val="20"/>
                <w:szCs w:val="20"/>
                <w:lang w:eastAsia="el-GR"/>
              </w:rPr>
              <w:t>8.452</w:t>
            </w:r>
          </w:p>
        </w:tc>
        <w:tc>
          <w:tcPr>
            <w:tcW w:w="1034" w:type="dxa"/>
            <w:tcBorders>
              <w:top w:val="nil"/>
              <w:left w:val="nil"/>
              <w:bottom w:val="single" w:sz="4" w:space="0" w:color="auto"/>
              <w:right w:val="single" w:sz="4" w:space="0" w:color="auto"/>
            </w:tcBorders>
            <w:shd w:val="clear" w:color="auto" w:fill="auto"/>
            <w:noWrap/>
            <w:vAlign w:val="bottom"/>
            <w:hideMark/>
          </w:tcPr>
          <w:p w14:paraId="34822FD8" w14:textId="77777777" w:rsidR="006A5A78" w:rsidRPr="00F87C3C" w:rsidRDefault="006A5A78" w:rsidP="00247B52">
            <w:pPr>
              <w:spacing w:after="0" w:line="240" w:lineRule="auto"/>
              <w:jc w:val="center"/>
              <w:rPr>
                <w:rFonts w:ascii="Calibri" w:eastAsia="Times New Roman" w:hAnsi="Calibri" w:cs="Calibri"/>
                <w:i/>
                <w:iCs/>
                <w:color w:val="000000"/>
                <w:sz w:val="20"/>
                <w:szCs w:val="20"/>
                <w:lang w:eastAsia="el-GR"/>
              </w:rPr>
            </w:pPr>
            <w:r w:rsidRPr="00F87C3C">
              <w:rPr>
                <w:rFonts w:ascii="Calibri" w:eastAsia="Times New Roman" w:hAnsi="Calibri" w:cs="Calibri"/>
                <w:i/>
                <w:iCs/>
                <w:color w:val="000000"/>
                <w:sz w:val="20"/>
                <w:szCs w:val="20"/>
                <w:lang w:eastAsia="el-GR"/>
              </w:rPr>
              <w:t>8.444</w:t>
            </w:r>
          </w:p>
        </w:tc>
        <w:tc>
          <w:tcPr>
            <w:tcW w:w="1053" w:type="dxa"/>
            <w:tcBorders>
              <w:top w:val="nil"/>
              <w:left w:val="nil"/>
              <w:bottom w:val="single" w:sz="4" w:space="0" w:color="auto"/>
              <w:right w:val="single" w:sz="4" w:space="0" w:color="auto"/>
            </w:tcBorders>
            <w:shd w:val="clear" w:color="auto" w:fill="auto"/>
            <w:noWrap/>
            <w:vAlign w:val="bottom"/>
            <w:hideMark/>
          </w:tcPr>
          <w:p w14:paraId="01723E80" w14:textId="77777777" w:rsidR="006A5A78" w:rsidRPr="00F87C3C" w:rsidRDefault="006A5A78" w:rsidP="00247B52">
            <w:pPr>
              <w:spacing w:after="0" w:line="240" w:lineRule="auto"/>
              <w:jc w:val="center"/>
              <w:rPr>
                <w:rFonts w:ascii="Calibri" w:eastAsia="Times New Roman" w:hAnsi="Calibri" w:cs="Calibri"/>
                <w:i/>
                <w:iCs/>
                <w:color w:val="000000"/>
                <w:sz w:val="20"/>
                <w:szCs w:val="20"/>
                <w:lang w:eastAsia="el-GR"/>
              </w:rPr>
            </w:pPr>
            <w:r w:rsidRPr="00F87C3C">
              <w:rPr>
                <w:rFonts w:ascii="Calibri" w:eastAsia="Times New Roman" w:hAnsi="Calibri" w:cs="Calibri"/>
                <w:i/>
                <w:iCs/>
                <w:color w:val="000000"/>
                <w:sz w:val="20"/>
                <w:szCs w:val="20"/>
                <w:lang w:eastAsia="el-GR"/>
              </w:rPr>
              <w:t>-8</w:t>
            </w:r>
          </w:p>
        </w:tc>
        <w:tc>
          <w:tcPr>
            <w:tcW w:w="1193" w:type="dxa"/>
            <w:tcBorders>
              <w:top w:val="nil"/>
              <w:left w:val="nil"/>
              <w:bottom w:val="single" w:sz="4" w:space="0" w:color="auto"/>
              <w:right w:val="single" w:sz="4" w:space="0" w:color="auto"/>
            </w:tcBorders>
            <w:shd w:val="clear" w:color="auto" w:fill="auto"/>
            <w:noWrap/>
            <w:vAlign w:val="bottom"/>
            <w:hideMark/>
          </w:tcPr>
          <w:p w14:paraId="16D45D7D" w14:textId="77777777" w:rsidR="006A5A78" w:rsidRPr="00F87C3C" w:rsidRDefault="006A5A78" w:rsidP="00247B52">
            <w:pPr>
              <w:spacing w:after="0" w:line="240" w:lineRule="auto"/>
              <w:jc w:val="center"/>
              <w:rPr>
                <w:rFonts w:ascii="Calibri" w:eastAsia="Times New Roman" w:hAnsi="Calibri" w:cs="Calibri"/>
                <w:i/>
                <w:iCs/>
                <w:color w:val="000000"/>
                <w:sz w:val="20"/>
                <w:szCs w:val="20"/>
                <w:lang w:eastAsia="el-GR"/>
              </w:rPr>
            </w:pPr>
            <w:r w:rsidRPr="00F87C3C">
              <w:rPr>
                <w:rFonts w:ascii="Calibri" w:eastAsia="Times New Roman" w:hAnsi="Calibri" w:cs="Calibri"/>
                <w:i/>
                <w:iCs/>
                <w:color w:val="000000"/>
                <w:sz w:val="20"/>
                <w:szCs w:val="20"/>
                <w:lang w:eastAsia="el-GR"/>
              </w:rPr>
              <w:t>11.409</w:t>
            </w:r>
          </w:p>
        </w:tc>
        <w:tc>
          <w:tcPr>
            <w:tcW w:w="1189" w:type="dxa"/>
            <w:tcBorders>
              <w:top w:val="nil"/>
              <w:left w:val="nil"/>
              <w:bottom w:val="single" w:sz="4" w:space="0" w:color="auto"/>
              <w:right w:val="single" w:sz="4" w:space="0" w:color="auto"/>
            </w:tcBorders>
            <w:shd w:val="clear" w:color="auto" w:fill="auto"/>
            <w:noWrap/>
            <w:vAlign w:val="bottom"/>
            <w:hideMark/>
          </w:tcPr>
          <w:p w14:paraId="6C134599" w14:textId="77777777" w:rsidR="006A5A78" w:rsidRPr="00F87C3C" w:rsidRDefault="006A5A78" w:rsidP="00247B52">
            <w:pPr>
              <w:spacing w:after="0" w:line="240" w:lineRule="auto"/>
              <w:jc w:val="center"/>
              <w:rPr>
                <w:rFonts w:ascii="Calibri" w:eastAsia="Times New Roman" w:hAnsi="Calibri" w:cs="Calibri"/>
                <w:i/>
                <w:iCs/>
                <w:color w:val="000000"/>
                <w:sz w:val="20"/>
                <w:szCs w:val="20"/>
                <w:lang w:eastAsia="el-GR"/>
              </w:rPr>
            </w:pPr>
            <w:r w:rsidRPr="00F87C3C">
              <w:rPr>
                <w:rFonts w:ascii="Calibri" w:eastAsia="Times New Roman" w:hAnsi="Calibri" w:cs="Calibri"/>
                <w:i/>
                <w:iCs/>
                <w:color w:val="000000"/>
                <w:sz w:val="20"/>
                <w:szCs w:val="20"/>
                <w:lang w:eastAsia="el-GR"/>
              </w:rPr>
              <w:t>-0,1%</w:t>
            </w:r>
          </w:p>
        </w:tc>
        <w:tc>
          <w:tcPr>
            <w:tcW w:w="1144" w:type="dxa"/>
            <w:tcBorders>
              <w:top w:val="nil"/>
              <w:left w:val="nil"/>
              <w:bottom w:val="single" w:sz="4" w:space="0" w:color="auto"/>
              <w:right w:val="single" w:sz="4" w:space="0" w:color="auto"/>
            </w:tcBorders>
            <w:shd w:val="clear" w:color="auto" w:fill="auto"/>
            <w:noWrap/>
            <w:vAlign w:val="bottom"/>
            <w:hideMark/>
          </w:tcPr>
          <w:p w14:paraId="3A61E4F9" w14:textId="77777777" w:rsidR="006A5A78" w:rsidRPr="00F87C3C" w:rsidRDefault="006A5A78" w:rsidP="00247B52">
            <w:pPr>
              <w:spacing w:after="0" w:line="240" w:lineRule="auto"/>
              <w:jc w:val="center"/>
              <w:rPr>
                <w:rFonts w:ascii="Calibri" w:eastAsia="Times New Roman" w:hAnsi="Calibri" w:cs="Calibri"/>
                <w:i/>
                <w:iCs/>
                <w:color w:val="000000"/>
                <w:sz w:val="20"/>
                <w:szCs w:val="20"/>
                <w:lang w:eastAsia="el-GR"/>
              </w:rPr>
            </w:pPr>
            <w:r w:rsidRPr="00F87C3C">
              <w:rPr>
                <w:rFonts w:ascii="Calibri" w:eastAsia="Times New Roman" w:hAnsi="Calibri" w:cs="Calibri"/>
                <w:i/>
                <w:iCs/>
                <w:color w:val="000000"/>
                <w:sz w:val="20"/>
                <w:szCs w:val="20"/>
                <w:lang w:eastAsia="el-GR"/>
              </w:rPr>
              <w:t>74,0%</w:t>
            </w:r>
          </w:p>
        </w:tc>
      </w:tr>
      <w:tr w:rsidR="006A5A78" w:rsidRPr="00F87C3C" w14:paraId="4CE4C3E3" w14:textId="77777777" w:rsidTr="00B6235D">
        <w:trPr>
          <w:trHeight w:val="334"/>
        </w:trPr>
        <w:tc>
          <w:tcPr>
            <w:tcW w:w="2715" w:type="dxa"/>
            <w:tcBorders>
              <w:top w:val="nil"/>
              <w:left w:val="single" w:sz="4" w:space="0" w:color="auto"/>
              <w:bottom w:val="single" w:sz="4" w:space="0" w:color="auto"/>
              <w:right w:val="single" w:sz="4" w:space="0" w:color="auto"/>
            </w:tcBorders>
            <w:shd w:val="clear" w:color="auto" w:fill="auto"/>
            <w:vAlign w:val="bottom"/>
            <w:hideMark/>
          </w:tcPr>
          <w:p w14:paraId="2519CE2A" w14:textId="77777777" w:rsidR="006A5A78" w:rsidRPr="00F87C3C" w:rsidRDefault="006A5A78" w:rsidP="00247B52">
            <w:pPr>
              <w:spacing w:after="0" w:line="240" w:lineRule="auto"/>
              <w:jc w:val="right"/>
              <w:rPr>
                <w:rFonts w:ascii="Calibri" w:eastAsia="Times New Roman" w:hAnsi="Calibri" w:cs="Calibri"/>
                <w:i/>
                <w:iCs/>
                <w:color w:val="000000"/>
                <w:sz w:val="20"/>
                <w:szCs w:val="20"/>
                <w:lang w:eastAsia="el-GR"/>
              </w:rPr>
            </w:pPr>
            <w:r w:rsidRPr="00F87C3C">
              <w:rPr>
                <w:rFonts w:ascii="Calibri" w:eastAsia="Times New Roman" w:hAnsi="Calibri" w:cs="Calibri"/>
                <w:i/>
                <w:iCs/>
                <w:color w:val="000000"/>
                <w:sz w:val="20"/>
                <w:szCs w:val="20"/>
                <w:lang w:eastAsia="el-GR"/>
              </w:rPr>
              <w:t>εκ των οποίων Εργοδοτικές Εισφορές</w:t>
            </w:r>
          </w:p>
        </w:tc>
        <w:tc>
          <w:tcPr>
            <w:tcW w:w="926" w:type="dxa"/>
            <w:tcBorders>
              <w:top w:val="nil"/>
              <w:left w:val="nil"/>
              <w:bottom w:val="single" w:sz="4" w:space="0" w:color="auto"/>
              <w:right w:val="single" w:sz="4" w:space="0" w:color="auto"/>
            </w:tcBorders>
            <w:shd w:val="clear" w:color="auto" w:fill="auto"/>
            <w:noWrap/>
            <w:vAlign w:val="bottom"/>
            <w:hideMark/>
          </w:tcPr>
          <w:p w14:paraId="6A06EE82" w14:textId="77777777" w:rsidR="006A5A78" w:rsidRPr="00F87C3C" w:rsidRDefault="006A5A78" w:rsidP="00247B52">
            <w:pPr>
              <w:spacing w:after="0" w:line="240" w:lineRule="auto"/>
              <w:jc w:val="center"/>
              <w:rPr>
                <w:rFonts w:ascii="Calibri" w:eastAsia="Times New Roman" w:hAnsi="Calibri" w:cs="Calibri"/>
                <w:i/>
                <w:iCs/>
                <w:color w:val="000000"/>
                <w:sz w:val="20"/>
                <w:szCs w:val="20"/>
                <w:lang w:eastAsia="el-GR"/>
              </w:rPr>
            </w:pPr>
            <w:r w:rsidRPr="00F87C3C">
              <w:rPr>
                <w:rFonts w:ascii="Calibri" w:eastAsia="Times New Roman" w:hAnsi="Calibri" w:cs="Calibri"/>
                <w:i/>
                <w:iCs/>
                <w:color w:val="000000"/>
                <w:sz w:val="20"/>
                <w:szCs w:val="20"/>
                <w:lang w:eastAsia="el-GR"/>
              </w:rPr>
              <w:t>1.528</w:t>
            </w:r>
          </w:p>
        </w:tc>
        <w:tc>
          <w:tcPr>
            <w:tcW w:w="1034" w:type="dxa"/>
            <w:tcBorders>
              <w:top w:val="nil"/>
              <w:left w:val="nil"/>
              <w:bottom w:val="single" w:sz="4" w:space="0" w:color="auto"/>
              <w:right w:val="single" w:sz="4" w:space="0" w:color="auto"/>
            </w:tcBorders>
            <w:shd w:val="clear" w:color="auto" w:fill="auto"/>
            <w:noWrap/>
            <w:vAlign w:val="bottom"/>
            <w:hideMark/>
          </w:tcPr>
          <w:p w14:paraId="26F8D57C" w14:textId="77777777" w:rsidR="006A5A78" w:rsidRPr="00F87C3C" w:rsidRDefault="006A5A78" w:rsidP="00247B52">
            <w:pPr>
              <w:spacing w:after="0" w:line="240" w:lineRule="auto"/>
              <w:jc w:val="center"/>
              <w:rPr>
                <w:rFonts w:ascii="Calibri" w:eastAsia="Times New Roman" w:hAnsi="Calibri" w:cs="Calibri"/>
                <w:i/>
                <w:iCs/>
                <w:color w:val="000000"/>
                <w:sz w:val="20"/>
                <w:szCs w:val="20"/>
                <w:lang w:eastAsia="el-GR"/>
              </w:rPr>
            </w:pPr>
            <w:r w:rsidRPr="00F87C3C">
              <w:rPr>
                <w:rFonts w:ascii="Calibri" w:eastAsia="Times New Roman" w:hAnsi="Calibri" w:cs="Calibri"/>
                <w:i/>
                <w:iCs/>
                <w:color w:val="000000"/>
                <w:sz w:val="20"/>
                <w:szCs w:val="20"/>
                <w:lang w:eastAsia="el-GR"/>
              </w:rPr>
              <w:t>1.547</w:t>
            </w:r>
          </w:p>
        </w:tc>
        <w:tc>
          <w:tcPr>
            <w:tcW w:w="1053" w:type="dxa"/>
            <w:tcBorders>
              <w:top w:val="nil"/>
              <w:left w:val="nil"/>
              <w:bottom w:val="single" w:sz="4" w:space="0" w:color="auto"/>
              <w:right w:val="single" w:sz="4" w:space="0" w:color="auto"/>
            </w:tcBorders>
            <w:shd w:val="clear" w:color="auto" w:fill="auto"/>
            <w:noWrap/>
            <w:vAlign w:val="bottom"/>
            <w:hideMark/>
          </w:tcPr>
          <w:p w14:paraId="3322AADF" w14:textId="77777777" w:rsidR="006A5A78" w:rsidRPr="00F87C3C" w:rsidRDefault="006A5A78" w:rsidP="00247B52">
            <w:pPr>
              <w:spacing w:after="0" w:line="240" w:lineRule="auto"/>
              <w:jc w:val="center"/>
              <w:rPr>
                <w:rFonts w:ascii="Calibri" w:eastAsia="Times New Roman" w:hAnsi="Calibri" w:cs="Calibri"/>
                <w:i/>
                <w:iCs/>
                <w:color w:val="000000"/>
                <w:sz w:val="20"/>
                <w:szCs w:val="20"/>
                <w:lang w:eastAsia="el-GR"/>
              </w:rPr>
            </w:pPr>
            <w:r w:rsidRPr="00F87C3C">
              <w:rPr>
                <w:rFonts w:ascii="Calibri" w:eastAsia="Times New Roman" w:hAnsi="Calibri" w:cs="Calibri"/>
                <w:i/>
                <w:iCs/>
                <w:color w:val="000000"/>
                <w:sz w:val="20"/>
                <w:szCs w:val="20"/>
                <w:lang w:eastAsia="el-GR"/>
              </w:rPr>
              <w:t>19</w:t>
            </w:r>
          </w:p>
        </w:tc>
        <w:tc>
          <w:tcPr>
            <w:tcW w:w="1193" w:type="dxa"/>
            <w:tcBorders>
              <w:top w:val="nil"/>
              <w:left w:val="nil"/>
              <w:bottom w:val="single" w:sz="4" w:space="0" w:color="auto"/>
              <w:right w:val="single" w:sz="4" w:space="0" w:color="auto"/>
            </w:tcBorders>
            <w:shd w:val="clear" w:color="auto" w:fill="auto"/>
            <w:noWrap/>
            <w:vAlign w:val="bottom"/>
            <w:hideMark/>
          </w:tcPr>
          <w:p w14:paraId="54020906" w14:textId="77777777" w:rsidR="006A5A78" w:rsidRPr="00F87C3C" w:rsidRDefault="006A5A78" w:rsidP="00247B52">
            <w:pPr>
              <w:spacing w:after="0" w:line="240" w:lineRule="auto"/>
              <w:jc w:val="center"/>
              <w:rPr>
                <w:rFonts w:ascii="Calibri" w:eastAsia="Times New Roman" w:hAnsi="Calibri" w:cs="Calibri"/>
                <w:i/>
                <w:iCs/>
                <w:color w:val="000000"/>
                <w:sz w:val="20"/>
                <w:szCs w:val="20"/>
                <w:lang w:eastAsia="el-GR"/>
              </w:rPr>
            </w:pPr>
            <w:r w:rsidRPr="00F87C3C">
              <w:rPr>
                <w:rFonts w:ascii="Calibri" w:eastAsia="Times New Roman" w:hAnsi="Calibri" w:cs="Calibri"/>
                <w:i/>
                <w:iCs/>
                <w:color w:val="000000"/>
                <w:sz w:val="20"/>
                <w:szCs w:val="20"/>
                <w:lang w:eastAsia="el-GR"/>
              </w:rPr>
              <w:t>2.072</w:t>
            </w:r>
          </w:p>
        </w:tc>
        <w:tc>
          <w:tcPr>
            <w:tcW w:w="1189" w:type="dxa"/>
            <w:tcBorders>
              <w:top w:val="nil"/>
              <w:left w:val="nil"/>
              <w:bottom w:val="single" w:sz="4" w:space="0" w:color="auto"/>
              <w:right w:val="single" w:sz="4" w:space="0" w:color="auto"/>
            </w:tcBorders>
            <w:shd w:val="clear" w:color="auto" w:fill="auto"/>
            <w:noWrap/>
            <w:vAlign w:val="bottom"/>
            <w:hideMark/>
          </w:tcPr>
          <w:p w14:paraId="6D21071D" w14:textId="77777777" w:rsidR="006A5A78" w:rsidRPr="00F87C3C" w:rsidRDefault="006A5A78" w:rsidP="00247B52">
            <w:pPr>
              <w:spacing w:after="0" w:line="240" w:lineRule="auto"/>
              <w:jc w:val="center"/>
              <w:rPr>
                <w:rFonts w:ascii="Calibri" w:eastAsia="Times New Roman" w:hAnsi="Calibri" w:cs="Calibri"/>
                <w:i/>
                <w:iCs/>
                <w:color w:val="000000"/>
                <w:sz w:val="20"/>
                <w:szCs w:val="20"/>
                <w:lang w:eastAsia="el-GR"/>
              </w:rPr>
            </w:pPr>
            <w:r w:rsidRPr="00F87C3C">
              <w:rPr>
                <w:rFonts w:ascii="Calibri" w:eastAsia="Times New Roman" w:hAnsi="Calibri" w:cs="Calibri"/>
                <w:i/>
                <w:iCs/>
                <w:color w:val="000000"/>
                <w:sz w:val="20"/>
                <w:szCs w:val="20"/>
                <w:lang w:eastAsia="el-GR"/>
              </w:rPr>
              <w:t>1,2%</w:t>
            </w:r>
          </w:p>
        </w:tc>
        <w:tc>
          <w:tcPr>
            <w:tcW w:w="1144" w:type="dxa"/>
            <w:tcBorders>
              <w:top w:val="nil"/>
              <w:left w:val="nil"/>
              <w:bottom w:val="single" w:sz="4" w:space="0" w:color="auto"/>
              <w:right w:val="single" w:sz="4" w:space="0" w:color="auto"/>
            </w:tcBorders>
            <w:shd w:val="clear" w:color="auto" w:fill="auto"/>
            <w:noWrap/>
            <w:vAlign w:val="bottom"/>
            <w:hideMark/>
          </w:tcPr>
          <w:p w14:paraId="271ADEDE" w14:textId="77777777" w:rsidR="006A5A78" w:rsidRPr="00F87C3C" w:rsidRDefault="006A5A78" w:rsidP="00247B52">
            <w:pPr>
              <w:spacing w:after="0" w:line="240" w:lineRule="auto"/>
              <w:jc w:val="center"/>
              <w:rPr>
                <w:rFonts w:ascii="Calibri" w:eastAsia="Times New Roman" w:hAnsi="Calibri" w:cs="Calibri"/>
                <w:i/>
                <w:iCs/>
                <w:color w:val="000000"/>
                <w:sz w:val="20"/>
                <w:szCs w:val="20"/>
                <w:lang w:eastAsia="el-GR"/>
              </w:rPr>
            </w:pPr>
            <w:r w:rsidRPr="00F87C3C">
              <w:rPr>
                <w:rFonts w:ascii="Calibri" w:eastAsia="Times New Roman" w:hAnsi="Calibri" w:cs="Calibri"/>
                <w:i/>
                <w:iCs/>
                <w:color w:val="000000"/>
                <w:sz w:val="20"/>
                <w:szCs w:val="20"/>
                <w:lang w:eastAsia="el-GR"/>
              </w:rPr>
              <w:t>74,7%</w:t>
            </w:r>
          </w:p>
        </w:tc>
      </w:tr>
      <w:tr w:rsidR="006A5A78" w:rsidRPr="00F87C3C" w14:paraId="47A7FA90" w14:textId="77777777" w:rsidTr="00B6235D">
        <w:trPr>
          <w:trHeight w:val="190"/>
        </w:trPr>
        <w:tc>
          <w:tcPr>
            <w:tcW w:w="2715" w:type="dxa"/>
            <w:tcBorders>
              <w:top w:val="nil"/>
              <w:left w:val="single" w:sz="4" w:space="0" w:color="auto"/>
              <w:bottom w:val="single" w:sz="4" w:space="0" w:color="auto"/>
              <w:right w:val="single" w:sz="4" w:space="0" w:color="auto"/>
            </w:tcBorders>
            <w:shd w:val="clear" w:color="auto" w:fill="auto"/>
            <w:vAlign w:val="bottom"/>
            <w:hideMark/>
          </w:tcPr>
          <w:p w14:paraId="7F3BC21D" w14:textId="77777777" w:rsidR="006A5A78" w:rsidRPr="00F87C3C" w:rsidRDefault="006A5A78" w:rsidP="00247B52">
            <w:pPr>
              <w:spacing w:after="0" w:line="240" w:lineRule="auto"/>
              <w:rPr>
                <w:rFonts w:ascii="Calibri" w:eastAsia="Times New Roman" w:hAnsi="Calibri" w:cs="Calibri"/>
                <w:color w:val="000000"/>
                <w:lang w:eastAsia="el-GR"/>
              </w:rPr>
            </w:pPr>
            <w:r w:rsidRPr="00F87C3C">
              <w:rPr>
                <w:rFonts w:ascii="Calibri" w:eastAsia="Times New Roman" w:hAnsi="Calibri" w:cs="Calibri"/>
                <w:color w:val="000000"/>
                <w:lang w:eastAsia="el-GR"/>
              </w:rPr>
              <w:t xml:space="preserve">Κοινωνικές Παροχές </w:t>
            </w:r>
          </w:p>
        </w:tc>
        <w:tc>
          <w:tcPr>
            <w:tcW w:w="926" w:type="dxa"/>
            <w:tcBorders>
              <w:top w:val="nil"/>
              <w:left w:val="nil"/>
              <w:bottom w:val="single" w:sz="4" w:space="0" w:color="auto"/>
              <w:right w:val="single" w:sz="4" w:space="0" w:color="auto"/>
            </w:tcBorders>
            <w:shd w:val="clear" w:color="auto" w:fill="auto"/>
            <w:noWrap/>
            <w:vAlign w:val="bottom"/>
            <w:hideMark/>
          </w:tcPr>
          <w:p w14:paraId="3292CCE5"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96</w:t>
            </w:r>
          </w:p>
        </w:tc>
        <w:tc>
          <w:tcPr>
            <w:tcW w:w="1034" w:type="dxa"/>
            <w:tcBorders>
              <w:top w:val="nil"/>
              <w:left w:val="nil"/>
              <w:bottom w:val="single" w:sz="4" w:space="0" w:color="auto"/>
              <w:right w:val="single" w:sz="4" w:space="0" w:color="auto"/>
            </w:tcBorders>
            <w:shd w:val="clear" w:color="auto" w:fill="auto"/>
            <w:noWrap/>
            <w:vAlign w:val="bottom"/>
            <w:hideMark/>
          </w:tcPr>
          <w:p w14:paraId="44CB387F"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155</w:t>
            </w:r>
          </w:p>
        </w:tc>
        <w:tc>
          <w:tcPr>
            <w:tcW w:w="1053" w:type="dxa"/>
            <w:tcBorders>
              <w:top w:val="nil"/>
              <w:left w:val="nil"/>
              <w:bottom w:val="single" w:sz="4" w:space="0" w:color="auto"/>
              <w:right w:val="single" w:sz="4" w:space="0" w:color="auto"/>
            </w:tcBorders>
            <w:shd w:val="clear" w:color="auto" w:fill="auto"/>
            <w:noWrap/>
            <w:vAlign w:val="bottom"/>
            <w:hideMark/>
          </w:tcPr>
          <w:p w14:paraId="434328AB"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59</w:t>
            </w:r>
          </w:p>
        </w:tc>
        <w:tc>
          <w:tcPr>
            <w:tcW w:w="1193" w:type="dxa"/>
            <w:tcBorders>
              <w:top w:val="nil"/>
              <w:left w:val="nil"/>
              <w:bottom w:val="single" w:sz="4" w:space="0" w:color="auto"/>
              <w:right w:val="single" w:sz="4" w:space="0" w:color="auto"/>
            </w:tcBorders>
            <w:shd w:val="clear" w:color="auto" w:fill="auto"/>
            <w:noWrap/>
            <w:vAlign w:val="bottom"/>
            <w:hideMark/>
          </w:tcPr>
          <w:p w14:paraId="027BFB5F"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194</w:t>
            </w:r>
          </w:p>
        </w:tc>
        <w:tc>
          <w:tcPr>
            <w:tcW w:w="1189" w:type="dxa"/>
            <w:tcBorders>
              <w:top w:val="nil"/>
              <w:left w:val="nil"/>
              <w:bottom w:val="single" w:sz="4" w:space="0" w:color="auto"/>
              <w:right w:val="single" w:sz="4" w:space="0" w:color="auto"/>
            </w:tcBorders>
            <w:shd w:val="clear" w:color="auto" w:fill="auto"/>
            <w:noWrap/>
            <w:vAlign w:val="bottom"/>
            <w:hideMark/>
          </w:tcPr>
          <w:p w14:paraId="6967176B"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61,5%</w:t>
            </w:r>
          </w:p>
        </w:tc>
        <w:tc>
          <w:tcPr>
            <w:tcW w:w="1144" w:type="dxa"/>
            <w:tcBorders>
              <w:top w:val="nil"/>
              <w:left w:val="nil"/>
              <w:bottom w:val="single" w:sz="4" w:space="0" w:color="auto"/>
              <w:right w:val="single" w:sz="4" w:space="0" w:color="auto"/>
            </w:tcBorders>
            <w:shd w:val="clear" w:color="auto" w:fill="auto"/>
            <w:noWrap/>
            <w:vAlign w:val="bottom"/>
            <w:hideMark/>
          </w:tcPr>
          <w:p w14:paraId="32FA4EA6"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79,9%</w:t>
            </w:r>
          </w:p>
        </w:tc>
      </w:tr>
      <w:tr w:rsidR="006A5A78" w:rsidRPr="00F87C3C" w14:paraId="7BB69DEA" w14:textId="77777777" w:rsidTr="00B6235D">
        <w:trPr>
          <w:trHeight w:val="190"/>
        </w:trPr>
        <w:tc>
          <w:tcPr>
            <w:tcW w:w="2715" w:type="dxa"/>
            <w:tcBorders>
              <w:top w:val="nil"/>
              <w:left w:val="single" w:sz="4" w:space="0" w:color="auto"/>
              <w:bottom w:val="single" w:sz="4" w:space="0" w:color="auto"/>
              <w:right w:val="single" w:sz="4" w:space="0" w:color="auto"/>
            </w:tcBorders>
            <w:shd w:val="clear" w:color="000000" w:fill="F2F2F2"/>
            <w:noWrap/>
            <w:vAlign w:val="bottom"/>
            <w:hideMark/>
          </w:tcPr>
          <w:p w14:paraId="1244525D" w14:textId="77777777" w:rsidR="006A5A78" w:rsidRPr="00F87C3C" w:rsidRDefault="006A5A78" w:rsidP="00247B52">
            <w:pPr>
              <w:spacing w:after="0" w:line="240" w:lineRule="auto"/>
              <w:rPr>
                <w:rFonts w:ascii="Calibri" w:eastAsia="Times New Roman" w:hAnsi="Calibri" w:cs="Calibri"/>
                <w:b/>
                <w:bCs/>
                <w:color w:val="000000"/>
                <w:lang w:eastAsia="el-GR"/>
              </w:rPr>
            </w:pPr>
            <w:r w:rsidRPr="00F87C3C">
              <w:rPr>
                <w:rFonts w:ascii="Calibri" w:eastAsia="Times New Roman" w:hAnsi="Calibri" w:cs="Calibri"/>
                <w:b/>
                <w:bCs/>
                <w:color w:val="000000"/>
                <w:lang w:eastAsia="el-GR"/>
              </w:rPr>
              <w:t xml:space="preserve">Μεταβιβάσεις </w:t>
            </w:r>
          </w:p>
        </w:tc>
        <w:tc>
          <w:tcPr>
            <w:tcW w:w="926" w:type="dxa"/>
            <w:tcBorders>
              <w:top w:val="nil"/>
              <w:left w:val="nil"/>
              <w:bottom w:val="single" w:sz="4" w:space="0" w:color="auto"/>
              <w:right w:val="single" w:sz="4" w:space="0" w:color="auto"/>
            </w:tcBorders>
            <w:shd w:val="clear" w:color="000000" w:fill="F2F2F2"/>
            <w:noWrap/>
            <w:vAlign w:val="bottom"/>
            <w:hideMark/>
          </w:tcPr>
          <w:p w14:paraId="62186A69" w14:textId="77777777" w:rsidR="006A5A78" w:rsidRPr="00F87C3C" w:rsidRDefault="006A5A78" w:rsidP="00247B52">
            <w:pPr>
              <w:spacing w:after="0" w:line="240" w:lineRule="auto"/>
              <w:jc w:val="center"/>
              <w:rPr>
                <w:rFonts w:ascii="Calibri" w:eastAsia="Times New Roman" w:hAnsi="Calibri" w:cs="Calibri"/>
                <w:b/>
                <w:bCs/>
                <w:color w:val="000000"/>
                <w:lang w:eastAsia="el-GR"/>
              </w:rPr>
            </w:pPr>
            <w:r w:rsidRPr="00F87C3C">
              <w:rPr>
                <w:rFonts w:ascii="Calibri" w:eastAsia="Times New Roman" w:hAnsi="Calibri" w:cs="Calibri"/>
                <w:b/>
                <w:bCs/>
                <w:color w:val="000000"/>
                <w:lang w:eastAsia="el-GR"/>
              </w:rPr>
              <w:t>22.960</w:t>
            </w:r>
          </w:p>
        </w:tc>
        <w:tc>
          <w:tcPr>
            <w:tcW w:w="1034" w:type="dxa"/>
            <w:tcBorders>
              <w:top w:val="nil"/>
              <w:left w:val="nil"/>
              <w:bottom w:val="single" w:sz="4" w:space="0" w:color="auto"/>
              <w:right w:val="single" w:sz="4" w:space="0" w:color="auto"/>
            </w:tcBorders>
            <w:shd w:val="clear" w:color="000000" w:fill="F2F2F2"/>
            <w:noWrap/>
            <w:vAlign w:val="bottom"/>
            <w:hideMark/>
          </w:tcPr>
          <w:p w14:paraId="5DB739ED" w14:textId="77777777" w:rsidR="006A5A78" w:rsidRPr="00F87C3C" w:rsidRDefault="006A5A78" w:rsidP="00247B52">
            <w:pPr>
              <w:spacing w:after="0" w:line="240" w:lineRule="auto"/>
              <w:jc w:val="center"/>
              <w:rPr>
                <w:rFonts w:ascii="Calibri" w:eastAsia="Times New Roman" w:hAnsi="Calibri" w:cs="Calibri"/>
                <w:b/>
                <w:bCs/>
                <w:color w:val="000000"/>
                <w:lang w:eastAsia="el-GR"/>
              </w:rPr>
            </w:pPr>
            <w:r w:rsidRPr="00F87C3C">
              <w:rPr>
                <w:rFonts w:ascii="Calibri" w:eastAsia="Times New Roman" w:hAnsi="Calibri" w:cs="Calibri"/>
                <w:b/>
                <w:bCs/>
                <w:color w:val="000000"/>
                <w:lang w:eastAsia="el-GR"/>
              </w:rPr>
              <w:t>25.548</w:t>
            </w:r>
          </w:p>
        </w:tc>
        <w:tc>
          <w:tcPr>
            <w:tcW w:w="1053" w:type="dxa"/>
            <w:tcBorders>
              <w:top w:val="nil"/>
              <w:left w:val="nil"/>
              <w:bottom w:val="single" w:sz="4" w:space="0" w:color="auto"/>
              <w:right w:val="single" w:sz="4" w:space="0" w:color="auto"/>
            </w:tcBorders>
            <w:shd w:val="clear" w:color="000000" w:fill="F2F2F2"/>
            <w:noWrap/>
            <w:vAlign w:val="bottom"/>
            <w:hideMark/>
          </w:tcPr>
          <w:p w14:paraId="593615A2" w14:textId="77777777" w:rsidR="006A5A78" w:rsidRPr="00F87C3C" w:rsidRDefault="006A5A78" w:rsidP="00247B52">
            <w:pPr>
              <w:spacing w:after="0" w:line="240" w:lineRule="auto"/>
              <w:jc w:val="center"/>
              <w:rPr>
                <w:rFonts w:ascii="Calibri" w:eastAsia="Times New Roman" w:hAnsi="Calibri" w:cs="Calibri"/>
                <w:b/>
                <w:bCs/>
                <w:color w:val="000000"/>
                <w:lang w:eastAsia="el-GR"/>
              </w:rPr>
            </w:pPr>
            <w:r w:rsidRPr="00F87C3C">
              <w:rPr>
                <w:rFonts w:ascii="Calibri" w:eastAsia="Times New Roman" w:hAnsi="Calibri" w:cs="Calibri"/>
                <w:b/>
                <w:bCs/>
                <w:color w:val="000000"/>
                <w:lang w:eastAsia="el-GR"/>
              </w:rPr>
              <w:t>2.588</w:t>
            </w:r>
          </w:p>
        </w:tc>
        <w:tc>
          <w:tcPr>
            <w:tcW w:w="1193" w:type="dxa"/>
            <w:tcBorders>
              <w:top w:val="nil"/>
              <w:left w:val="nil"/>
              <w:bottom w:val="single" w:sz="4" w:space="0" w:color="auto"/>
              <w:right w:val="single" w:sz="4" w:space="0" w:color="auto"/>
            </w:tcBorders>
            <w:shd w:val="clear" w:color="000000" w:fill="F2F2F2"/>
            <w:noWrap/>
            <w:vAlign w:val="bottom"/>
            <w:hideMark/>
          </w:tcPr>
          <w:p w14:paraId="0AE8CE35" w14:textId="77777777" w:rsidR="006A5A78" w:rsidRPr="00F87C3C" w:rsidRDefault="006A5A78" w:rsidP="00247B52">
            <w:pPr>
              <w:spacing w:after="0" w:line="240" w:lineRule="auto"/>
              <w:jc w:val="center"/>
              <w:rPr>
                <w:rFonts w:ascii="Calibri" w:eastAsia="Times New Roman" w:hAnsi="Calibri" w:cs="Calibri"/>
                <w:b/>
                <w:bCs/>
                <w:color w:val="000000"/>
                <w:lang w:eastAsia="el-GR"/>
              </w:rPr>
            </w:pPr>
            <w:r w:rsidRPr="00F87C3C">
              <w:rPr>
                <w:rFonts w:ascii="Calibri" w:eastAsia="Times New Roman" w:hAnsi="Calibri" w:cs="Calibri"/>
                <w:b/>
                <w:bCs/>
                <w:color w:val="000000"/>
                <w:lang w:eastAsia="el-GR"/>
              </w:rPr>
              <w:t>36.806</w:t>
            </w:r>
          </w:p>
        </w:tc>
        <w:tc>
          <w:tcPr>
            <w:tcW w:w="1189" w:type="dxa"/>
            <w:tcBorders>
              <w:top w:val="nil"/>
              <w:left w:val="nil"/>
              <w:bottom w:val="single" w:sz="4" w:space="0" w:color="auto"/>
              <w:right w:val="single" w:sz="4" w:space="0" w:color="auto"/>
            </w:tcBorders>
            <w:shd w:val="clear" w:color="000000" w:fill="F2F2F2"/>
            <w:noWrap/>
            <w:vAlign w:val="bottom"/>
            <w:hideMark/>
          </w:tcPr>
          <w:p w14:paraId="203B7F61" w14:textId="77777777" w:rsidR="006A5A78" w:rsidRPr="00F87C3C" w:rsidRDefault="006A5A78" w:rsidP="00247B52">
            <w:pPr>
              <w:spacing w:after="0" w:line="240" w:lineRule="auto"/>
              <w:jc w:val="center"/>
              <w:rPr>
                <w:rFonts w:ascii="Calibri" w:eastAsia="Times New Roman" w:hAnsi="Calibri" w:cs="Calibri"/>
                <w:b/>
                <w:bCs/>
                <w:color w:val="000000"/>
                <w:lang w:eastAsia="el-GR"/>
              </w:rPr>
            </w:pPr>
            <w:r w:rsidRPr="00F87C3C">
              <w:rPr>
                <w:rFonts w:ascii="Calibri" w:eastAsia="Times New Roman" w:hAnsi="Calibri" w:cs="Calibri"/>
                <w:b/>
                <w:bCs/>
                <w:color w:val="000000"/>
                <w:lang w:eastAsia="el-GR"/>
              </w:rPr>
              <w:t>11,3%</w:t>
            </w:r>
          </w:p>
        </w:tc>
        <w:tc>
          <w:tcPr>
            <w:tcW w:w="1144" w:type="dxa"/>
            <w:tcBorders>
              <w:top w:val="nil"/>
              <w:left w:val="nil"/>
              <w:bottom w:val="single" w:sz="4" w:space="0" w:color="auto"/>
              <w:right w:val="single" w:sz="4" w:space="0" w:color="auto"/>
            </w:tcBorders>
            <w:shd w:val="clear" w:color="000000" w:fill="F2F2F2"/>
            <w:noWrap/>
            <w:vAlign w:val="bottom"/>
            <w:hideMark/>
          </w:tcPr>
          <w:p w14:paraId="25926197" w14:textId="77777777" w:rsidR="006A5A78" w:rsidRPr="00F87C3C" w:rsidRDefault="006A5A78" w:rsidP="00247B52">
            <w:pPr>
              <w:spacing w:after="0" w:line="240" w:lineRule="auto"/>
              <w:jc w:val="center"/>
              <w:rPr>
                <w:rFonts w:ascii="Calibri" w:eastAsia="Times New Roman" w:hAnsi="Calibri" w:cs="Calibri"/>
                <w:b/>
                <w:bCs/>
                <w:color w:val="000000"/>
                <w:lang w:eastAsia="el-GR"/>
              </w:rPr>
            </w:pPr>
            <w:r w:rsidRPr="00F87C3C">
              <w:rPr>
                <w:rFonts w:ascii="Calibri" w:eastAsia="Times New Roman" w:hAnsi="Calibri" w:cs="Calibri"/>
                <w:b/>
                <w:bCs/>
                <w:color w:val="000000"/>
                <w:lang w:eastAsia="el-GR"/>
              </w:rPr>
              <w:t>69,4%</w:t>
            </w:r>
          </w:p>
        </w:tc>
      </w:tr>
      <w:tr w:rsidR="006A5A78" w:rsidRPr="00F87C3C" w14:paraId="0B29313B" w14:textId="77777777" w:rsidTr="00B6235D">
        <w:trPr>
          <w:trHeight w:val="190"/>
        </w:trPr>
        <w:tc>
          <w:tcPr>
            <w:tcW w:w="2715" w:type="dxa"/>
            <w:tcBorders>
              <w:top w:val="nil"/>
              <w:left w:val="single" w:sz="4" w:space="0" w:color="auto"/>
              <w:bottom w:val="single" w:sz="4" w:space="0" w:color="auto"/>
              <w:right w:val="single" w:sz="4" w:space="0" w:color="auto"/>
            </w:tcBorders>
            <w:shd w:val="clear" w:color="auto" w:fill="auto"/>
            <w:noWrap/>
            <w:vAlign w:val="bottom"/>
            <w:hideMark/>
          </w:tcPr>
          <w:p w14:paraId="27D525D3" w14:textId="77777777" w:rsidR="006A5A78" w:rsidRPr="00F87C3C" w:rsidRDefault="006A5A78" w:rsidP="00247B52">
            <w:pPr>
              <w:spacing w:after="0" w:line="240" w:lineRule="auto"/>
              <w:jc w:val="center"/>
              <w:rPr>
                <w:rFonts w:ascii="Calibri" w:eastAsia="Times New Roman" w:hAnsi="Calibri" w:cs="Calibri"/>
                <w:i/>
                <w:iCs/>
                <w:color w:val="000000"/>
                <w:sz w:val="18"/>
                <w:szCs w:val="18"/>
                <w:lang w:eastAsia="el-GR"/>
              </w:rPr>
            </w:pPr>
            <w:r w:rsidRPr="00F87C3C">
              <w:rPr>
                <w:rFonts w:ascii="Calibri" w:eastAsia="Times New Roman" w:hAnsi="Calibri" w:cs="Calibri"/>
                <w:i/>
                <w:iCs/>
                <w:color w:val="000000"/>
                <w:sz w:val="18"/>
                <w:szCs w:val="18"/>
                <w:lang w:eastAsia="el-GR"/>
              </w:rPr>
              <w:t xml:space="preserve">Μεταβιβάσεις σε ΟΤΑ </w:t>
            </w:r>
          </w:p>
        </w:tc>
        <w:tc>
          <w:tcPr>
            <w:tcW w:w="926" w:type="dxa"/>
            <w:tcBorders>
              <w:top w:val="nil"/>
              <w:left w:val="nil"/>
              <w:bottom w:val="single" w:sz="4" w:space="0" w:color="auto"/>
              <w:right w:val="single" w:sz="4" w:space="0" w:color="auto"/>
            </w:tcBorders>
            <w:shd w:val="clear" w:color="auto" w:fill="auto"/>
            <w:noWrap/>
            <w:vAlign w:val="bottom"/>
            <w:hideMark/>
          </w:tcPr>
          <w:p w14:paraId="3718E765" w14:textId="77777777" w:rsidR="006A5A78" w:rsidRPr="00F87C3C" w:rsidRDefault="006A5A78" w:rsidP="00247B52">
            <w:pPr>
              <w:spacing w:after="0" w:line="240" w:lineRule="auto"/>
              <w:jc w:val="center"/>
              <w:rPr>
                <w:rFonts w:ascii="Calibri" w:eastAsia="Times New Roman" w:hAnsi="Calibri" w:cs="Calibri"/>
                <w:i/>
                <w:iCs/>
                <w:color w:val="000000"/>
                <w:lang w:eastAsia="el-GR"/>
              </w:rPr>
            </w:pPr>
            <w:r w:rsidRPr="00F87C3C">
              <w:rPr>
                <w:rFonts w:ascii="Calibri" w:eastAsia="Times New Roman" w:hAnsi="Calibri" w:cs="Calibri"/>
                <w:i/>
                <w:iCs/>
                <w:color w:val="000000"/>
                <w:lang w:eastAsia="el-GR"/>
              </w:rPr>
              <w:t>1.999</w:t>
            </w:r>
          </w:p>
        </w:tc>
        <w:tc>
          <w:tcPr>
            <w:tcW w:w="1034" w:type="dxa"/>
            <w:tcBorders>
              <w:top w:val="nil"/>
              <w:left w:val="nil"/>
              <w:bottom w:val="single" w:sz="4" w:space="0" w:color="auto"/>
              <w:right w:val="single" w:sz="4" w:space="0" w:color="auto"/>
            </w:tcBorders>
            <w:shd w:val="clear" w:color="auto" w:fill="auto"/>
            <w:noWrap/>
            <w:vAlign w:val="bottom"/>
            <w:hideMark/>
          </w:tcPr>
          <w:p w14:paraId="5171DC11" w14:textId="77777777" w:rsidR="006A5A78" w:rsidRPr="00F87C3C" w:rsidRDefault="006A5A78" w:rsidP="00247B52">
            <w:pPr>
              <w:spacing w:after="0" w:line="240" w:lineRule="auto"/>
              <w:jc w:val="center"/>
              <w:rPr>
                <w:rFonts w:ascii="Calibri" w:eastAsia="Times New Roman" w:hAnsi="Calibri" w:cs="Calibri"/>
                <w:i/>
                <w:iCs/>
                <w:color w:val="000000"/>
                <w:lang w:eastAsia="el-GR"/>
              </w:rPr>
            </w:pPr>
            <w:r w:rsidRPr="00F87C3C">
              <w:rPr>
                <w:rFonts w:ascii="Calibri" w:eastAsia="Times New Roman" w:hAnsi="Calibri" w:cs="Calibri"/>
                <w:i/>
                <w:iCs/>
                <w:color w:val="000000"/>
                <w:lang w:eastAsia="el-GR"/>
              </w:rPr>
              <w:t>2.078</w:t>
            </w:r>
          </w:p>
        </w:tc>
        <w:tc>
          <w:tcPr>
            <w:tcW w:w="1053" w:type="dxa"/>
            <w:tcBorders>
              <w:top w:val="nil"/>
              <w:left w:val="nil"/>
              <w:bottom w:val="single" w:sz="4" w:space="0" w:color="auto"/>
              <w:right w:val="single" w:sz="4" w:space="0" w:color="auto"/>
            </w:tcBorders>
            <w:shd w:val="clear" w:color="auto" w:fill="auto"/>
            <w:noWrap/>
            <w:vAlign w:val="bottom"/>
            <w:hideMark/>
          </w:tcPr>
          <w:p w14:paraId="181451DE" w14:textId="77777777" w:rsidR="006A5A78" w:rsidRPr="00F87C3C" w:rsidRDefault="006A5A78" w:rsidP="00247B52">
            <w:pPr>
              <w:spacing w:after="0" w:line="240" w:lineRule="auto"/>
              <w:jc w:val="center"/>
              <w:rPr>
                <w:rFonts w:ascii="Calibri" w:eastAsia="Times New Roman" w:hAnsi="Calibri" w:cs="Calibri"/>
                <w:i/>
                <w:iCs/>
                <w:color w:val="000000"/>
                <w:lang w:eastAsia="el-GR"/>
              </w:rPr>
            </w:pPr>
            <w:r w:rsidRPr="00F87C3C">
              <w:rPr>
                <w:rFonts w:ascii="Calibri" w:eastAsia="Times New Roman" w:hAnsi="Calibri" w:cs="Calibri"/>
                <w:i/>
                <w:iCs/>
                <w:color w:val="000000"/>
                <w:lang w:eastAsia="el-GR"/>
              </w:rPr>
              <w:t>79</w:t>
            </w:r>
          </w:p>
        </w:tc>
        <w:tc>
          <w:tcPr>
            <w:tcW w:w="1193" w:type="dxa"/>
            <w:tcBorders>
              <w:top w:val="nil"/>
              <w:left w:val="nil"/>
              <w:bottom w:val="single" w:sz="4" w:space="0" w:color="auto"/>
              <w:right w:val="single" w:sz="4" w:space="0" w:color="auto"/>
            </w:tcBorders>
            <w:shd w:val="clear" w:color="auto" w:fill="auto"/>
            <w:noWrap/>
            <w:vAlign w:val="bottom"/>
            <w:hideMark/>
          </w:tcPr>
          <w:p w14:paraId="5E957562" w14:textId="77777777" w:rsidR="006A5A78" w:rsidRPr="00F87C3C" w:rsidRDefault="006A5A78" w:rsidP="00247B52">
            <w:pPr>
              <w:spacing w:after="0" w:line="240" w:lineRule="auto"/>
              <w:jc w:val="center"/>
              <w:rPr>
                <w:rFonts w:ascii="Calibri" w:eastAsia="Times New Roman" w:hAnsi="Calibri" w:cs="Calibri"/>
                <w:i/>
                <w:iCs/>
                <w:color w:val="000000"/>
                <w:lang w:eastAsia="el-GR"/>
              </w:rPr>
            </w:pPr>
            <w:r w:rsidRPr="00F87C3C">
              <w:rPr>
                <w:rFonts w:ascii="Calibri" w:eastAsia="Times New Roman" w:hAnsi="Calibri" w:cs="Calibri"/>
                <w:i/>
                <w:iCs/>
                <w:color w:val="000000"/>
                <w:lang w:eastAsia="el-GR"/>
              </w:rPr>
              <w:t>2.549</w:t>
            </w:r>
          </w:p>
        </w:tc>
        <w:tc>
          <w:tcPr>
            <w:tcW w:w="1189" w:type="dxa"/>
            <w:tcBorders>
              <w:top w:val="nil"/>
              <w:left w:val="nil"/>
              <w:bottom w:val="single" w:sz="4" w:space="0" w:color="auto"/>
              <w:right w:val="single" w:sz="4" w:space="0" w:color="auto"/>
            </w:tcBorders>
            <w:shd w:val="clear" w:color="auto" w:fill="auto"/>
            <w:noWrap/>
            <w:vAlign w:val="bottom"/>
            <w:hideMark/>
          </w:tcPr>
          <w:p w14:paraId="26C5123C" w14:textId="77777777" w:rsidR="006A5A78" w:rsidRPr="00F87C3C" w:rsidRDefault="006A5A78" w:rsidP="00247B52">
            <w:pPr>
              <w:spacing w:after="0" w:line="240" w:lineRule="auto"/>
              <w:jc w:val="center"/>
              <w:rPr>
                <w:rFonts w:ascii="Calibri" w:eastAsia="Times New Roman" w:hAnsi="Calibri" w:cs="Calibri"/>
                <w:i/>
                <w:iCs/>
                <w:color w:val="000000"/>
                <w:lang w:eastAsia="el-GR"/>
              </w:rPr>
            </w:pPr>
            <w:r w:rsidRPr="00F87C3C">
              <w:rPr>
                <w:rFonts w:ascii="Calibri" w:eastAsia="Times New Roman" w:hAnsi="Calibri" w:cs="Calibri"/>
                <w:i/>
                <w:iCs/>
                <w:color w:val="000000"/>
                <w:lang w:eastAsia="el-GR"/>
              </w:rPr>
              <w:t>4,0%</w:t>
            </w:r>
          </w:p>
        </w:tc>
        <w:tc>
          <w:tcPr>
            <w:tcW w:w="1144" w:type="dxa"/>
            <w:tcBorders>
              <w:top w:val="nil"/>
              <w:left w:val="nil"/>
              <w:bottom w:val="single" w:sz="4" w:space="0" w:color="auto"/>
              <w:right w:val="single" w:sz="4" w:space="0" w:color="auto"/>
            </w:tcBorders>
            <w:shd w:val="clear" w:color="auto" w:fill="auto"/>
            <w:noWrap/>
            <w:vAlign w:val="bottom"/>
            <w:hideMark/>
          </w:tcPr>
          <w:p w14:paraId="71595545" w14:textId="77777777" w:rsidR="006A5A78" w:rsidRPr="00F87C3C" w:rsidRDefault="006A5A78" w:rsidP="00247B52">
            <w:pPr>
              <w:spacing w:after="0" w:line="240" w:lineRule="auto"/>
              <w:jc w:val="center"/>
              <w:rPr>
                <w:rFonts w:ascii="Calibri" w:eastAsia="Times New Roman" w:hAnsi="Calibri" w:cs="Calibri"/>
                <w:i/>
                <w:iCs/>
                <w:color w:val="000000"/>
                <w:lang w:eastAsia="el-GR"/>
              </w:rPr>
            </w:pPr>
            <w:r w:rsidRPr="00F87C3C">
              <w:rPr>
                <w:rFonts w:ascii="Calibri" w:eastAsia="Times New Roman" w:hAnsi="Calibri" w:cs="Calibri"/>
                <w:i/>
                <w:iCs/>
                <w:color w:val="000000"/>
                <w:lang w:eastAsia="el-GR"/>
              </w:rPr>
              <w:t>81,5%</w:t>
            </w:r>
          </w:p>
        </w:tc>
      </w:tr>
      <w:tr w:rsidR="006A5A78" w:rsidRPr="00F87C3C" w14:paraId="7E61ABBE" w14:textId="77777777" w:rsidTr="00B6235D">
        <w:trPr>
          <w:trHeight w:val="190"/>
        </w:trPr>
        <w:tc>
          <w:tcPr>
            <w:tcW w:w="2715" w:type="dxa"/>
            <w:tcBorders>
              <w:top w:val="nil"/>
              <w:left w:val="single" w:sz="4" w:space="0" w:color="auto"/>
              <w:bottom w:val="single" w:sz="4" w:space="0" w:color="auto"/>
              <w:right w:val="single" w:sz="4" w:space="0" w:color="auto"/>
            </w:tcBorders>
            <w:shd w:val="clear" w:color="auto" w:fill="auto"/>
            <w:noWrap/>
            <w:vAlign w:val="bottom"/>
            <w:hideMark/>
          </w:tcPr>
          <w:p w14:paraId="46524CF8" w14:textId="77777777" w:rsidR="006A5A78" w:rsidRPr="00F87C3C" w:rsidRDefault="006A5A78" w:rsidP="00247B52">
            <w:pPr>
              <w:spacing w:after="0" w:line="240" w:lineRule="auto"/>
              <w:jc w:val="center"/>
              <w:rPr>
                <w:rFonts w:ascii="Calibri" w:eastAsia="Times New Roman" w:hAnsi="Calibri" w:cs="Calibri"/>
                <w:i/>
                <w:iCs/>
                <w:color w:val="000000"/>
                <w:sz w:val="18"/>
                <w:szCs w:val="18"/>
                <w:lang w:eastAsia="el-GR"/>
              </w:rPr>
            </w:pPr>
            <w:r w:rsidRPr="00F87C3C">
              <w:rPr>
                <w:rFonts w:ascii="Calibri" w:eastAsia="Times New Roman" w:hAnsi="Calibri" w:cs="Calibri"/>
                <w:i/>
                <w:iCs/>
                <w:color w:val="000000"/>
                <w:sz w:val="18"/>
                <w:szCs w:val="18"/>
                <w:lang w:eastAsia="el-GR"/>
              </w:rPr>
              <w:t xml:space="preserve">Μεταβιβάσεις σε ΟΚΑ </w:t>
            </w:r>
          </w:p>
        </w:tc>
        <w:tc>
          <w:tcPr>
            <w:tcW w:w="926" w:type="dxa"/>
            <w:tcBorders>
              <w:top w:val="nil"/>
              <w:left w:val="nil"/>
              <w:bottom w:val="single" w:sz="4" w:space="0" w:color="auto"/>
              <w:right w:val="single" w:sz="4" w:space="0" w:color="auto"/>
            </w:tcBorders>
            <w:shd w:val="clear" w:color="auto" w:fill="auto"/>
            <w:noWrap/>
            <w:vAlign w:val="bottom"/>
            <w:hideMark/>
          </w:tcPr>
          <w:p w14:paraId="5E5FAA32" w14:textId="77777777" w:rsidR="006A5A78" w:rsidRPr="00F87C3C" w:rsidRDefault="006A5A78" w:rsidP="00247B52">
            <w:pPr>
              <w:spacing w:after="0" w:line="240" w:lineRule="auto"/>
              <w:jc w:val="center"/>
              <w:rPr>
                <w:rFonts w:ascii="Calibri" w:eastAsia="Times New Roman" w:hAnsi="Calibri" w:cs="Calibri"/>
                <w:i/>
                <w:iCs/>
                <w:color w:val="000000"/>
                <w:lang w:eastAsia="el-GR"/>
              </w:rPr>
            </w:pPr>
            <w:r w:rsidRPr="00F87C3C">
              <w:rPr>
                <w:rFonts w:ascii="Calibri" w:eastAsia="Times New Roman" w:hAnsi="Calibri" w:cs="Calibri"/>
                <w:i/>
                <w:iCs/>
                <w:color w:val="000000"/>
                <w:lang w:eastAsia="el-GR"/>
              </w:rPr>
              <w:t>13.849</w:t>
            </w:r>
          </w:p>
        </w:tc>
        <w:tc>
          <w:tcPr>
            <w:tcW w:w="1034" w:type="dxa"/>
            <w:tcBorders>
              <w:top w:val="nil"/>
              <w:left w:val="nil"/>
              <w:bottom w:val="single" w:sz="4" w:space="0" w:color="auto"/>
              <w:right w:val="single" w:sz="4" w:space="0" w:color="auto"/>
            </w:tcBorders>
            <w:shd w:val="clear" w:color="auto" w:fill="auto"/>
            <w:noWrap/>
            <w:vAlign w:val="bottom"/>
            <w:hideMark/>
          </w:tcPr>
          <w:p w14:paraId="171133C8" w14:textId="77777777" w:rsidR="006A5A78" w:rsidRPr="00F87C3C" w:rsidRDefault="006A5A78" w:rsidP="00247B52">
            <w:pPr>
              <w:spacing w:after="0" w:line="240" w:lineRule="auto"/>
              <w:jc w:val="center"/>
              <w:rPr>
                <w:rFonts w:ascii="Calibri" w:eastAsia="Times New Roman" w:hAnsi="Calibri" w:cs="Calibri"/>
                <w:i/>
                <w:iCs/>
                <w:color w:val="000000"/>
                <w:lang w:eastAsia="el-GR"/>
              </w:rPr>
            </w:pPr>
            <w:r w:rsidRPr="00F87C3C">
              <w:rPr>
                <w:rFonts w:ascii="Calibri" w:eastAsia="Times New Roman" w:hAnsi="Calibri" w:cs="Calibri"/>
                <w:i/>
                <w:iCs/>
                <w:color w:val="000000"/>
                <w:lang w:eastAsia="el-GR"/>
              </w:rPr>
              <w:t>14.304</w:t>
            </w:r>
          </w:p>
        </w:tc>
        <w:tc>
          <w:tcPr>
            <w:tcW w:w="1053" w:type="dxa"/>
            <w:tcBorders>
              <w:top w:val="nil"/>
              <w:left w:val="nil"/>
              <w:bottom w:val="single" w:sz="4" w:space="0" w:color="auto"/>
              <w:right w:val="single" w:sz="4" w:space="0" w:color="auto"/>
            </w:tcBorders>
            <w:shd w:val="clear" w:color="auto" w:fill="auto"/>
            <w:noWrap/>
            <w:vAlign w:val="bottom"/>
            <w:hideMark/>
          </w:tcPr>
          <w:p w14:paraId="09FC3D8D" w14:textId="77777777" w:rsidR="006A5A78" w:rsidRPr="00F87C3C" w:rsidRDefault="006A5A78" w:rsidP="00247B52">
            <w:pPr>
              <w:spacing w:after="0" w:line="240" w:lineRule="auto"/>
              <w:jc w:val="center"/>
              <w:rPr>
                <w:rFonts w:ascii="Calibri" w:eastAsia="Times New Roman" w:hAnsi="Calibri" w:cs="Calibri"/>
                <w:i/>
                <w:iCs/>
                <w:color w:val="000000"/>
                <w:lang w:eastAsia="el-GR"/>
              </w:rPr>
            </w:pPr>
            <w:r w:rsidRPr="00F87C3C">
              <w:rPr>
                <w:rFonts w:ascii="Calibri" w:eastAsia="Times New Roman" w:hAnsi="Calibri" w:cs="Calibri"/>
                <w:i/>
                <w:iCs/>
                <w:color w:val="000000"/>
                <w:lang w:eastAsia="el-GR"/>
              </w:rPr>
              <w:t>455</w:t>
            </w:r>
          </w:p>
        </w:tc>
        <w:tc>
          <w:tcPr>
            <w:tcW w:w="1193" w:type="dxa"/>
            <w:tcBorders>
              <w:top w:val="nil"/>
              <w:left w:val="nil"/>
              <w:bottom w:val="single" w:sz="4" w:space="0" w:color="auto"/>
              <w:right w:val="single" w:sz="4" w:space="0" w:color="auto"/>
            </w:tcBorders>
            <w:shd w:val="clear" w:color="auto" w:fill="auto"/>
            <w:noWrap/>
            <w:vAlign w:val="bottom"/>
            <w:hideMark/>
          </w:tcPr>
          <w:p w14:paraId="2CD1FF0C" w14:textId="77777777" w:rsidR="006A5A78" w:rsidRPr="00F87C3C" w:rsidRDefault="006A5A78" w:rsidP="00247B52">
            <w:pPr>
              <w:spacing w:after="0" w:line="240" w:lineRule="auto"/>
              <w:jc w:val="center"/>
              <w:rPr>
                <w:rFonts w:ascii="Calibri" w:eastAsia="Times New Roman" w:hAnsi="Calibri" w:cs="Calibri"/>
                <w:i/>
                <w:iCs/>
                <w:color w:val="000000"/>
                <w:lang w:eastAsia="el-GR"/>
              </w:rPr>
            </w:pPr>
            <w:r w:rsidRPr="00F87C3C">
              <w:rPr>
                <w:rFonts w:ascii="Calibri" w:eastAsia="Times New Roman" w:hAnsi="Calibri" w:cs="Calibri"/>
                <w:i/>
                <w:iCs/>
                <w:color w:val="000000"/>
                <w:lang w:eastAsia="el-GR"/>
              </w:rPr>
              <w:t>21.628</w:t>
            </w:r>
          </w:p>
        </w:tc>
        <w:tc>
          <w:tcPr>
            <w:tcW w:w="1189" w:type="dxa"/>
            <w:tcBorders>
              <w:top w:val="nil"/>
              <w:left w:val="nil"/>
              <w:bottom w:val="single" w:sz="4" w:space="0" w:color="auto"/>
              <w:right w:val="single" w:sz="4" w:space="0" w:color="auto"/>
            </w:tcBorders>
            <w:shd w:val="clear" w:color="auto" w:fill="auto"/>
            <w:noWrap/>
            <w:vAlign w:val="bottom"/>
            <w:hideMark/>
          </w:tcPr>
          <w:p w14:paraId="0F324B60" w14:textId="77777777" w:rsidR="006A5A78" w:rsidRPr="00F87C3C" w:rsidRDefault="006A5A78" w:rsidP="00247B52">
            <w:pPr>
              <w:spacing w:after="0" w:line="240" w:lineRule="auto"/>
              <w:jc w:val="center"/>
              <w:rPr>
                <w:rFonts w:ascii="Calibri" w:eastAsia="Times New Roman" w:hAnsi="Calibri" w:cs="Calibri"/>
                <w:i/>
                <w:iCs/>
                <w:color w:val="000000"/>
                <w:lang w:eastAsia="el-GR"/>
              </w:rPr>
            </w:pPr>
            <w:r w:rsidRPr="00F87C3C">
              <w:rPr>
                <w:rFonts w:ascii="Calibri" w:eastAsia="Times New Roman" w:hAnsi="Calibri" w:cs="Calibri"/>
                <w:i/>
                <w:iCs/>
                <w:color w:val="000000"/>
                <w:lang w:eastAsia="el-GR"/>
              </w:rPr>
              <w:t>3,3%</w:t>
            </w:r>
          </w:p>
        </w:tc>
        <w:tc>
          <w:tcPr>
            <w:tcW w:w="1144" w:type="dxa"/>
            <w:tcBorders>
              <w:top w:val="nil"/>
              <w:left w:val="nil"/>
              <w:bottom w:val="single" w:sz="4" w:space="0" w:color="auto"/>
              <w:right w:val="single" w:sz="4" w:space="0" w:color="auto"/>
            </w:tcBorders>
            <w:shd w:val="clear" w:color="auto" w:fill="auto"/>
            <w:noWrap/>
            <w:vAlign w:val="bottom"/>
            <w:hideMark/>
          </w:tcPr>
          <w:p w14:paraId="17825774" w14:textId="77777777" w:rsidR="006A5A78" w:rsidRPr="00F87C3C" w:rsidRDefault="006A5A78" w:rsidP="00247B52">
            <w:pPr>
              <w:spacing w:after="0" w:line="240" w:lineRule="auto"/>
              <w:jc w:val="center"/>
              <w:rPr>
                <w:rFonts w:ascii="Calibri" w:eastAsia="Times New Roman" w:hAnsi="Calibri" w:cs="Calibri"/>
                <w:i/>
                <w:iCs/>
                <w:color w:val="000000"/>
                <w:lang w:eastAsia="el-GR"/>
              </w:rPr>
            </w:pPr>
            <w:r>
              <w:rPr>
                <w:rFonts w:ascii="Calibri" w:eastAsia="Times New Roman" w:hAnsi="Calibri" w:cs="Calibri"/>
                <w:i/>
                <w:iCs/>
                <w:color w:val="000000"/>
                <w:lang w:val="en-US" w:eastAsia="el-GR"/>
              </w:rPr>
              <w:t>66,1</w:t>
            </w:r>
            <w:r w:rsidRPr="00F87C3C">
              <w:rPr>
                <w:rFonts w:ascii="Calibri" w:eastAsia="Times New Roman" w:hAnsi="Calibri" w:cs="Calibri"/>
                <w:i/>
                <w:iCs/>
                <w:color w:val="000000"/>
                <w:lang w:eastAsia="el-GR"/>
              </w:rPr>
              <w:t>%</w:t>
            </w:r>
          </w:p>
        </w:tc>
      </w:tr>
      <w:tr w:rsidR="006A5A78" w:rsidRPr="00F87C3C" w14:paraId="2AEC8F17" w14:textId="77777777" w:rsidTr="00B6235D">
        <w:trPr>
          <w:trHeight w:val="190"/>
        </w:trPr>
        <w:tc>
          <w:tcPr>
            <w:tcW w:w="2715" w:type="dxa"/>
            <w:tcBorders>
              <w:top w:val="nil"/>
              <w:left w:val="single" w:sz="4" w:space="0" w:color="auto"/>
              <w:bottom w:val="single" w:sz="4" w:space="0" w:color="auto"/>
              <w:right w:val="single" w:sz="4" w:space="0" w:color="auto"/>
            </w:tcBorders>
            <w:shd w:val="clear" w:color="auto" w:fill="auto"/>
            <w:noWrap/>
            <w:vAlign w:val="bottom"/>
            <w:hideMark/>
          </w:tcPr>
          <w:p w14:paraId="0406977B" w14:textId="77777777" w:rsidR="006A5A78" w:rsidRPr="00F87C3C" w:rsidRDefault="006A5A78" w:rsidP="00247B52">
            <w:pPr>
              <w:spacing w:after="0" w:line="240" w:lineRule="auto"/>
              <w:rPr>
                <w:rFonts w:ascii="Calibri" w:eastAsia="Times New Roman" w:hAnsi="Calibri" w:cs="Calibri"/>
                <w:i/>
                <w:iCs/>
                <w:color w:val="000000"/>
                <w:sz w:val="18"/>
                <w:szCs w:val="18"/>
                <w:lang w:eastAsia="el-GR"/>
              </w:rPr>
            </w:pPr>
            <w:r w:rsidRPr="00F87C3C">
              <w:rPr>
                <w:rFonts w:ascii="Calibri" w:eastAsia="Times New Roman" w:hAnsi="Calibri" w:cs="Calibri"/>
                <w:i/>
                <w:iCs/>
                <w:color w:val="000000"/>
                <w:sz w:val="18"/>
                <w:szCs w:val="18"/>
                <w:lang w:eastAsia="el-GR"/>
              </w:rPr>
              <w:t>Μεταβιβάσεις σε Νοσοκομεία</w:t>
            </w:r>
          </w:p>
        </w:tc>
        <w:tc>
          <w:tcPr>
            <w:tcW w:w="926" w:type="dxa"/>
            <w:tcBorders>
              <w:top w:val="nil"/>
              <w:left w:val="nil"/>
              <w:bottom w:val="single" w:sz="4" w:space="0" w:color="auto"/>
              <w:right w:val="single" w:sz="4" w:space="0" w:color="auto"/>
            </w:tcBorders>
            <w:shd w:val="clear" w:color="auto" w:fill="auto"/>
            <w:noWrap/>
            <w:vAlign w:val="bottom"/>
            <w:hideMark/>
          </w:tcPr>
          <w:p w14:paraId="0BEDFC1D" w14:textId="77777777" w:rsidR="006A5A78" w:rsidRPr="00F87C3C" w:rsidRDefault="006A5A78" w:rsidP="00247B52">
            <w:pPr>
              <w:spacing w:after="0" w:line="240" w:lineRule="auto"/>
              <w:jc w:val="center"/>
              <w:rPr>
                <w:rFonts w:ascii="Calibri" w:eastAsia="Times New Roman" w:hAnsi="Calibri" w:cs="Calibri"/>
                <w:i/>
                <w:iCs/>
                <w:color w:val="000000"/>
                <w:lang w:eastAsia="el-GR"/>
              </w:rPr>
            </w:pPr>
            <w:r w:rsidRPr="00F87C3C">
              <w:rPr>
                <w:rFonts w:ascii="Calibri" w:eastAsia="Times New Roman" w:hAnsi="Calibri" w:cs="Calibri"/>
                <w:i/>
                <w:iCs/>
                <w:color w:val="000000"/>
                <w:lang w:eastAsia="el-GR"/>
              </w:rPr>
              <w:t>972</w:t>
            </w:r>
          </w:p>
        </w:tc>
        <w:tc>
          <w:tcPr>
            <w:tcW w:w="1034" w:type="dxa"/>
            <w:tcBorders>
              <w:top w:val="nil"/>
              <w:left w:val="nil"/>
              <w:bottom w:val="single" w:sz="4" w:space="0" w:color="auto"/>
              <w:right w:val="single" w:sz="4" w:space="0" w:color="auto"/>
            </w:tcBorders>
            <w:shd w:val="clear" w:color="auto" w:fill="auto"/>
            <w:noWrap/>
            <w:vAlign w:val="bottom"/>
            <w:hideMark/>
          </w:tcPr>
          <w:p w14:paraId="43EDA161" w14:textId="77777777" w:rsidR="006A5A78" w:rsidRPr="00F87C3C" w:rsidRDefault="006A5A78" w:rsidP="00247B52">
            <w:pPr>
              <w:spacing w:after="0" w:line="240" w:lineRule="auto"/>
              <w:jc w:val="center"/>
              <w:rPr>
                <w:rFonts w:ascii="Calibri" w:eastAsia="Times New Roman" w:hAnsi="Calibri" w:cs="Calibri"/>
                <w:i/>
                <w:iCs/>
                <w:color w:val="000000"/>
                <w:lang w:eastAsia="el-GR"/>
              </w:rPr>
            </w:pPr>
            <w:r w:rsidRPr="00F87C3C">
              <w:rPr>
                <w:rFonts w:ascii="Calibri" w:eastAsia="Times New Roman" w:hAnsi="Calibri" w:cs="Calibri"/>
                <w:i/>
                <w:iCs/>
                <w:color w:val="000000"/>
                <w:lang w:eastAsia="el-GR"/>
              </w:rPr>
              <w:t>1.019</w:t>
            </w:r>
          </w:p>
        </w:tc>
        <w:tc>
          <w:tcPr>
            <w:tcW w:w="1053" w:type="dxa"/>
            <w:tcBorders>
              <w:top w:val="nil"/>
              <w:left w:val="nil"/>
              <w:bottom w:val="single" w:sz="4" w:space="0" w:color="auto"/>
              <w:right w:val="single" w:sz="4" w:space="0" w:color="auto"/>
            </w:tcBorders>
            <w:shd w:val="clear" w:color="auto" w:fill="auto"/>
            <w:noWrap/>
            <w:vAlign w:val="bottom"/>
            <w:hideMark/>
          </w:tcPr>
          <w:p w14:paraId="0E54CC99" w14:textId="77777777" w:rsidR="006A5A78" w:rsidRPr="00F87C3C" w:rsidRDefault="006A5A78" w:rsidP="00247B52">
            <w:pPr>
              <w:spacing w:after="0" w:line="240" w:lineRule="auto"/>
              <w:jc w:val="center"/>
              <w:rPr>
                <w:rFonts w:ascii="Calibri" w:eastAsia="Times New Roman" w:hAnsi="Calibri" w:cs="Calibri"/>
                <w:i/>
                <w:iCs/>
                <w:color w:val="000000"/>
                <w:lang w:eastAsia="el-GR"/>
              </w:rPr>
            </w:pPr>
            <w:r w:rsidRPr="00F87C3C">
              <w:rPr>
                <w:rFonts w:ascii="Calibri" w:eastAsia="Times New Roman" w:hAnsi="Calibri" w:cs="Calibri"/>
                <w:i/>
                <w:iCs/>
                <w:color w:val="000000"/>
                <w:lang w:eastAsia="el-GR"/>
              </w:rPr>
              <w:t>47</w:t>
            </w:r>
          </w:p>
        </w:tc>
        <w:tc>
          <w:tcPr>
            <w:tcW w:w="1193" w:type="dxa"/>
            <w:tcBorders>
              <w:top w:val="nil"/>
              <w:left w:val="nil"/>
              <w:bottom w:val="single" w:sz="4" w:space="0" w:color="auto"/>
              <w:right w:val="single" w:sz="4" w:space="0" w:color="auto"/>
            </w:tcBorders>
            <w:shd w:val="clear" w:color="auto" w:fill="auto"/>
            <w:noWrap/>
            <w:vAlign w:val="bottom"/>
            <w:hideMark/>
          </w:tcPr>
          <w:p w14:paraId="6639D28F" w14:textId="77777777" w:rsidR="006A5A78" w:rsidRPr="00F87C3C" w:rsidRDefault="006A5A78" w:rsidP="00247B52">
            <w:pPr>
              <w:spacing w:after="0" w:line="240" w:lineRule="auto"/>
              <w:jc w:val="center"/>
              <w:rPr>
                <w:rFonts w:ascii="Calibri" w:eastAsia="Times New Roman" w:hAnsi="Calibri" w:cs="Calibri"/>
                <w:i/>
                <w:iCs/>
                <w:color w:val="000000"/>
                <w:lang w:eastAsia="el-GR"/>
              </w:rPr>
            </w:pPr>
            <w:r w:rsidRPr="00F87C3C">
              <w:rPr>
                <w:rFonts w:ascii="Calibri" w:eastAsia="Times New Roman" w:hAnsi="Calibri" w:cs="Calibri"/>
                <w:i/>
                <w:iCs/>
                <w:color w:val="000000"/>
                <w:lang w:eastAsia="el-GR"/>
              </w:rPr>
              <w:t>1.469</w:t>
            </w:r>
          </w:p>
        </w:tc>
        <w:tc>
          <w:tcPr>
            <w:tcW w:w="1189" w:type="dxa"/>
            <w:tcBorders>
              <w:top w:val="nil"/>
              <w:left w:val="nil"/>
              <w:bottom w:val="single" w:sz="4" w:space="0" w:color="auto"/>
              <w:right w:val="single" w:sz="4" w:space="0" w:color="auto"/>
            </w:tcBorders>
            <w:shd w:val="clear" w:color="auto" w:fill="auto"/>
            <w:noWrap/>
            <w:vAlign w:val="bottom"/>
            <w:hideMark/>
          </w:tcPr>
          <w:p w14:paraId="534FB501" w14:textId="77777777" w:rsidR="006A5A78" w:rsidRPr="00F87C3C" w:rsidRDefault="006A5A78" w:rsidP="00247B52">
            <w:pPr>
              <w:spacing w:after="0" w:line="240" w:lineRule="auto"/>
              <w:jc w:val="center"/>
              <w:rPr>
                <w:rFonts w:ascii="Calibri" w:eastAsia="Times New Roman" w:hAnsi="Calibri" w:cs="Calibri"/>
                <w:i/>
                <w:iCs/>
                <w:color w:val="000000"/>
                <w:lang w:eastAsia="el-GR"/>
              </w:rPr>
            </w:pPr>
            <w:r w:rsidRPr="00F87C3C">
              <w:rPr>
                <w:rFonts w:ascii="Calibri" w:eastAsia="Times New Roman" w:hAnsi="Calibri" w:cs="Calibri"/>
                <w:i/>
                <w:iCs/>
                <w:color w:val="000000"/>
                <w:lang w:eastAsia="el-GR"/>
              </w:rPr>
              <w:t>4,8%</w:t>
            </w:r>
          </w:p>
        </w:tc>
        <w:tc>
          <w:tcPr>
            <w:tcW w:w="1144" w:type="dxa"/>
            <w:tcBorders>
              <w:top w:val="nil"/>
              <w:left w:val="nil"/>
              <w:bottom w:val="single" w:sz="4" w:space="0" w:color="auto"/>
              <w:right w:val="single" w:sz="4" w:space="0" w:color="auto"/>
            </w:tcBorders>
            <w:shd w:val="clear" w:color="auto" w:fill="auto"/>
            <w:noWrap/>
            <w:vAlign w:val="bottom"/>
            <w:hideMark/>
          </w:tcPr>
          <w:p w14:paraId="33DFC746" w14:textId="77777777" w:rsidR="006A5A78" w:rsidRPr="00F87C3C" w:rsidRDefault="006A5A78" w:rsidP="00247B52">
            <w:pPr>
              <w:spacing w:after="0" w:line="240" w:lineRule="auto"/>
              <w:jc w:val="center"/>
              <w:rPr>
                <w:rFonts w:ascii="Calibri" w:eastAsia="Times New Roman" w:hAnsi="Calibri" w:cs="Calibri"/>
                <w:i/>
                <w:iCs/>
                <w:color w:val="000000"/>
                <w:lang w:eastAsia="el-GR"/>
              </w:rPr>
            </w:pPr>
            <w:r w:rsidRPr="00F87C3C">
              <w:rPr>
                <w:rFonts w:ascii="Calibri" w:eastAsia="Times New Roman" w:hAnsi="Calibri" w:cs="Calibri"/>
                <w:i/>
                <w:iCs/>
                <w:color w:val="000000"/>
                <w:lang w:eastAsia="el-GR"/>
              </w:rPr>
              <w:t>69,4%</w:t>
            </w:r>
          </w:p>
        </w:tc>
      </w:tr>
      <w:tr w:rsidR="006A5A78" w:rsidRPr="00F87C3C" w14:paraId="7DDE3D92" w14:textId="77777777" w:rsidTr="00B6235D">
        <w:trPr>
          <w:trHeight w:val="190"/>
        </w:trPr>
        <w:tc>
          <w:tcPr>
            <w:tcW w:w="2715" w:type="dxa"/>
            <w:tcBorders>
              <w:top w:val="nil"/>
              <w:left w:val="single" w:sz="4" w:space="0" w:color="auto"/>
              <w:bottom w:val="single" w:sz="4" w:space="0" w:color="auto"/>
              <w:right w:val="single" w:sz="4" w:space="0" w:color="auto"/>
            </w:tcBorders>
            <w:shd w:val="clear" w:color="auto" w:fill="auto"/>
            <w:noWrap/>
            <w:vAlign w:val="bottom"/>
            <w:hideMark/>
          </w:tcPr>
          <w:p w14:paraId="503A23D8" w14:textId="77777777" w:rsidR="006A5A78" w:rsidRPr="00F87C3C" w:rsidRDefault="006A5A78" w:rsidP="00247B52">
            <w:pPr>
              <w:spacing w:after="0" w:line="240" w:lineRule="auto"/>
              <w:rPr>
                <w:rFonts w:ascii="Calibri" w:eastAsia="Times New Roman" w:hAnsi="Calibri" w:cs="Calibri"/>
                <w:color w:val="000000"/>
                <w:sz w:val="20"/>
                <w:szCs w:val="20"/>
                <w:lang w:eastAsia="el-GR"/>
              </w:rPr>
            </w:pPr>
            <w:r w:rsidRPr="00F87C3C">
              <w:rPr>
                <w:rFonts w:ascii="Calibri" w:eastAsia="Times New Roman" w:hAnsi="Calibri" w:cs="Calibri"/>
                <w:color w:val="000000"/>
                <w:sz w:val="20"/>
                <w:szCs w:val="20"/>
                <w:lang w:eastAsia="el-GR"/>
              </w:rPr>
              <w:t xml:space="preserve">εκ των οποίων: καταπτώσεις εγγυήσεων </w:t>
            </w:r>
          </w:p>
        </w:tc>
        <w:tc>
          <w:tcPr>
            <w:tcW w:w="926" w:type="dxa"/>
            <w:tcBorders>
              <w:top w:val="nil"/>
              <w:left w:val="nil"/>
              <w:bottom w:val="single" w:sz="4" w:space="0" w:color="auto"/>
              <w:right w:val="single" w:sz="4" w:space="0" w:color="auto"/>
            </w:tcBorders>
            <w:shd w:val="clear" w:color="auto" w:fill="auto"/>
            <w:noWrap/>
            <w:vAlign w:val="bottom"/>
            <w:hideMark/>
          </w:tcPr>
          <w:p w14:paraId="617E020A" w14:textId="77777777" w:rsidR="006A5A78" w:rsidRPr="00F87C3C" w:rsidRDefault="006A5A78" w:rsidP="00247B52">
            <w:pPr>
              <w:spacing w:after="0" w:line="240" w:lineRule="auto"/>
              <w:jc w:val="center"/>
              <w:rPr>
                <w:rFonts w:ascii="Calibri" w:eastAsia="Times New Roman" w:hAnsi="Calibri" w:cs="Calibri"/>
                <w:i/>
                <w:iCs/>
                <w:color w:val="000000"/>
                <w:sz w:val="20"/>
                <w:szCs w:val="20"/>
                <w:lang w:eastAsia="el-GR"/>
              </w:rPr>
            </w:pPr>
            <w:r w:rsidRPr="00F87C3C">
              <w:rPr>
                <w:rFonts w:ascii="Calibri" w:eastAsia="Times New Roman" w:hAnsi="Calibri" w:cs="Calibri"/>
                <w:i/>
                <w:iCs/>
                <w:color w:val="000000"/>
                <w:sz w:val="20"/>
                <w:szCs w:val="20"/>
                <w:lang w:eastAsia="el-GR"/>
              </w:rPr>
              <w:t>606</w:t>
            </w:r>
          </w:p>
        </w:tc>
        <w:tc>
          <w:tcPr>
            <w:tcW w:w="1034" w:type="dxa"/>
            <w:tcBorders>
              <w:top w:val="nil"/>
              <w:left w:val="nil"/>
              <w:bottom w:val="single" w:sz="4" w:space="0" w:color="auto"/>
              <w:right w:val="single" w:sz="4" w:space="0" w:color="auto"/>
            </w:tcBorders>
            <w:shd w:val="clear" w:color="auto" w:fill="auto"/>
            <w:noWrap/>
            <w:vAlign w:val="bottom"/>
            <w:hideMark/>
          </w:tcPr>
          <w:p w14:paraId="3A211B0A" w14:textId="77777777" w:rsidR="006A5A78" w:rsidRPr="00F87C3C" w:rsidRDefault="006A5A78" w:rsidP="00247B52">
            <w:pPr>
              <w:spacing w:after="0" w:line="240" w:lineRule="auto"/>
              <w:jc w:val="center"/>
              <w:rPr>
                <w:rFonts w:ascii="Calibri" w:eastAsia="Times New Roman" w:hAnsi="Calibri" w:cs="Calibri"/>
                <w:i/>
                <w:iCs/>
                <w:color w:val="000000"/>
                <w:sz w:val="20"/>
                <w:szCs w:val="20"/>
                <w:lang w:eastAsia="el-GR"/>
              </w:rPr>
            </w:pPr>
            <w:r w:rsidRPr="00F87C3C">
              <w:rPr>
                <w:rFonts w:ascii="Calibri" w:eastAsia="Times New Roman" w:hAnsi="Calibri" w:cs="Calibri"/>
                <w:i/>
                <w:iCs/>
                <w:color w:val="000000"/>
                <w:sz w:val="20"/>
                <w:szCs w:val="20"/>
                <w:lang w:eastAsia="el-GR"/>
              </w:rPr>
              <w:t>88</w:t>
            </w:r>
          </w:p>
        </w:tc>
        <w:tc>
          <w:tcPr>
            <w:tcW w:w="1053" w:type="dxa"/>
            <w:tcBorders>
              <w:top w:val="nil"/>
              <w:left w:val="nil"/>
              <w:bottom w:val="single" w:sz="4" w:space="0" w:color="auto"/>
              <w:right w:val="single" w:sz="4" w:space="0" w:color="auto"/>
            </w:tcBorders>
            <w:shd w:val="clear" w:color="auto" w:fill="auto"/>
            <w:noWrap/>
            <w:vAlign w:val="bottom"/>
            <w:hideMark/>
          </w:tcPr>
          <w:p w14:paraId="23172D92" w14:textId="77777777" w:rsidR="006A5A78" w:rsidRPr="00F87C3C" w:rsidRDefault="006A5A78" w:rsidP="00247B52">
            <w:pPr>
              <w:spacing w:after="0" w:line="240" w:lineRule="auto"/>
              <w:jc w:val="center"/>
              <w:rPr>
                <w:rFonts w:ascii="Calibri" w:eastAsia="Times New Roman" w:hAnsi="Calibri" w:cs="Calibri"/>
                <w:i/>
                <w:iCs/>
                <w:color w:val="000000"/>
                <w:sz w:val="20"/>
                <w:szCs w:val="20"/>
                <w:lang w:eastAsia="el-GR"/>
              </w:rPr>
            </w:pPr>
            <w:r w:rsidRPr="00F87C3C">
              <w:rPr>
                <w:rFonts w:ascii="Calibri" w:eastAsia="Times New Roman" w:hAnsi="Calibri" w:cs="Calibri"/>
                <w:i/>
                <w:iCs/>
                <w:color w:val="000000"/>
                <w:sz w:val="20"/>
                <w:szCs w:val="20"/>
                <w:lang w:eastAsia="el-GR"/>
              </w:rPr>
              <w:t>-518</w:t>
            </w:r>
          </w:p>
        </w:tc>
        <w:tc>
          <w:tcPr>
            <w:tcW w:w="1193" w:type="dxa"/>
            <w:tcBorders>
              <w:top w:val="nil"/>
              <w:left w:val="nil"/>
              <w:bottom w:val="single" w:sz="4" w:space="0" w:color="auto"/>
              <w:right w:val="single" w:sz="4" w:space="0" w:color="auto"/>
            </w:tcBorders>
            <w:shd w:val="clear" w:color="auto" w:fill="auto"/>
            <w:noWrap/>
            <w:vAlign w:val="bottom"/>
            <w:hideMark/>
          </w:tcPr>
          <w:p w14:paraId="4B3BF2D6" w14:textId="77777777" w:rsidR="006A5A78" w:rsidRPr="00F87C3C" w:rsidRDefault="006A5A78" w:rsidP="00247B52">
            <w:pPr>
              <w:spacing w:after="0" w:line="240" w:lineRule="auto"/>
              <w:jc w:val="center"/>
              <w:rPr>
                <w:rFonts w:ascii="Calibri" w:eastAsia="Times New Roman" w:hAnsi="Calibri" w:cs="Calibri"/>
                <w:i/>
                <w:iCs/>
                <w:color w:val="000000"/>
                <w:sz w:val="20"/>
                <w:szCs w:val="20"/>
                <w:lang w:eastAsia="el-GR"/>
              </w:rPr>
            </w:pPr>
            <w:r w:rsidRPr="00F87C3C">
              <w:rPr>
                <w:rFonts w:ascii="Calibri" w:eastAsia="Times New Roman" w:hAnsi="Calibri" w:cs="Calibri"/>
                <w:i/>
                <w:iCs/>
                <w:color w:val="000000"/>
                <w:sz w:val="20"/>
                <w:szCs w:val="20"/>
                <w:lang w:eastAsia="el-GR"/>
              </w:rPr>
              <w:t>448</w:t>
            </w:r>
          </w:p>
        </w:tc>
        <w:tc>
          <w:tcPr>
            <w:tcW w:w="1189" w:type="dxa"/>
            <w:tcBorders>
              <w:top w:val="nil"/>
              <w:left w:val="nil"/>
              <w:bottom w:val="single" w:sz="4" w:space="0" w:color="auto"/>
              <w:right w:val="single" w:sz="4" w:space="0" w:color="auto"/>
            </w:tcBorders>
            <w:shd w:val="clear" w:color="auto" w:fill="auto"/>
            <w:noWrap/>
            <w:vAlign w:val="bottom"/>
            <w:hideMark/>
          </w:tcPr>
          <w:p w14:paraId="55DFC971" w14:textId="77777777" w:rsidR="006A5A78" w:rsidRPr="00F87C3C" w:rsidRDefault="006A5A78" w:rsidP="00247B52">
            <w:pPr>
              <w:spacing w:after="0" w:line="240" w:lineRule="auto"/>
              <w:jc w:val="center"/>
              <w:rPr>
                <w:rFonts w:ascii="Calibri" w:eastAsia="Times New Roman" w:hAnsi="Calibri" w:cs="Calibri"/>
                <w:i/>
                <w:iCs/>
                <w:color w:val="000000"/>
                <w:sz w:val="20"/>
                <w:szCs w:val="20"/>
                <w:lang w:eastAsia="el-GR"/>
              </w:rPr>
            </w:pPr>
            <w:r w:rsidRPr="00F87C3C">
              <w:rPr>
                <w:rFonts w:ascii="Calibri" w:eastAsia="Times New Roman" w:hAnsi="Calibri" w:cs="Calibri"/>
                <w:i/>
                <w:iCs/>
                <w:color w:val="000000"/>
                <w:sz w:val="20"/>
                <w:szCs w:val="20"/>
                <w:lang w:eastAsia="el-GR"/>
              </w:rPr>
              <w:t>-85,5%</w:t>
            </w:r>
          </w:p>
        </w:tc>
        <w:tc>
          <w:tcPr>
            <w:tcW w:w="1144" w:type="dxa"/>
            <w:tcBorders>
              <w:top w:val="nil"/>
              <w:left w:val="nil"/>
              <w:bottom w:val="single" w:sz="4" w:space="0" w:color="auto"/>
              <w:right w:val="single" w:sz="4" w:space="0" w:color="auto"/>
            </w:tcBorders>
            <w:shd w:val="clear" w:color="auto" w:fill="auto"/>
            <w:noWrap/>
            <w:vAlign w:val="bottom"/>
            <w:hideMark/>
          </w:tcPr>
          <w:p w14:paraId="053FDBC1" w14:textId="77777777" w:rsidR="006A5A78" w:rsidRPr="00F87C3C" w:rsidRDefault="006A5A78" w:rsidP="00247B52">
            <w:pPr>
              <w:spacing w:after="0" w:line="240" w:lineRule="auto"/>
              <w:jc w:val="center"/>
              <w:rPr>
                <w:rFonts w:ascii="Calibri" w:eastAsia="Times New Roman" w:hAnsi="Calibri" w:cs="Calibri"/>
                <w:i/>
                <w:iCs/>
                <w:color w:val="000000"/>
                <w:sz w:val="20"/>
                <w:szCs w:val="20"/>
                <w:lang w:eastAsia="el-GR"/>
              </w:rPr>
            </w:pPr>
            <w:r w:rsidRPr="00F87C3C">
              <w:rPr>
                <w:rFonts w:ascii="Calibri" w:eastAsia="Times New Roman" w:hAnsi="Calibri" w:cs="Calibri"/>
                <w:i/>
                <w:iCs/>
                <w:color w:val="000000"/>
                <w:sz w:val="20"/>
                <w:szCs w:val="20"/>
                <w:lang w:eastAsia="el-GR"/>
              </w:rPr>
              <w:t>19,6%</w:t>
            </w:r>
          </w:p>
        </w:tc>
      </w:tr>
      <w:tr w:rsidR="006A5A78" w:rsidRPr="00F87C3C" w14:paraId="0B9DD178" w14:textId="77777777" w:rsidTr="00B6235D">
        <w:trPr>
          <w:trHeight w:val="190"/>
        </w:trPr>
        <w:tc>
          <w:tcPr>
            <w:tcW w:w="2715" w:type="dxa"/>
            <w:tcBorders>
              <w:top w:val="nil"/>
              <w:left w:val="single" w:sz="4" w:space="0" w:color="auto"/>
              <w:bottom w:val="single" w:sz="4" w:space="0" w:color="auto"/>
              <w:right w:val="single" w:sz="4" w:space="0" w:color="auto"/>
            </w:tcBorders>
            <w:shd w:val="clear" w:color="auto" w:fill="auto"/>
            <w:noWrap/>
            <w:vAlign w:val="bottom"/>
            <w:hideMark/>
          </w:tcPr>
          <w:p w14:paraId="51ED0EA9" w14:textId="77777777" w:rsidR="006A5A78" w:rsidRPr="00F87C3C" w:rsidRDefault="006A5A78" w:rsidP="00247B52">
            <w:pPr>
              <w:spacing w:after="0" w:line="240" w:lineRule="auto"/>
              <w:rPr>
                <w:rFonts w:ascii="Calibri" w:eastAsia="Times New Roman" w:hAnsi="Calibri" w:cs="Calibri"/>
                <w:color w:val="000000"/>
                <w:lang w:eastAsia="el-GR"/>
              </w:rPr>
            </w:pPr>
            <w:r w:rsidRPr="00F87C3C">
              <w:rPr>
                <w:rFonts w:ascii="Calibri" w:eastAsia="Times New Roman" w:hAnsi="Calibri" w:cs="Calibri"/>
                <w:color w:val="000000"/>
                <w:lang w:eastAsia="el-GR"/>
              </w:rPr>
              <w:t>Επιδοτήσεις</w:t>
            </w:r>
          </w:p>
        </w:tc>
        <w:tc>
          <w:tcPr>
            <w:tcW w:w="926" w:type="dxa"/>
            <w:tcBorders>
              <w:top w:val="nil"/>
              <w:left w:val="nil"/>
              <w:bottom w:val="single" w:sz="4" w:space="0" w:color="auto"/>
              <w:right w:val="single" w:sz="4" w:space="0" w:color="auto"/>
            </w:tcBorders>
            <w:shd w:val="clear" w:color="auto" w:fill="auto"/>
            <w:noWrap/>
            <w:vAlign w:val="bottom"/>
            <w:hideMark/>
          </w:tcPr>
          <w:p w14:paraId="0E5856B8"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67</w:t>
            </w:r>
          </w:p>
        </w:tc>
        <w:tc>
          <w:tcPr>
            <w:tcW w:w="1034" w:type="dxa"/>
            <w:tcBorders>
              <w:top w:val="nil"/>
              <w:left w:val="nil"/>
              <w:bottom w:val="single" w:sz="4" w:space="0" w:color="auto"/>
              <w:right w:val="single" w:sz="4" w:space="0" w:color="auto"/>
            </w:tcBorders>
            <w:shd w:val="clear" w:color="auto" w:fill="auto"/>
            <w:noWrap/>
            <w:vAlign w:val="bottom"/>
            <w:hideMark/>
          </w:tcPr>
          <w:p w14:paraId="6E0384D7"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17</w:t>
            </w:r>
          </w:p>
        </w:tc>
        <w:tc>
          <w:tcPr>
            <w:tcW w:w="1053" w:type="dxa"/>
            <w:tcBorders>
              <w:top w:val="nil"/>
              <w:left w:val="nil"/>
              <w:bottom w:val="single" w:sz="4" w:space="0" w:color="auto"/>
              <w:right w:val="single" w:sz="4" w:space="0" w:color="auto"/>
            </w:tcBorders>
            <w:shd w:val="clear" w:color="auto" w:fill="auto"/>
            <w:noWrap/>
            <w:vAlign w:val="bottom"/>
            <w:hideMark/>
          </w:tcPr>
          <w:p w14:paraId="180C2E8F"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-50</w:t>
            </w:r>
          </w:p>
        </w:tc>
        <w:tc>
          <w:tcPr>
            <w:tcW w:w="1193" w:type="dxa"/>
            <w:tcBorders>
              <w:top w:val="nil"/>
              <w:left w:val="nil"/>
              <w:bottom w:val="single" w:sz="4" w:space="0" w:color="auto"/>
              <w:right w:val="single" w:sz="4" w:space="0" w:color="auto"/>
            </w:tcBorders>
            <w:shd w:val="clear" w:color="auto" w:fill="auto"/>
            <w:noWrap/>
            <w:vAlign w:val="bottom"/>
            <w:hideMark/>
          </w:tcPr>
          <w:p w14:paraId="2662E091"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80</w:t>
            </w:r>
          </w:p>
        </w:tc>
        <w:tc>
          <w:tcPr>
            <w:tcW w:w="1189" w:type="dxa"/>
            <w:tcBorders>
              <w:top w:val="nil"/>
              <w:left w:val="nil"/>
              <w:bottom w:val="single" w:sz="4" w:space="0" w:color="auto"/>
              <w:right w:val="single" w:sz="4" w:space="0" w:color="auto"/>
            </w:tcBorders>
            <w:shd w:val="clear" w:color="auto" w:fill="auto"/>
            <w:noWrap/>
            <w:vAlign w:val="bottom"/>
            <w:hideMark/>
          </w:tcPr>
          <w:p w14:paraId="3A4DF27E"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-74,6%</w:t>
            </w:r>
          </w:p>
        </w:tc>
        <w:tc>
          <w:tcPr>
            <w:tcW w:w="1144" w:type="dxa"/>
            <w:tcBorders>
              <w:top w:val="nil"/>
              <w:left w:val="nil"/>
              <w:bottom w:val="single" w:sz="4" w:space="0" w:color="auto"/>
              <w:right w:val="single" w:sz="4" w:space="0" w:color="auto"/>
            </w:tcBorders>
            <w:shd w:val="clear" w:color="auto" w:fill="auto"/>
            <w:noWrap/>
            <w:vAlign w:val="bottom"/>
            <w:hideMark/>
          </w:tcPr>
          <w:p w14:paraId="5B5CA11E"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21,3%</w:t>
            </w:r>
          </w:p>
        </w:tc>
      </w:tr>
      <w:tr w:rsidR="006A5A78" w:rsidRPr="00F87C3C" w14:paraId="1BF1E7B4" w14:textId="77777777" w:rsidTr="00B6235D">
        <w:trPr>
          <w:trHeight w:val="190"/>
        </w:trPr>
        <w:tc>
          <w:tcPr>
            <w:tcW w:w="2715" w:type="dxa"/>
            <w:tcBorders>
              <w:top w:val="nil"/>
              <w:left w:val="single" w:sz="4" w:space="0" w:color="auto"/>
              <w:bottom w:val="single" w:sz="4" w:space="0" w:color="auto"/>
              <w:right w:val="single" w:sz="4" w:space="0" w:color="auto"/>
            </w:tcBorders>
            <w:shd w:val="clear" w:color="auto" w:fill="auto"/>
            <w:vAlign w:val="bottom"/>
            <w:hideMark/>
          </w:tcPr>
          <w:p w14:paraId="4079ACB4" w14:textId="77777777" w:rsidR="006A5A78" w:rsidRPr="00F87C3C" w:rsidRDefault="006A5A78" w:rsidP="00247B52">
            <w:pPr>
              <w:spacing w:after="0" w:line="240" w:lineRule="auto"/>
              <w:rPr>
                <w:rFonts w:ascii="Calibri" w:eastAsia="Times New Roman" w:hAnsi="Calibri" w:cs="Calibri"/>
                <w:color w:val="000000"/>
                <w:lang w:eastAsia="el-GR"/>
              </w:rPr>
            </w:pPr>
            <w:r w:rsidRPr="00F87C3C">
              <w:rPr>
                <w:rFonts w:ascii="Calibri" w:eastAsia="Times New Roman" w:hAnsi="Calibri" w:cs="Calibri"/>
                <w:color w:val="000000"/>
                <w:lang w:eastAsia="el-GR"/>
              </w:rPr>
              <w:t>Αγορές αγαθών και Υπηρεσιών</w:t>
            </w:r>
          </w:p>
        </w:tc>
        <w:tc>
          <w:tcPr>
            <w:tcW w:w="926" w:type="dxa"/>
            <w:tcBorders>
              <w:top w:val="nil"/>
              <w:left w:val="nil"/>
              <w:bottom w:val="single" w:sz="4" w:space="0" w:color="auto"/>
              <w:right w:val="single" w:sz="4" w:space="0" w:color="auto"/>
            </w:tcBorders>
            <w:shd w:val="clear" w:color="auto" w:fill="auto"/>
            <w:noWrap/>
            <w:vAlign w:val="bottom"/>
            <w:hideMark/>
          </w:tcPr>
          <w:p w14:paraId="16E35381"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782</w:t>
            </w:r>
          </w:p>
        </w:tc>
        <w:tc>
          <w:tcPr>
            <w:tcW w:w="1034" w:type="dxa"/>
            <w:tcBorders>
              <w:top w:val="nil"/>
              <w:left w:val="nil"/>
              <w:bottom w:val="single" w:sz="4" w:space="0" w:color="auto"/>
              <w:right w:val="single" w:sz="4" w:space="0" w:color="auto"/>
            </w:tcBorders>
            <w:shd w:val="clear" w:color="auto" w:fill="auto"/>
            <w:noWrap/>
            <w:vAlign w:val="bottom"/>
            <w:hideMark/>
          </w:tcPr>
          <w:p w14:paraId="2A0734BC"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1.069</w:t>
            </w:r>
          </w:p>
        </w:tc>
        <w:tc>
          <w:tcPr>
            <w:tcW w:w="1053" w:type="dxa"/>
            <w:tcBorders>
              <w:top w:val="nil"/>
              <w:left w:val="nil"/>
              <w:bottom w:val="single" w:sz="4" w:space="0" w:color="auto"/>
              <w:right w:val="single" w:sz="4" w:space="0" w:color="auto"/>
            </w:tcBorders>
            <w:shd w:val="clear" w:color="auto" w:fill="auto"/>
            <w:noWrap/>
            <w:vAlign w:val="bottom"/>
            <w:hideMark/>
          </w:tcPr>
          <w:p w14:paraId="717EE4F7"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287</w:t>
            </w:r>
          </w:p>
        </w:tc>
        <w:tc>
          <w:tcPr>
            <w:tcW w:w="1193" w:type="dxa"/>
            <w:tcBorders>
              <w:top w:val="nil"/>
              <w:left w:val="nil"/>
              <w:bottom w:val="single" w:sz="4" w:space="0" w:color="auto"/>
              <w:right w:val="single" w:sz="4" w:space="0" w:color="auto"/>
            </w:tcBorders>
            <w:shd w:val="clear" w:color="auto" w:fill="auto"/>
            <w:noWrap/>
            <w:vAlign w:val="bottom"/>
            <w:hideMark/>
          </w:tcPr>
          <w:p w14:paraId="2C22BB50"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1.832</w:t>
            </w:r>
          </w:p>
        </w:tc>
        <w:tc>
          <w:tcPr>
            <w:tcW w:w="1189" w:type="dxa"/>
            <w:tcBorders>
              <w:top w:val="nil"/>
              <w:left w:val="nil"/>
              <w:bottom w:val="single" w:sz="4" w:space="0" w:color="auto"/>
              <w:right w:val="single" w:sz="4" w:space="0" w:color="auto"/>
            </w:tcBorders>
            <w:shd w:val="clear" w:color="auto" w:fill="auto"/>
            <w:noWrap/>
            <w:vAlign w:val="bottom"/>
            <w:hideMark/>
          </w:tcPr>
          <w:p w14:paraId="4B78AEF9"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36,7%</w:t>
            </w:r>
          </w:p>
        </w:tc>
        <w:tc>
          <w:tcPr>
            <w:tcW w:w="1144" w:type="dxa"/>
            <w:tcBorders>
              <w:top w:val="nil"/>
              <w:left w:val="nil"/>
              <w:bottom w:val="single" w:sz="4" w:space="0" w:color="auto"/>
              <w:right w:val="single" w:sz="4" w:space="0" w:color="auto"/>
            </w:tcBorders>
            <w:shd w:val="clear" w:color="auto" w:fill="auto"/>
            <w:noWrap/>
            <w:vAlign w:val="bottom"/>
            <w:hideMark/>
          </w:tcPr>
          <w:p w14:paraId="6FDD6829"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58,4%</w:t>
            </w:r>
          </w:p>
        </w:tc>
      </w:tr>
      <w:tr w:rsidR="006A5A78" w:rsidRPr="00F87C3C" w14:paraId="75246E84" w14:textId="77777777" w:rsidTr="00B6235D">
        <w:trPr>
          <w:trHeight w:val="571"/>
        </w:trPr>
        <w:tc>
          <w:tcPr>
            <w:tcW w:w="2715" w:type="dxa"/>
            <w:tcBorders>
              <w:top w:val="nil"/>
              <w:left w:val="single" w:sz="4" w:space="0" w:color="auto"/>
              <w:bottom w:val="single" w:sz="4" w:space="0" w:color="auto"/>
              <w:right w:val="single" w:sz="4" w:space="0" w:color="auto"/>
            </w:tcBorders>
            <w:shd w:val="clear" w:color="auto" w:fill="auto"/>
            <w:vAlign w:val="bottom"/>
            <w:hideMark/>
          </w:tcPr>
          <w:p w14:paraId="2A52B324" w14:textId="77777777" w:rsidR="006A5A78" w:rsidRPr="00F87C3C" w:rsidRDefault="006A5A78" w:rsidP="00247B52">
            <w:pPr>
              <w:spacing w:after="0" w:line="240" w:lineRule="auto"/>
              <w:rPr>
                <w:rFonts w:ascii="Calibri" w:eastAsia="Times New Roman" w:hAnsi="Calibri" w:cs="Calibri"/>
                <w:color w:val="000000"/>
                <w:lang w:eastAsia="el-GR"/>
              </w:rPr>
            </w:pPr>
            <w:r w:rsidRPr="00F87C3C">
              <w:rPr>
                <w:rFonts w:ascii="Calibri" w:eastAsia="Times New Roman" w:hAnsi="Calibri" w:cs="Calibri"/>
                <w:color w:val="000000"/>
                <w:lang w:eastAsia="el-GR"/>
              </w:rPr>
              <w:t>Αποκτήσεις πάγιων περιουσιακών στοιχείων και τιμαλφών</w:t>
            </w:r>
          </w:p>
        </w:tc>
        <w:tc>
          <w:tcPr>
            <w:tcW w:w="926" w:type="dxa"/>
            <w:tcBorders>
              <w:top w:val="nil"/>
              <w:left w:val="nil"/>
              <w:bottom w:val="single" w:sz="4" w:space="0" w:color="auto"/>
              <w:right w:val="single" w:sz="4" w:space="0" w:color="auto"/>
            </w:tcBorders>
            <w:shd w:val="clear" w:color="auto" w:fill="auto"/>
            <w:noWrap/>
            <w:vAlign w:val="bottom"/>
            <w:hideMark/>
          </w:tcPr>
          <w:p w14:paraId="41AF423F"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224</w:t>
            </w:r>
          </w:p>
        </w:tc>
        <w:tc>
          <w:tcPr>
            <w:tcW w:w="1034" w:type="dxa"/>
            <w:tcBorders>
              <w:top w:val="nil"/>
              <w:left w:val="nil"/>
              <w:bottom w:val="single" w:sz="4" w:space="0" w:color="auto"/>
              <w:right w:val="single" w:sz="4" w:space="0" w:color="auto"/>
            </w:tcBorders>
            <w:shd w:val="clear" w:color="auto" w:fill="auto"/>
            <w:noWrap/>
            <w:vAlign w:val="bottom"/>
            <w:hideMark/>
          </w:tcPr>
          <w:p w14:paraId="7B8D4060"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1.975</w:t>
            </w:r>
          </w:p>
        </w:tc>
        <w:tc>
          <w:tcPr>
            <w:tcW w:w="1053" w:type="dxa"/>
            <w:tcBorders>
              <w:top w:val="nil"/>
              <w:left w:val="nil"/>
              <w:bottom w:val="single" w:sz="4" w:space="0" w:color="auto"/>
              <w:right w:val="single" w:sz="4" w:space="0" w:color="auto"/>
            </w:tcBorders>
            <w:shd w:val="clear" w:color="auto" w:fill="auto"/>
            <w:noWrap/>
            <w:vAlign w:val="bottom"/>
            <w:hideMark/>
          </w:tcPr>
          <w:p w14:paraId="74EBACBD"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1.751</w:t>
            </w:r>
          </w:p>
        </w:tc>
        <w:tc>
          <w:tcPr>
            <w:tcW w:w="1193" w:type="dxa"/>
            <w:tcBorders>
              <w:top w:val="nil"/>
              <w:left w:val="nil"/>
              <w:bottom w:val="single" w:sz="4" w:space="0" w:color="auto"/>
              <w:right w:val="single" w:sz="4" w:space="0" w:color="auto"/>
            </w:tcBorders>
            <w:shd w:val="clear" w:color="auto" w:fill="auto"/>
            <w:noWrap/>
            <w:vAlign w:val="bottom"/>
            <w:hideMark/>
          </w:tcPr>
          <w:p w14:paraId="104ED742"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2.647</w:t>
            </w:r>
          </w:p>
        </w:tc>
        <w:tc>
          <w:tcPr>
            <w:tcW w:w="1189" w:type="dxa"/>
            <w:tcBorders>
              <w:top w:val="nil"/>
              <w:left w:val="nil"/>
              <w:bottom w:val="single" w:sz="4" w:space="0" w:color="auto"/>
              <w:right w:val="single" w:sz="4" w:space="0" w:color="auto"/>
            </w:tcBorders>
            <w:shd w:val="clear" w:color="auto" w:fill="auto"/>
            <w:noWrap/>
            <w:vAlign w:val="bottom"/>
            <w:hideMark/>
          </w:tcPr>
          <w:p w14:paraId="3BA4B78C"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781,7%</w:t>
            </w:r>
          </w:p>
        </w:tc>
        <w:tc>
          <w:tcPr>
            <w:tcW w:w="1144" w:type="dxa"/>
            <w:tcBorders>
              <w:top w:val="nil"/>
              <w:left w:val="nil"/>
              <w:bottom w:val="single" w:sz="4" w:space="0" w:color="auto"/>
              <w:right w:val="single" w:sz="4" w:space="0" w:color="auto"/>
            </w:tcBorders>
            <w:shd w:val="clear" w:color="auto" w:fill="auto"/>
            <w:noWrap/>
            <w:vAlign w:val="bottom"/>
            <w:hideMark/>
          </w:tcPr>
          <w:p w14:paraId="39225505"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74,6%</w:t>
            </w:r>
          </w:p>
        </w:tc>
      </w:tr>
      <w:tr w:rsidR="006A5A78" w:rsidRPr="00F87C3C" w14:paraId="31893958" w14:textId="77777777" w:rsidTr="00B6235D">
        <w:trPr>
          <w:trHeight w:val="334"/>
        </w:trPr>
        <w:tc>
          <w:tcPr>
            <w:tcW w:w="2715" w:type="dxa"/>
            <w:tcBorders>
              <w:top w:val="nil"/>
              <w:left w:val="single" w:sz="4" w:space="0" w:color="auto"/>
              <w:bottom w:val="single" w:sz="4" w:space="0" w:color="auto"/>
              <w:right w:val="single" w:sz="4" w:space="0" w:color="auto"/>
            </w:tcBorders>
            <w:shd w:val="clear" w:color="auto" w:fill="auto"/>
            <w:vAlign w:val="bottom"/>
            <w:hideMark/>
          </w:tcPr>
          <w:p w14:paraId="11B0A5A8" w14:textId="77777777" w:rsidR="006A5A78" w:rsidRPr="00F87C3C" w:rsidRDefault="006A5A78" w:rsidP="00247B52">
            <w:pPr>
              <w:spacing w:after="0" w:line="240" w:lineRule="auto"/>
              <w:rPr>
                <w:rFonts w:ascii="Calibri" w:eastAsia="Times New Roman" w:hAnsi="Calibri" w:cs="Calibri"/>
                <w:i/>
                <w:iCs/>
                <w:color w:val="000000"/>
                <w:sz w:val="20"/>
                <w:szCs w:val="20"/>
                <w:lang w:eastAsia="el-GR"/>
              </w:rPr>
            </w:pPr>
            <w:r w:rsidRPr="00F87C3C">
              <w:rPr>
                <w:rFonts w:ascii="Calibri" w:eastAsia="Times New Roman" w:hAnsi="Calibri" w:cs="Calibri"/>
                <w:i/>
                <w:iCs/>
                <w:color w:val="000000"/>
                <w:sz w:val="20"/>
                <w:szCs w:val="20"/>
                <w:lang w:eastAsia="el-GR"/>
              </w:rPr>
              <w:t>εκ των οποίων: εξοπλιστικά προγράμματα</w:t>
            </w:r>
          </w:p>
        </w:tc>
        <w:tc>
          <w:tcPr>
            <w:tcW w:w="926" w:type="dxa"/>
            <w:tcBorders>
              <w:top w:val="nil"/>
              <w:left w:val="nil"/>
              <w:bottom w:val="single" w:sz="4" w:space="0" w:color="auto"/>
              <w:right w:val="single" w:sz="4" w:space="0" w:color="auto"/>
            </w:tcBorders>
            <w:shd w:val="clear" w:color="auto" w:fill="auto"/>
            <w:noWrap/>
            <w:vAlign w:val="bottom"/>
            <w:hideMark/>
          </w:tcPr>
          <w:p w14:paraId="40CFE07E" w14:textId="77777777" w:rsidR="006A5A78" w:rsidRPr="00F87C3C" w:rsidRDefault="006A5A78" w:rsidP="00247B52">
            <w:pPr>
              <w:spacing w:after="0" w:line="240" w:lineRule="auto"/>
              <w:jc w:val="center"/>
              <w:rPr>
                <w:rFonts w:ascii="Calibri" w:eastAsia="Times New Roman" w:hAnsi="Calibri" w:cs="Calibri"/>
                <w:i/>
                <w:iCs/>
                <w:color w:val="000000"/>
                <w:sz w:val="20"/>
                <w:szCs w:val="20"/>
                <w:lang w:eastAsia="el-GR"/>
              </w:rPr>
            </w:pPr>
            <w:r w:rsidRPr="00F87C3C">
              <w:rPr>
                <w:rFonts w:ascii="Calibri" w:eastAsia="Times New Roman" w:hAnsi="Calibri" w:cs="Calibri"/>
                <w:i/>
                <w:iCs/>
                <w:color w:val="000000"/>
                <w:sz w:val="20"/>
                <w:szCs w:val="20"/>
                <w:lang w:eastAsia="el-GR"/>
              </w:rPr>
              <w:t>199</w:t>
            </w:r>
          </w:p>
        </w:tc>
        <w:tc>
          <w:tcPr>
            <w:tcW w:w="1034" w:type="dxa"/>
            <w:tcBorders>
              <w:top w:val="nil"/>
              <w:left w:val="nil"/>
              <w:bottom w:val="single" w:sz="4" w:space="0" w:color="auto"/>
              <w:right w:val="single" w:sz="4" w:space="0" w:color="auto"/>
            </w:tcBorders>
            <w:shd w:val="clear" w:color="auto" w:fill="auto"/>
            <w:noWrap/>
            <w:vAlign w:val="bottom"/>
            <w:hideMark/>
          </w:tcPr>
          <w:p w14:paraId="01E4200A" w14:textId="77777777" w:rsidR="006A5A78" w:rsidRPr="00F87C3C" w:rsidRDefault="006A5A78" w:rsidP="00247B52">
            <w:pPr>
              <w:spacing w:after="0" w:line="240" w:lineRule="auto"/>
              <w:jc w:val="center"/>
              <w:rPr>
                <w:rFonts w:ascii="Calibri" w:eastAsia="Times New Roman" w:hAnsi="Calibri" w:cs="Calibri"/>
                <w:i/>
                <w:iCs/>
                <w:color w:val="000000"/>
                <w:sz w:val="20"/>
                <w:szCs w:val="20"/>
                <w:lang w:eastAsia="el-GR"/>
              </w:rPr>
            </w:pPr>
            <w:r w:rsidRPr="00F87C3C">
              <w:rPr>
                <w:rFonts w:ascii="Calibri" w:eastAsia="Times New Roman" w:hAnsi="Calibri" w:cs="Calibri"/>
                <w:i/>
                <w:iCs/>
                <w:color w:val="000000"/>
                <w:sz w:val="20"/>
                <w:szCs w:val="20"/>
                <w:lang w:eastAsia="el-GR"/>
              </w:rPr>
              <w:t>1.908</w:t>
            </w:r>
          </w:p>
        </w:tc>
        <w:tc>
          <w:tcPr>
            <w:tcW w:w="1053" w:type="dxa"/>
            <w:tcBorders>
              <w:top w:val="nil"/>
              <w:left w:val="nil"/>
              <w:bottom w:val="single" w:sz="4" w:space="0" w:color="auto"/>
              <w:right w:val="single" w:sz="4" w:space="0" w:color="auto"/>
            </w:tcBorders>
            <w:shd w:val="clear" w:color="auto" w:fill="auto"/>
            <w:noWrap/>
            <w:vAlign w:val="bottom"/>
            <w:hideMark/>
          </w:tcPr>
          <w:p w14:paraId="27ADC014" w14:textId="77777777" w:rsidR="006A5A78" w:rsidRPr="00F87C3C" w:rsidRDefault="006A5A78" w:rsidP="00247B52">
            <w:pPr>
              <w:spacing w:after="0" w:line="240" w:lineRule="auto"/>
              <w:jc w:val="center"/>
              <w:rPr>
                <w:rFonts w:ascii="Calibri" w:eastAsia="Times New Roman" w:hAnsi="Calibri" w:cs="Calibri"/>
                <w:i/>
                <w:iCs/>
                <w:color w:val="000000"/>
                <w:sz w:val="20"/>
                <w:szCs w:val="20"/>
                <w:lang w:eastAsia="el-GR"/>
              </w:rPr>
            </w:pPr>
            <w:r w:rsidRPr="00F87C3C">
              <w:rPr>
                <w:rFonts w:ascii="Calibri" w:eastAsia="Times New Roman" w:hAnsi="Calibri" w:cs="Calibri"/>
                <w:i/>
                <w:iCs/>
                <w:color w:val="000000"/>
                <w:sz w:val="20"/>
                <w:szCs w:val="20"/>
                <w:lang w:eastAsia="el-GR"/>
              </w:rPr>
              <w:t>1.709</w:t>
            </w:r>
          </w:p>
        </w:tc>
        <w:tc>
          <w:tcPr>
            <w:tcW w:w="1193" w:type="dxa"/>
            <w:tcBorders>
              <w:top w:val="nil"/>
              <w:left w:val="nil"/>
              <w:bottom w:val="single" w:sz="4" w:space="0" w:color="auto"/>
              <w:right w:val="single" w:sz="4" w:space="0" w:color="auto"/>
            </w:tcBorders>
            <w:shd w:val="clear" w:color="auto" w:fill="auto"/>
            <w:noWrap/>
            <w:vAlign w:val="bottom"/>
            <w:hideMark/>
          </w:tcPr>
          <w:p w14:paraId="4FAE8BB2" w14:textId="77777777" w:rsidR="006A5A78" w:rsidRPr="00F87C3C" w:rsidRDefault="006A5A78" w:rsidP="00247B52">
            <w:pPr>
              <w:spacing w:after="0" w:line="240" w:lineRule="auto"/>
              <w:jc w:val="center"/>
              <w:rPr>
                <w:rFonts w:ascii="Calibri" w:eastAsia="Times New Roman" w:hAnsi="Calibri" w:cs="Calibri"/>
                <w:i/>
                <w:iCs/>
                <w:color w:val="000000"/>
                <w:sz w:val="20"/>
                <w:szCs w:val="20"/>
                <w:lang w:eastAsia="el-GR"/>
              </w:rPr>
            </w:pPr>
            <w:r w:rsidRPr="00F87C3C">
              <w:rPr>
                <w:rFonts w:ascii="Calibri" w:eastAsia="Times New Roman" w:hAnsi="Calibri" w:cs="Calibri"/>
                <w:i/>
                <w:iCs/>
                <w:color w:val="000000"/>
                <w:sz w:val="20"/>
                <w:szCs w:val="20"/>
                <w:lang w:eastAsia="el-GR"/>
              </w:rPr>
              <w:t>2.519</w:t>
            </w:r>
          </w:p>
        </w:tc>
        <w:tc>
          <w:tcPr>
            <w:tcW w:w="1189" w:type="dxa"/>
            <w:tcBorders>
              <w:top w:val="nil"/>
              <w:left w:val="nil"/>
              <w:bottom w:val="single" w:sz="4" w:space="0" w:color="auto"/>
              <w:right w:val="single" w:sz="4" w:space="0" w:color="auto"/>
            </w:tcBorders>
            <w:shd w:val="clear" w:color="auto" w:fill="auto"/>
            <w:noWrap/>
            <w:vAlign w:val="bottom"/>
            <w:hideMark/>
          </w:tcPr>
          <w:p w14:paraId="763200A1" w14:textId="77777777" w:rsidR="006A5A78" w:rsidRPr="00F87C3C" w:rsidRDefault="006A5A78" w:rsidP="00247B52">
            <w:pPr>
              <w:spacing w:after="0" w:line="240" w:lineRule="auto"/>
              <w:jc w:val="center"/>
              <w:rPr>
                <w:rFonts w:ascii="Calibri" w:eastAsia="Times New Roman" w:hAnsi="Calibri" w:cs="Calibri"/>
                <w:i/>
                <w:iCs/>
                <w:color w:val="000000"/>
                <w:sz w:val="20"/>
                <w:szCs w:val="20"/>
                <w:lang w:eastAsia="el-GR"/>
              </w:rPr>
            </w:pPr>
            <w:r w:rsidRPr="00F87C3C">
              <w:rPr>
                <w:rFonts w:ascii="Calibri" w:eastAsia="Times New Roman" w:hAnsi="Calibri" w:cs="Calibri"/>
                <w:i/>
                <w:iCs/>
                <w:color w:val="000000"/>
                <w:sz w:val="20"/>
                <w:szCs w:val="20"/>
                <w:lang w:eastAsia="el-GR"/>
              </w:rPr>
              <w:t>858,8%</w:t>
            </w:r>
          </w:p>
        </w:tc>
        <w:tc>
          <w:tcPr>
            <w:tcW w:w="1144" w:type="dxa"/>
            <w:tcBorders>
              <w:top w:val="nil"/>
              <w:left w:val="nil"/>
              <w:bottom w:val="single" w:sz="4" w:space="0" w:color="auto"/>
              <w:right w:val="single" w:sz="4" w:space="0" w:color="auto"/>
            </w:tcBorders>
            <w:shd w:val="clear" w:color="auto" w:fill="auto"/>
            <w:noWrap/>
            <w:vAlign w:val="bottom"/>
            <w:hideMark/>
          </w:tcPr>
          <w:p w14:paraId="774F1FF0" w14:textId="77777777" w:rsidR="006A5A78" w:rsidRPr="00F87C3C" w:rsidRDefault="006A5A78" w:rsidP="00247B52">
            <w:pPr>
              <w:spacing w:after="0" w:line="240" w:lineRule="auto"/>
              <w:jc w:val="center"/>
              <w:rPr>
                <w:rFonts w:ascii="Calibri" w:eastAsia="Times New Roman" w:hAnsi="Calibri" w:cs="Calibri"/>
                <w:i/>
                <w:iCs/>
                <w:color w:val="000000"/>
                <w:sz w:val="20"/>
                <w:szCs w:val="20"/>
                <w:lang w:eastAsia="el-GR"/>
              </w:rPr>
            </w:pPr>
            <w:r w:rsidRPr="00F87C3C">
              <w:rPr>
                <w:rFonts w:ascii="Calibri" w:eastAsia="Times New Roman" w:hAnsi="Calibri" w:cs="Calibri"/>
                <w:i/>
                <w:iCs/>
                <w:color w:val="000000"/>
                <w:sz w:val="20"/>
                <w:szCs w:val="20"/>
                <w:lang w:eastAsia="el-GR"/>
              </w:rPr>
              <w:t>75,7%</w:t>
            </w:r>
          </w:p>
        </w:tc>
      </w:tr>
      <w:tr w:rsidR="006A5A78" w:rsidRPr="00F87C3C" w14:paraId="3D5BF912" w14:textId="77777777" w:rsidTr="00B6235D">
        <w:trPr>
          <w:trHeight w:val="190"/>
        </w:trPr>
        <w:tc>
          <w:tcPr>
            <w:tcW w:w="2715" w:type="dxa"/>
            <w:tcBorders>
              <w:top w:val="nil"/>
              <w:left w:val="single" w:sz="4" w:space="0" w:color="auto"/>
              <w:bottom w:val="single" w:sz="4" w:space="0" w:color="auto"/>
              <w:right w:val="single" w:sz="4" w:space="0" w:color="auto"/>
            </w:tcBorders>
            <w:shd w:val="clear" w:color="auto" w:fill="auto"/>
            <w:noWrap/>
            <w:vAlign w:val="bottom"/>
            <w:hideMark/>
          </w:tcPr>
          <w:p w14:paraId="7869A1E2" w14:textId="77777777" w:rsidR="006A5A78" w:rsidRPr="00F87C3C" w:rsidRDefault="006A5A78" w:rsidP="00247B52">
            <w:pPr>
              <w:spacing w:after="0" w:line="240" w:lineRule="auto"/>
              <w:rPr>
                <w:rFonts w:ascii="Calibri" w:eastAsia="Times New Roman" w:hAnsi="Calibri" w:cs="Calibri"/>
                <w:color w:val="000000"/>
                <w:lang w:eastAsia="el-GR"/>
              </w:rPr>
            </w:pPr>
            <w:r w:rsidRPr="00F87C3C">
              <w:rPr>
                <w:rFonts w:ascii="Calibri" w:eastAsia="Times New Roman" w:hAnsi="Calibri" w:cs="Calibri"/>
                <w:color w:val="000000"/>
                <w:lang w:eastAsia="el-GR"/>
              </w:rPr>
              <w:t>Λοιπές δαπάνες</w:t>
            </w:r>
          </w:p>
        </w:tc>
        <w:tc>
          <w:tcPr>
            <w:tcW w:w="926" w:type="dxa"/>
            <w:tcBorders>
              <w:top w:val="nil"/>
              <w:left w:val="nil"/>
              <w:bottom w:val="single" w:sz="4" w:space="0" w:color="auto"/>
              <w:right w:val="single" w:sz="4" w:space="0" w:color="auto"/>
            </w:tcBorders>
            <w:shd w:val="clear" w:color="auto" w:fill="auto"/>
            <w:noWrap/>
            <w:vAlign w:val="bottom"/>
            <w:hideMark/>
          </w:tcPr>
          <w:p w14:paraId="07744ECB"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19</w:t>
            </w:r>
          </w:p>
        </w:tc>
        <w:tc>
          <w:tcPr>
            <w:tcW w:w="1034" w:type="dxa"/>
            <w:tcBorders>
              <w:top w:val="nil"/>
              <w:left w:val="nil"/>
              <w:bottom w:val="single" w:sz="4" w:space="0" w:color="auto"/>
              <w:right w:val="single" w:sz="4" w:space="0" w:color="auto"/>
            </w:tcBorders>
            <w:shd w:val="clear" w:color="auto" w:fill="auto"/>
            <w:noWrap/>
            <w:vAlign w:val="bottom"/>
            <w:hideMark/>
          </w:tcPr>
          <w:p w14:paraId="13FF869C"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44</w:t>
            </w:r>
          </w:p>
        </w:tc>
        <w:tc>
          <w:tcPr>
            <w:tcW w:w="1053" w:type="dxa"/>
            <w:tcBorders>
              <w:top w:val="nil"/>
              <w:left w:val="nil"/>
              <w:bottom w:val="single" w:sz="4" w:space="0" w:color="auto"/>
              <w:right w:val="single" w:sz="4" w:space="0" w:color="auto"/>
            </w:tcBorders>
            <w:shd w:val="clear" w:color="auto" w:fill="auto"/>
            <w:noWrap/>
            <w:vAlign w:val="bottom"/>
            <w:hideMark/>
          </w:tcPr>
          <w:p w14:paraId="4CDBBF60"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25</w:t>
            </w:r>
          </w:p>
        </w:tc>
        <w:tc>
          <w:tcPr>
            <w:tcW w:w="1193" w:type="dxa"/>
            <w:tcBorders>
              <w:top w:val="nil"/>
              <w:left w:val="nil"/>
              <w:bottom w:val="single" w:sz="4" w:space="0" w:color="auto"/>
              <w:right w:val="single" w:sz="4" w:space="0" w:color="auto"/>
            </w:tcBorders>
            <w:shd w:val="clear" w:color="auto" w:fill="auto"/>
            <w:noWrap/>
            <w:vAlign w:val="bottom"/>
            <w:hideMark/>
          </w:tcPr>
          <w:p w14:paraId="2549A243"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91</w:t>
            </w:r>
          </w:p>
        </w:tc>
        <w:tc>
          <w:tcPr>
            <w:tcW w:w="1189" w:type="dxa"/>
            <w:tcBorders>
              <w:top w:val="nil"/>
              <w:left w:val="nil"/>
              <w:bottom w:val="single" w:sz="4" w:space="0" w:color="auto"/>
              <w:right w:val="single" w:sz="4" w:space="0" w:color="auto"/>
            </w:tcBorders>
            <w:shd w:val="clear" w:color="auto" w:fill="auto"/>
            <w:noWrap/>
            <w:vAlign w:val="bottom"/>
            <w:hideMark/>
          </w:tcPr>
          <w:p w14:paraId="14E2BCC2"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131,6%</w:t>
            </w:r>
          </w:p>
        </w:tc>
        <w:tc>
          <w:tcPr>
            <w:tcW w:w="1144" w:type="dxa"/>
            <w:tcBorders>
              <w:top w:val="nil"/>
              <w:left w:val="nil"/>
              <w:bottom w:val="single" w:sz="4" w:space="0" w:color="auto"/>
              <w:right w:val="single" w:sz="4" w:space="0" w:color="auto"/>
            </w:tcBorders>
            <w:shd w:val="clear" w:color="auto" w:fill="auto"/>
            <w:noWrap/>
            <w:vAlign w:val="bottom"/>
            <w:hideMark/>
          </w:tcPr>
          <w:p w14:paraId="59701ED7"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48,4%</w:t>
            </w:r>
          </w:p>
        </w:tc>
      </w:tr>
      <w:tr w:rsidR="006A5A78" w:rsidRPr="00F87C3C" w14:paraId="0CA95A97" w14:textId="77777777" w:rsidTr="00B6235D">
        <w:trPr>
          <w:trHeight w:val="190"/>
        </w:trPr>
        <w:tc>
          <w:tcPr>
            <w:tcW w:w="2715" w:type="dxa"/>
            <w:tcBorders>
              <w:top w:val="nil"/>
              <w:left w:val="single" w:sz="4" w:space="0" w:color="auto"/>
              <w:bottom w:val="single" w:sz="4" w:space="0" w:color="auto"/>
              <w:right w:val="single" w:sz="4" w:space="0" w:color="auto"/>
            </w:tcBorders>
            <w:shd w:val="clear" w:color="auto" w:fill="auto"/>
            <w:noWrap/>
            <w:vAlign w:val="bottom"/>
            <w:hideMark/>
          </w:tcPr>
          <w:p w14:paraId="0C6EEEA6" w14:textId="77777777" w:rsidR="006A5A78" w:rsidRPr="00F87C3C" w:rsidRDefault="006A5A78" w:rsidP="00247B52">
            <w:pPr>
              <w:spacing w:after="0" w:line="240" w:lineRule="auto"/>
              <w:rPr>
                <w:rFonts w:ascii="Calibri" w:eastAsia="Times New Roman" w:hAnsi="Calibri" w:cs="Calibri"/>
                <w:color w:val="000000"/>
                <w:lang w:eastAsia="el-GR"/>
              </w:rPr>
            </w:pPr>
            <w:r w:rsidRPr="00F87C3C">
              <w:rPr>
                <w:rFonts w:ascii="Calibri" w:eastAsia="Times New Roman" w:hAnsi="Calibri" w:cs="Calibri"/>
                <w:color w:val="000000"/>
                <w:lang w:eastAsia="el-GR"/>
              </w:rPr>
              <w:t>Τόκοι</w:t>
            </w:r>
          </w:p>
        </w:tc>
        <w:tc>
          <w:tcPr>
            <w:tcW w:w="926" w:type="dxa"/>
            <w:tcBorders>
              <w:top w:val="nil"/>
              <w:left w:val="nil"/>
              <w:bottom w:val="single" w:sz="4" w:space="0" w:color="auto"/>
              <w:right w:val="single" w:sz="4" w:space="0" w:color="auto"/>
            </w:tcBorders>
            <w:shd w:val="clear" w:color="auto" w:fill="auto"/>
            <w:noWrap/>
            <w:vAlign w:val="bottom"/>
            <w:hideMark/>
          </w:tcPr>
          <w:p w14:paraId="16C6183F"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4.272</w:t>
            </w:r>
          </w:p>
        </w:tc>
        <w:tc>
          <w:tcPr>
            <w:tcW w:w="1034" w:type="dxa"/>
            <w:tcBorders>
              <w:top w:val="nil"/>
              <w:left w:val="nil"/>
              <w:bottom w:val="single" w:sz="4" w:space="0" w:color="auto"/>
              <w:right w:val="single" w:sz="4" w:space="0" w:color="auto"/>
            </w:tcBorders>
            <w:shd w:val="clear" w:color="auto" w:fill="auto"/>
            <w:noWrap/>
            <w:vAlign w:val="bottom"/>
            <w:hideMark/>
          </w:tcPr>
          <w:p w14:paraId="489CD65E"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4.379</w:t>
            </w:r>
          </w:p>
        </w:tc>
        <w:tc>
          <w:tcPr>
            <w:tcW w:w="1053" w:type="dxa"/>
            <w:tcBorders>
              <w:top w:val="nil"/>
              <w:left w:val="nil"/>
              <w:bottom w:val="single" w:sz="4" w:space="0" w:color="auto"/>
              <w:right w:val="single" w:sz="4" w:space="0" w:color="auto"/>
            </w:tcBorders>
            <w:shd w:val="clear" w:color="auto" w:fill="auto"/>
            <w:noWrap/>
            <w:vAlign w:val="bottom"/>
            <w:hideMark/>
          </w:tcPr>
          <w:p w14:paraId="43D8B7CE"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107</w:t>
            </w:r>
          </w:p>
        </w:tc>
        <w:tc>
          <w:tcPr>
            <w:tcW w:w="1193" w:type="dxa"/>
            <w:tcBorders>
              <w:top w:val="nil"/>
              <w:left w:val="nil"/>
              <w:bottom w:val="single" w:sz="4" w:space="0" w:color="auto"/>
              <w:right w:val="single" w:sz="4" w:space="0" w:color="auto"/>
            </w:tcBorders>
            <w:shd w:val="clear" w:color="auto" w:fill="auto"/>
            <w:noWrap/>
            <w:vAlign w:val="bottom"/>
            <w:hideMark/>
          </w:tcPr>
          <w:p w14:paraId="6C1023A3"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4.760</w:t>
            </w:r>
          </w:p>
        </w:tc>
        <w:tc>
          <w:tcPr>
            <w:tcW w:w="1189" w:type="dxa"/>
            <w:tcBorders>
              <w:top w:val="nil"/>
              <w:left w:val="nil"/>
              <w:bottom w:val="single" w:sz="4" w:space="0" w:color="auto"/>
              <w:right w:val="single" w:sz="4" w:space="0" w:color="auto"/>
            </w:tcBorders>
            <w:shd w:val="clear" w:color="auto" w:fill="auto"/>
            <w:noWrap/>
            <w:vAlign w:val="bottom"/>
            <w:hideMark/>
          </w:tcPr>
          <w:p w14:paraId="42342132"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2,5%</w:t>
            </w:r>
          </w:p>
        </w:tc>
        <w:tc>
          <w:tcPr>
            <w:tcW w:w="1144" w:type="dxa"/>
            <w:tcBorders>
              <w:top w:val="nil"/>
              <w:left w:val="nil"/>
              <w:bottom w:val="single" w:sz="4" w:space="0" w:color="auto"/>
              <w:right w:val="single" w:sz="4" w:space="0" w:color="auto"/>
            </w:tcBorders>
            <w:shd w:val="clear" w:color="auto" w:fill="auto"/>
            <w:noWrap/>
            <w:vAlign w:val="bottom"/>
            <w:hideMark/>
          </w:tcPr>
          <w:p w14:paraId="64EA541A"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92,0%</w:t>
            </w:r>
          </w:p>
        </w:tc>
      </w:tr>
      <w:tr w:rsidR="006A5A78" w:rsidRPr="00F87C3C" w14:paraId="097FD876" w14:textId="77777777" w:rsidTr="00B6235D">
        <w:trPr>
          <w:trHeight w:val="381"/>
        </w:trPr>
        <w:tc>
          <w:tcPr>
            <w:tcW w:w="2715" w:type="dxa"/>
            <w:tcBorders>
              <w:top w:val="nil"/>
              <w:left w:val="single" w:sz="4" w:space="0" w:color="auto"/>
              <w:bottom w:val="single" w:sz="4" w:space="0" w:color="auto"/>
              <w:right w:val="single" w:sz="4" w:space="0" w:color="auto"/>
            </w:tcBorders>
            <w:shd w:val="clear" w:color="000000" w:fill="D0CECE"/>
            <w:vAlign w:val="bottom"/>
            <w:hideMark/>
          </w:tcPr>
          <w:p w14:paraId="580510F8" w14:textId="6480943A" w:rsidR="006A5A78" w:rsidRPr="00F87C3C" w:rsidRDefault="006A5A78" w:rsidP="00247B52">
            <w:pPr>
              <w:spacing w:after="0" w:line="240" w:lineRule="auto"/>
              <w:rPr>
                <w:rFonts w:ascii="Calibri" w:eastAsia="Times New Roman" w:hAnsi="Calibri" w:cs="Calibri"/>
                <w:color w:val="000000"/>
                <w:lang w:eastAsia="el-GR"/>
              </w:rPr>
            </w:pPr>
            <w:r w:rsidRPr="00F87C3C">
              <w:rPr>
                <w:rFonts w:ascii="Calibri" w:eastAsia="Times New Roman" w:hAnsi="Calibri" w:cs="Calibri"/>
                <w:color w:val="000000"/>
                <w:lang w:eastAsia="el-GR"/>
              </w:rPr>
              <w:t>ΙΙ.</w:t>
            </w:r>
            <w:r w:rsidR="004D2D3A">
              <w:rPr>
                <w:rFonts w:ascii="Calibri" w:eastAsia="Times New Roman" w:hAnsi="Calibri" w:cs="Calibri"/>
                <w:color w:val="000000"/>
                <w:lang w:eastAsia="el-GR"/>
              </w:rPr>
              <w:t xml:space="preserve"> Δαπάνες ΠΔΕ και Ταμείο Ανάκ. κ</w:t>
            </w:r>
            <w:r w:rsidRPr="00F87C3C">
              <w:rPr>
                <w:rFonts w:ascii="Calibri" w:eastAsia="Times New Roman" w:hAnsi="Calibri" w:cs="Calibri"/>
                <w:color w:val="000000"/>
                <w:lang w:eastAsia="el-GR"/>
              </w:rPr>
              <w:t>αι Ανθεκτικότητας</w:t>
            </w:r>
          </w:p>
        </w:tc>
        <w:tc>
          <w:tcPr>
            <w:tcW w:w="926" w:type="dxa"/>
            <w:tcBorders>
              <w:top w:val="nil"/>
              <w:left w:val="nil"/>
              <w:bottom w:val="single" w:sz="4" w:space="0" w:color="auto"/>
              <w:right w:val="single" w:sz="4" w:space="0" w:color="auto"/>
            </w:tcBorders>
            <w:shd w:val="clear" w:color="000000" w:fill="D0CECE"/>
            <w:noWrap/>
            <w:vAlign w:val="bottom"/>
            <w:hideMark/>
          </w:tcPr>
          <w:p w14:paraId="5568EA2F"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6.366</w:t>
            </w:r>
          </w:p>
        </w:tc>
        <w:tc>
          <w:tcPr>
            <w:tcW w:w="1034" w:type="dxa"/>
            <w:tcBorders>
              <w:top w:val="nil"/>
              <w:left w:val="nil"/>
              <w:bottom w:val="single" w:sz="4" w:space="0" w:color="auto"/>
              <w:right w:val="single" w:sz="4" w:space="0" w:color="auto"/>
            </w:tcBorders>
            <w:shd w:val="clear" w:color="000000" w:fill="D0CECE"/>
            <w:noWrap/>
            <w:vAlign w:val="bottom"/>
            <w:hideMark/>
          </w:tcPr>
          <w:p w14:paraId="34ED0316"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6.421</w:t>
            </w:r>
          </w:p>
        </w:tc>
        <w:tc>
          <w:tcPr>
            <w:tcW w:w="1053" w:type="dxa"/>
            <w:tcBorders>
              <w:top w:val="nil"/>
              <w:left w:val="nil"/>
              <w:bottom w:val="single" w:sz="4" w:space="0" w:color="auto"/>
              <w:right w:val="single" w:sz="4" w:space="0" w:color="auto"/>
            </w:tcBorders>
            <w:shd w:val="clear" w:color="000000" w:fill="D0CECE"/>
            <w:noWrap/>
            <w:vAlign w:val="bottom"/>
            <w:hideMark/>
          </w:tcPr>
          <w:p w14:paraId="039C400F"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55</w:t>
            </w:r>
          </w:p>
        </w:tc>
        <w:tc>
          <w:tcPr>
            <w:tcW w:w="1193" w:type="dxa"/>
            <w:tcBorders>
              <w:top w:val="nil"/>
              <w:left w:val="nil"/>
              <w:bottom w:val="single" w:sz="4" w:space="0" w:color="auto"/>
              <w:right w:val="single" w:sz="4" w:space="0" w:color="auto"/>
            </w:tcBorders>
            <w:shd w:val="clear" w:color="000000" w:fill="D0CECE"/>
            <w:noWrap/>
            <w:vAlign w:val="bottom"/>
            <w:hideMark/>
          </w:tcPr>
          <w:p w14:paraId="1C52237E"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9.600</w:t>
            </w:r>
          </w:p>
        </w:tc>
        <w:tc>
          <w:tcPr>
            <w:tcW w:w="1189" w:type="dxa"/>
            <w:tcBorders>
              <w:top w:val="nil"/>
              <w:left w:val="nil"/>
              <w:bottom w:val="single" w:sz="4" w:space="0" w:color="auto"/>
              <w:right w:val="single" w:sz="4" w:space="0" w:color="auto"/>
            </w:tcBorders>
            <w:shd w:val="clear" w:color="000000" w:fill="D0CECE"/>
            <w:noWrap/>
            <w:vAlign w:val="bottom"/>
            <w:hideMark/>
          </w:tcPr>
          <w:p w14:paraId="16285A6A"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0,9%</w:t>
            </w:r>
          </w:p>
        </w:tc>
        <w:tc>
          <w:tcPr>
            <w:tcW w:w="1144" w:type="dxa"/>
            <w:tcBorders>
              <w:top w:val="nil"/>
              <w:left w:val="nil"/>
              <w:bottom w:val="single" w:sz="4" w:space="0" w:color="auto"/>
              <w:right w:val="single" w:sz="4" w:space="0" w:color="auto"/>
            </w:tcBorders>
            <w:shd w:val="clear" w:color="000000" w:fill="D9D9D9"/>
            <w:noWrap/>
            <w:vAlign w:val="bottom"/>
            <w:hideMark/>
          </w:tcPr>
          <w:p w14:paraId="25214C7B" w14:textId="77777777" w:rsidR="006A5A78" w:rsidRPr="00F87C3C" w:rsidRDefault="006A5A78" w:rsidP="00247B52">
            <w:pPr>
              <w:spacing w:after="0" w:line="240" w:lineRule="auto"/>
              <w:jc w:val="center"/>
              <w:rPr>
                <w:rFonts w:ascii="Calibri" w:eastAsia="Times New Roman" w:hAnsi="Calibri" w:cs="Calibri"/>
                <w:color w:val="000000"/>
                <w:lang w:eastAsia="el-GR"/>
              </w:rPr>
            </w:pPr>
            <w:r w:rsidRPr="00F87C3C">
              <w:rPr>
                <w:rFonts w:ascii="Calibri" w:eastAsia="Times New Roman" w:hAnsi="Calibri" w:cs="Calibri"/>
                <w:color w:val="000000"/>
                <w:lang w:eastAsia="el-GR"/>
              </w:rPr>
              <w:t>66,9%</w:t>
            </w:r>
          </w:p>
        </w:tc>
      </w:tr>
    </w:tbl>
    <w:p w14:paraId="089FEF2D" w14:textId="77777777" w:rsidR="006A5A78" w:rsidRPr="00244827" w:rsidRDefault="006A5A78" w:rsidP="006A5A78">
      <w:pPr>
        <w:pStyle w:val="Web"/>
        <w:shd w:val="clear" w:color="auto" w:fill="FFFFFF"/>
        <w:spacing w:before="0" w:beforeAutospacing="0" w:after="0" w:afterAutospacing="0"/>
        <w:jc w:val="both"/>
        <w:rPr>
          <w:rFonts w:asciiTheme="minorHAnsi" w:hAnsiTheme="minorHAnsi" w:cstheme="minorHAnsi"/>
          <w:sz w:val="18"/>
          <w:szCs w:val="18"/>
        </w:rPr>
      </w:pPr>
      <w:r w:rsidRPr="00244827">
        <w:rPr>
          <w:rFonts w:asciiTheme="minorHAnsi" w:hAnsiTheme="minorHAnsi" w:cstheme="minorHAnsi"/>
          <w:sz w:val="18"/>
          <w:szCs w:val="18"/>
        </w:rPr>
        <w:t>1. Ετήσιες εκτιμήσεις όπως αποτυπώνονται στην επεξηγηματική έκθεση του ΜΠΔΣ 2022-2025.</w:t>
      </w:r>
    </w:p>
    <w:p w14:paraId="7AA74FAF" w14:textId="77777777" w:rsidR="006A5A78" w:rsidRPr="00244827" w:rsidRDefault="006A5A78" w:rsidP="006A5A78">
      <w:pPr>
        <w:pStyle w:val="Web"/>
        <w:shd w:val="clear" w:color="auto" w:fill="FFFFFF"/>
        <w:spacing w:before="0" w:beforeAutospacing="0" w:after="0" w:afterAutospacing="0"/>
        <w:jc w:val="both"/>
        <w:rPr>
          <w:rFonts w:asciiTheme="minorHAnsi" w:hAnsiTheme="minorHAnsi" w:cstheme="minorHAnsi"/>
          <w:sz w:val="18"/>
          <w:szCs w:val="18"/>
        </w:rPr>
      </w:pPr>
      <w:r w:rsidRPr="00244827">
        <w:rPr>
          <w:rFonts w:asciiTheme="minorHAnsi" w:hAnsiTheme="minorHAnsi" w:cstheme="minorHAnsi"/>
          <w:sz w:val="18"/>
          <w:szCs w:val="18"/>
        </w:rPr>
        <w:t>(*) Συνολικές Δαπάνες- Τόκοι</w:t>
      </w:r>
    </w:p>
    <w:p w14:paraId="7FA8F192" w14:textId="77777777" w:rsidR="006A5A78" w:rsidRPr="00244827" w:rsidRDefault="006A5A78" w:rsidP="006A5A78">
      <w:pPr>
        <w:pStyle w:val="Web"/>
        <w:shd w:val="clear" w:color="auto" w:fill="FFFFFF"/>
        <w:spacing w:before="0" w:beforeAutospacing="0" w:after="0" w:afterAutospacing="0"/>
        <w:jc w:val="both"/>
        <w:rPr>
          <w:rFonts w:asciiTheme="minorHAnsi" w:hAnsiTheme="minorHAnsi" w:cstheme="minorHAnsi"/>
          <w:sz w:val="18"/>
          <w:szCs w:val="18"/>
        </w:rPr>
      </w:pPr>
      <w:r w:rsidRPr="00244827">
        <w:rPr>
          <w:rFonts w:asciiTheme="minorHAnsi" w:hAnsiTheme="minorHAnsi" w:cstheme="minorHAnsi"/>
          <w:sz w:val="18"/>
          <w:szCs w:val="18"/>
        </w:rPr>
        <w:t>(**) Συνολικές Δαπάνες- Δαπάνες ΠΔΕ &amp; Ταμείο Ανάκαμψης</w:t>
      </w:r>
    </w:p>
    <w:p w14:paraId="0F4857C4" w14:textId="77777777" w:rsidR="006A5A78" w:rsidRDefault="006A5A78" w:rsidP="006A5A78">
      <w:pPr>
        <w:pStyle w:val="Web"/>
        <w:shd w:val="clear" w:color="auto" w:fill="FFFFFF"/>
        <w:spacing w:before="0" w:beforeAutospacing="0" w:after="0" w:afterAutospacing="0" w:line="360" w:lineRule="auto"/>
        <w:jc w:val="both"/>
        <w:rPr>
          <w:rFonts w:asciiTheme="minorHAnsi" w:hAnsiTheme="minorHAnsi" w:cstheme="minorHAnsi"/>
          <w:sz w:val="22"/>
          <w:szCs w:val="22"/>
        </w:rPr>
      </w:pPr>
    </w:p>
    <w:p w14:paraId="655BB911" w14:textId="709A19DB" w:rsidR="006A5A78" w:rsidRPr="009E748F" w:rsidRDefault="006A5A78" w:rsidP="009E748F">
      <w:pPr>
        <w:pStyle w:val="Web"/>
        <w:shd w:val="clear" w:color="auto" w:fill="FFFFFF"/>
        <w:spacing w:before="0" w:beforeAutospacing="0" w:after="0" w:afterAutospacing="0" w:line="276" w:lineRule="auto"/>
        <w:jc w:val="both"/>
        <w:rPr>
          <w:rFonts w:ascii="Trebuchet MS" w:hAnsi="Trebuchet MS" w:cstheme="minorHAnsi"/>
          <w:sz w:val="22"/>
          <w:szCs w:val="22"/>
        </w:rPr>
      </w:pPr>
      <w:r w:rsidRPr="009E748F">
        <w:rPr>
          <w:rFonts w:ascii="Trebuchet MS" w:hAnsi="Trebuchet MS" w:cstheme="minorHAnsi"/>
          <w:sz w:val="22"/>
          <w:szCs w:val="22"/>
        </w:rPr>
        <w:t xml:space="preserve">Όπως προαναφέρθηκε οι συνολικές δαπάνες του ΚΠ παρουσιάζονται αυξημένες κατά 4,8 δισ. ευρώ ή 10,8% σε σχέση με το προηγούμενο έτος, λόγω των μέτρων αντιμετώπισης της πανδημίας, αλλά και λόγω δαπανών που αφορούν σε εξοπλιστικά προγράμματα αξίας 1.908 εκατ. ευρώ. Η αύξηση των δαπανών αφορά σχεδόν αποκλειστικά στις δαπάνες του Τακτικού Προϋπολογισμού, αφού οι δαπάνες του Προγράμματος Δημοσίων Επενδύσεων διαμορφώθηκαν οριακά υψηλότερα από </w:t>
      </w:r>
      <w:r w:rsidRPr="009E748F">
        <w:rPr>
          <w:rFonts w:ascii="Trebuchet MS" w:hAnsi="Trebuchet MS" w:cstheme="minorHAnsi"/>
          <w:sz w:val="22"/>
          <w:szCs w:val="22"/>
        </w:rPr>
        <w:lastRenderedPageBreak/>
        <w:t>πέρυσι</w:t>
      </w:r>
      <w:r w:rsidR="00FC1985">
        <w:rPr>
          <w:rStyle w:val="af1"/>
          <w:rFonts w:ascii="Trebuchet MS" w:hAnsi="Trebuchet MS" w:cstheme="minorHAnsi"/>
          <w:sz w:val="22"/>
          <w:szCs w:val="22"/>
        </w:rPr>
        <w:footnoteReference w:id="18"/>
      </w:r>
      <w:r w:rsidRPr="009E748F">
        <w:rPr>
          <w:rFonts w:ascii="Trebuchet MS" w:hAnsi="Trebuchet MS" w:cstheme="minorHAnsi"/>
          <w:sz w:val="22"/>
          <w:szCs w:val="22"/>
        </w:rPr>
        <w:t xml:space="preserve">. Η εκτέλεση των δαπανών πραγματοποιείται κανονικά αφού στο εννεάμηνο κινούνται περί το 70%. Η υποεκτέλεση που αναφέρθηκε προηγουμένως αφορά κυρίως  σε μεταβιβάσεις προς </w:t>
      </w:r>
      <w:r w:rsidR="0028351C">
        <w:rPr>
          <w:rFonts w:ascii="Trebuchet MS" w:hAnsi="Trebuchet MS" w:cstheme="minorHAnsi"/>
          <w:sz w:val="22"/>
          <w:szCs w:val="22"/>
        </w:rPr>
        <w:t>Οργανισμούς Κοινωνικής Ασφάλισης (</w:t>
      </w:r>
      <w:r w:rsidRPr="009E748F">
        <w:rPr>
          <w:rFonts w:ascii="Trebuchet MS" w:hAnsi="Trebuchet MS" w:cstheme="minorHAnsi"/>
          <w:sz w:val="22"/>
          <w:szCs w:val="22"/>
        </w:rPr>
        <w:t>ΟΚΑ</w:t>
      </w:r>
      <w:r w:rsidR="0028351C">
        <w:rPr>
          <w:rFonts w:ascii="Trebuchet MS" w:hAnsi="Trebuchet MS" w:cstheme="minorHAnsi"/>
          <w:sz w:val="22"/>
          <w:szCs w:val="22"/>
        </w:rPr>
        <w:t>),</w:t>
      </w:r>
      <w:r w:rsidRPr="009E748F">
        <w:rPr>
          <w:rFonts w:ascii="Trebuchet MS" w:hAnsi="Trebuchet MS" w:cstheme="minorHAnsi"/>
          <w:sz w:val="22"/>
          <w:szCs w:val="22"/>
        </w:rPr>
        <w:t xml:space="preserve"> που όμως αναμένεται να καλυφθεί τους επόμενους μήνες.   </w:t>
      </w:r>
    </w:p>
    <w:p w14:paraId="1A0A7EF0" w14:textId="77777777" w:rsidR="006A5A78" w:rsidRPr="009E748F" w:rsidRDefault="006A5A78" w:rsidP="009E748F">
      <w:pPr>
        <w:rPr>
          <w:color w:val="auto"/>
        </w:rPr>
      </w:pPr>
    </w:p>
    <w:p w14:paraId="46C88AE0" w14:textId="4B5DC742" w:rsidR="003F1BE5" w:rsidRPr="003F1BE5" w:rsidRDefault="003F1BE5" w:rsidP="003F1BE5">
      <w:pPr>
        <w:pStyle w:val="a1"/>
        <w:numPr>
          <w:ilvl w:val="1"/>
          <w:numId w:val="3"/>
        </w:numPr>
        <w:rPr>
          <w:sz w:val="28"/>
          <w:szCs w:val="28"/>
        </w:rPr>
      </w:pPr>
      <w:bookmarkStart w:id="136" w:name="_Toc89172836"/>
      <w:r w:rsidRPr="003F1BE5">
        <w:rPr>
          <w:sz w:val="28"/>
          <w:szCs w:val="28"/>
        </w:rPr>
        <w:t>Υποτομείς Γενικής Κυβέρνησης</w:t>
      </w:r>
      <w:bookmarkEnd w:id="136"/>
      <w:r w:rsidRPr="003F1BE5">
        <w:rPr>
          <w:sz w:val="28"/>
          <w:szCs w:val="28"/>
        </w:rPr>
        <w:t xml:space="preserve"> </w:t>
      </w:r>
    </w:p>
    <w:p w14:paraId="13E62153" w14:textId="77777777" w:rsidR="009E748F" w:rsidRPr="00FD791B" w:rsidRDefault="009E748F" w:rsidP="00B6235D">
      <w:pPr>
        <w:spacing w:after="240"/>
        <w:rPr>
          <w:color w:val="auto"/>
        </w:rPr>
      </w:pPr>
      <w:r w:rsidRPr="00FD791B">
        <w:rPr>
          <w:color w:val="auto"/>
        </w:rPr>
        <w:t xml:space="preserve">Ο υποτομέας της Κεντρικής Κυβέρνησης πλην Κρατικού Προϋπολογισμού, ήτοι τα Νομικά Πρόσωπα, οι επαναταξινομημένες ΔΕΚΟ και τα Νοσοκομεία, εμφάνισε πλεόνασμα το εννεάμηνο του 2021, ύψους 1.108 εκατ. ευρώ, μειωμένο σε σχέση με το αντίστοιχο περυσινό διάστημα κατά 1.030 εκατ. ευρώ. Η μείωση αυτή οφείλεται αποκλειστικά στις μειωμένες κατά 1.944 εκατ. ευρώ μεταβιβάσεις από την κεντρική κυβέρνηση. </w:t>
      </w:r>
    </w:p>
    <w:p w14:paraId="26CCD210" w14:textId="18061731" w:rsidR="009E748F" w:rsidRPr="00FD791B" w:rsidRDefault="00FD791B" w:rsidP="00B6235D">
      <w:pPr>
        <w:spacing w:after="0" w:line="240" w:lineRule="auto"/>
        <w:rPr>
          <w:color w:val="00A3E0"/>
          <w:sz w:val="20"/>
          <w:szCs w:val="20"/>
        </w:rPr>
      </w:pPr>
      <w:bookmarkStart w:id="137" w:name="_Toc89172857"/>
      <w:r w:rsidRPr="00FD791B">
        <w:rPr>
          <w:b/>
          <w:iCs/>
          <w:color w:val="808080" w:themeColor="background1" w:themeShade="80"/>
          <w:sz w:val="20"/>
          <w:szCs w:val="20"/>
        </w:rPr>
        <w:t xml:space="preserve">Πίνακας </w:t>
      </w:r>
      <w:r w:rsidRPr="00FD791B">
        <w:rPr>
          <w:b/>
          <w:iCs/>
          <w:color w:val="808080" w:themeColor="background1" w:themeShade="80"/>
          <w:sz w:val="20"/>
          <w:szCs w:val="20"/>
        </w:rPr>
        <w:fldChar w:fldCharType="begin"/>
      </w:r>
      <w:r w:rsidRPr="00FD791B">
        <w:rPr>
          <w:b/>
          <w:iCs/>
          <w:color w:val="808080" w:themeColor="background1" w:themeShade="80"/>
          <w:sz w:val="20"/>
          <w:szCs w:val="20"/>
        </w:rPr>
        <w:instrText xml:space="preserve"> SEQ Πίνακας \* ARABIC </w:instrText>
      </w:r>
      <w:r w:rsidRPr="00FD791B">
        <w:rPr>
          <w:b/>
          <w:iCs/>
          <w:color w:val="808080" w:themeColor="background1" w:themeShade="80"/>
          <w:sz w:val="20"/>
          <w:szCs w:val="20"/>
        </w:rPr>
        <w:fldChar w:fldCharType="separate"/>
      </w:r>
      <w:r w:rsidR="0038196B">
        <w:rPr>
          <w:b/>
          <w:iCs/>
          <w:noProof/>
          <w:color w:val="808080" w:themeColor="background1" w:themeShade="80"/>
          <w:sz w:val="20"/>
          <w:szCs w:val="20"/>
        </w:rPr>
        <w:t>12</w:t>
      </w:r>
      <w:r w:rsidRPr="00FD791B">
        <w:rPr>
          <w:b/>
          <w:iCs/>
          <w:color w:val="808080" w:themeColor="background1" w:themeShade="80"/>
          <w:sz w:val="20"/>
          <w:szCs w:val="20"/>
        </w:rPr>
        <w:fldChar w:fldCharType="end"/>
      </w:r>
      <w:r w:rsidRPr="00FD791B">
        <w:rPr>
          <w:b/>
          <w:iCs/>
          <w:color w:val="808080" w:themeColor="background1" w:themeShade="80"/>
          <w:sz w:val="20"/>
          <w:szCs w:val="20"/>
        </w:rPr>
        <w:t>:</w:t>
      </w:r>
      <w:r w:rsidRPr="00FD791B">
        <w:rPr>
          <w:b/>
          <w:iCs/>
          <w:color w:val="808080" w:themeColor="background1" w:themeShade="80"/>
        </w:rPr>
        <w:t xml:space="preserve"> </w:t>
      </w:r>
      <w:r w:rsidR="009E748F" w:rsidRPr="00FD791B">
        <w:rPr>
          <w:color w:val="00A3E0"/>
          <w:sz w:val="20"/>
          <w:szCs w:val="20"/>
        </w:rPr>
        <w:t>Ταμειακά αποτελέσματα εννεαμήνου υποτομέων ΓΚ (σε εκατ. ευρώ)</w:t>
      </w:r>
      <w:bookmarkEnd w:id="137"/>
    </w:p>
    <w:tbl>
      <w:tblPr>
        <w:tblW w:w="8399" w:type="dxa"/>
        <w:tblLook w:val="04A0" w:firstRow="1" w:lastRow="0" w:firstColumn="1" w:lastColumn="0" w:noHBand="0" w:noVBand="1"/>
      </w:tblPr>
      <w:tblGrid>
        <w:gridCol w:w="3294"/>
        <w:gridCol w:w="1316"/>
        <w:gridCol w:w="1711"/>
        <w:gridCol w:w="2078"/>
      </w:tblGrid>
      <w:tr w:rsidR="009E748F" w:rsidRPr="00BE2523" w14:paraId="0D84C101" w14:textId="77777777" w:rsidTr="00BE2523">
        <w:trPr>
          <w:trHeight w:val="221"/>
        </w:trPr>
        <w:tc>
          <w:tcPr>
            <w:tcW w:w="3294" w:type="dxa"/>
            <w:vMerge w:val="restart"/>
            <w:tcBorders>
              <w:top w:val="single" w:sz="4" w:space="0" w:color="auto"/>
              <w:left w:val="single" w:sz="4" w:space="0" w:color="auto"/>
              <w:bottom w:val="nil"/>
              <w:right w:val="nil"/>
            </w:tcBorders>
            <w:shd w:val="clear" w:color="auto" w:fill="BDD6EE" w:themeFill="accent1" w:themeFillTint="66"/>
            <w:noWrap/>
            <w:vAlign w:val="bottom"/>
            <w:hideMark/>
          </w:tcPr>
          <w:p w14:paraId="1AA37726" w14:textId="77777777" w:rsidR="009E748F" w:rsidRPr="00BE2523" w:rsidRDefault="009E748F" w:rsidP="00247B52">
            <w:pPr>
              <w:spacing w:after="0" w:line="240" w:lineRule="auto"/>
              <w:rPr>
                <w:rFonts w:eastAsia="Times New Roman" w:cs="Calibri"/>
                <w:color w:val="000000"/>
                <w:sz w:val="18"/>
                <w:szCs w:val="18"/>
                <w:lang w:eastAsia="el-GR"/>
              </w:rPr>
            </w:pPr>
            <w:r w:rsidRPr="00BE2523">
              <w:rPr>
                <w:rFonts w:eastAsia="Times New Roman" w:cs="Calibri"/>
                <w:color w:val="000000"/>
                <w:sz w:val="18"/>
                <w:szCs w:val="18"/>
                <w:lang w:eastAsia="el-GR"/>
              </w:rPr>
              <w:t> </w:t>
            </w:r>
          </w:p>
        </w:tc>
        <w:tc>
          <w:tcPr>
            <w:tcW w:w="5104" w:type="dxa"/>
            <w:gridSpan w:val="3"/>
            <w:tcBorders>
              <w:top w:val="single" w:sz="4" w:space="0" w:color="auto"/>
              <w:left w:val="nil"/>
              <w:bottom w:val="nil"/>
              <w:right w:val="single" w:sz="4" w:space="0" w:color="auto"/>
            </w:tcBorders>
            <w:shd w:val="clear" w:color="auto" w:fill="BDD6EE" w:themeFill="accent1" w:themeFillTint="66"/>
            <w:noWrap/>
            <w:hideMark/>
          </w:tcPr>
          <w:p w14:paraId="0C1E9D49" w14:textId="77777777" w:rsidR="009E748F" w:rsidRPr="00BE2523" w:rsidRDefault="009E748F" w:rsidP="00247B52">
            <w:pPr>
              <w:spacing w:after="0" w:line="240" w:lineRule="auto"/>
              <w:rPr>
                <w:rFonts w:eastAsia="Times New Roman" w:cs="Calibri"/>
                <w:b/>
                <w:bCs/>
                <w:color w:val="000000"/>
                <w:sz w:val="18"/>
                <w:szCs w:val="18"/>
                <w:lang w:eastAsia="el-GR"/>
              </w:rPr>
            </w:pPr>
            <w:r w:rsidRPr="00BE2523">
              <w:rPr>
                <w:rFonts w:eastAsia="Times New Roman" w:cs="Calibri"/>
                <w:b/>
                <w:bCs/>
                <w:color w:val="000000"/>
                <w:sz w:val="18"/>
                <w:szCs w:val="18"/>
                <w:lang w:eastAsia="el-GR"/>
              </w:rPr>
              <w:t>Ιανουάριος - Σεπτέμβριος</w:t>
            </w:r>
          </w:p>
        </w:tc>
      </w:tr>
      <w:tr w:rsidR="009E748F" w:rsidRPr="00BE2523" w14:paraId="273808F9" w14:textId="77777777" w:rsidTr="00BE2523">
        <w:trPr>
          <w:trHeight w:val="221"/>
        </w:trPr>
        <w:tc>
          <w:tcPr>
            <w:tcW w:w="3294" w:type="dxa"/>
            <w:vMerge/>
            <w:tcBorders>
              <w:top w:val="nil"/>
              <w:left w:val="single" w:sz="4" w:space="0" w:color="auto"/>
              <w:bottom w:val="nil"/>
              <w:right w:val="nil"/>
            </w:tcBorders>
            <w:shd w:val="clear" w:color="auto" w:fill="BDD6EE" w:themeFill="accent1" w:themeFillTint="66"/>
            <w:vAlign w:val="center"/>
            <w:hideMark/>
          </w:tcPr>
          <w:p w14:paraId="38ED01C8" w14:textId="77777777" w:rsidR="009E748F" w:rsidRPr="00BE2523" w:rsidRDefault="009E748F" w:rsidP="00247B52">
            <w:pPr>
              <w:spacing w:after="0" w:line="240" w:lineRule="auto"/>
              <w:rPr>
                <w:rFonts w:eastAsia="Times New Roman" w:cs="Calibri"/>
                <w:color w:val="000000"/>
                <w:sz w:val="18"/>
                <w:szCs w:val="18"/>
                <w:lang w:eastAsia="el-GR"/>
              </w:rPr>
            </w:pPr>
          </w:p>
        </w:tc>
        <w:tc>
          <w:tcPr>
            <w:tcW w:w="1316" w:type="dxa"/>
            <w:tcBorders>
              <w:top w:val="nil"/>
              <w:left w:val="nil"/>
              <w:bottom w:val="nil"/>
              <w:right w:val="nil"/>
            </w:tcBorders>
            <w:shd w:val="clear" w:color="auto" w:fill="BDD6EE" w:themeFill="accent1" w:themeFillTint="66"/>
            <w:noWrap/>
            <w:vAlign w:val="center"/>
            <w:hideMark/>
          </w:tcPr>
          <w:p w14:paraId="776A14E5" w14:textId="77777777" w:rsidR="009E748F" w:rsidRPr="00BE2523" w:rsidRDefault="009E748F" w:rsidP="00247B52">
            <w:pPr>
              <w:spacing w:after="0" w:line="240" w:lineRule="auto"/>
              <w:jc w:val="center"/>
              <w:rPr>
                <w:rFonts w:eastAsia="Times New Roman" w:cs="Calibri"/>
                <w:b/>
                <w:bCs/>
                <w:color w:val="000000"/>
                <w:sz w:val="18"/>
                <w:szCs w:val="18"/>
                <w:lang w:eastAsia="el-GR"/>
              </w:rPr>
            </w:pPr>
            <w:r w:rsidRPr="00BE2523">
              <w:rPr>
                <w:rFonts w:eastAsia="Times New Roman" w:cs="Calibri"/>
                <w:b/>
                <w:bCs/>
                <w:color w:val="000000"/>
                <w:sz w:val="18"/>
                <w:szCs w:val="18"/>
                <w:lang w:eastAsia="el-GR"/>
              </w:rPr>
              <w:t>2020</w:t>
            </w:r>
          </w:p>
        </w:tc>
        <w:tc>
          <w:tcPr>
            <w:tcW w:w="1711" w:type="dxa"/>
            <w:tcBorders>
              <w:top w:val="nil"/>
              <w:left w:val="nil"/>
              <w:bottom w:val="nil"/>
              <w:right w:val="nil"/>
            </w:tcBorders>
            <w:shd w:val="clear" w:color="auto" w:fill="BDD6EE" w:themeFill="accent1" w:themeFillTint="66"/>
            <w:noWrap/>
            <w:vAlign w:val="center"/>
            <w:hideMark/>
          </w:tcPr>
          <w:p w14:paraId="3BB07AB8" w14:textId="77777777" w:rsidR="009E748F" w:rsidRPr="00BE2523" w:rsidRDefault="009E748F" w:rsidP="00247B52">
            <w:pPr>
              <w:spacing w:after="0" w:line="240" w:lineRule="auto"/>
              <w:jc w:val="center"/>
              <w:rPr>
                <w:rFonts w:eastAsia="Times New Roman" w:cs="Calibri"/>
                <w:b/>
                <w:bCs/>
                <w:color w:val="000000"/>
                <w:sz w:val="18"/>
                <w:szCs w:val="18"/>
                <w:lang w:eastAsia="el-GR"/>
              </w:rPr>
            </w:pPr>
            <w:r w:rsidRPr="00BE2523">
              <w:rPr>
                <w:rFonts w:eastAsia="Times New Roman" w:cs="Calibri"/>
                <w:b/>
                <w:bCs/>
                <w:color w:val="000000"/>
                <w:sz w:val="18"/>
                <w:szCs w:val="18"/>
                <w:lang w:eastAsia="el-GR"/>
              </w:rPr>
              <w:t>2021</w:t>
            </w:r>
          </w:p>
        </w:tc>
        <w:tc>
          <w:tcPr>
            <w:tcW w:w="2076" w:type="dxa"/>
            <w:tcBorders>
              <w:top w:val="nil"/>
              <w:left w:val="nil"/>
              <w:bottom w:val="nil"/>
              <w:right w:val="single" w:sz="4" w:space="0" w:color="auto"/>
            </w:tcBorders>
            <w:shd w:val="clear" w:color="auto" w:fill="BDD6EE" w:themeFill="accent1" w:themeFillTint="66"/>
            <w:noWrap/>
            <w:vAlign w:val="center"/>
            <w:hideMark/>
          </w:tcPr>
          <w:p w14:paraId="7C60C37A" w14:textId="77777777" w:rsidR="009E748F" w:rsidRPr="00BE2523" w:rsidRDefault="009E748F" w:rsidP="00247B52">
            <w:pPr>
              <w:spacing w:after="0" w:line="240" w:lineRule="auto"/>
              <w:jc w:val="center"/>
              <w:rPr>
                <w:rFonts w:eastAsia="Times New Roman" w:cs="Calibri"/>
                <w:b/>
                <w:bCs/>
                <w:color w:val="000000"/>
                <w:sz w:val="18"/>
                <w:szCs w:val="18"/>
                <w:lang w:eastAsia="el-GR"/>
              </w:rPr>
            </w:pPr>
            <w:r w:rsidRPr="00BE2523">
              <w:rPr>
                <w:rFonts w:eastAsia="Times New Roman" w:cs="Calibri"/>
                <w:b/>
                <w:bCs/>
                <w:color w:val="000000"/>
                <w:sz w:val="18"/>
                <w:szCs w:val="18"/>
                <w:lang w:eastAsia="el-GR"/>
              </w:rPr>
              <w:t>%Δ 2021-2020</w:t>
            </w:r>
          </w:p>
        </w:tc>
      </w:tr>
      <w:tr w:rsidR="009E748F" w:rsidRPr="00BE2523" w14:paraId="0A6079BD" w14:textId="77777777" w:rsidTr="00BE2523">
        <w:trPr>
          <w:trHeight w:val="221"/>
        </w:trPr>
        <w:tc>
          <w:tcPr>
            <w:tcW w:w="8399" w:type="dxa"/>
            <w:gridSpan w:val="4"/>
            <w:tcBorders>
              <w:top w:val="nil"/>
              <w:left w:val="single" w:sz="4" w:space="0" w:color="auto"/>
              <w:bottom w:val="single" w:sz="4" w:space="0" w:color="auto"/>
              <w:right w:val="single" w:sz="4" w:space="0" w:color="auto"/>
            </w:tcBorders>
            <w:shd w:val="clear" w:color="000000" w:fill="969696"/>
            <w:noWrap/>
            <w:vAlign w:val="bottom"/>
            <w:hideMark/>
          </w:tcPr>
          <w:p w14:paraId="2BBCF06E" w14:textId="77777777" w:rsidR="009E748F" w:rsidRPr="00BE2523" w:rsidRDefault="009E748F" w:rsidP="00247B52">
            <w:pPr>
              <w:spacing w:after="0" w:line="240" w:lineRule="auto"/>
              <w:jc w:val="center"/>
              <w:rPr>
                <w:rFonts w:eastAsia="Times New Roman" w:cs="Calibri"/>
                <w:b/>
                <w:bCs/>
                <w:color w:val="000000"/>
                <w:sz w:val="18"/>
                <w:szCs w:val="18"/>
                <w:lang w:eastAsia="el-GR"/>
              </w:rPr>
            </w:pPr>
            <w:r w:rsidRPr="00BE2523">
              <w:rPr>
                <w:rFonts w:eastAsia="Times New Roman" w:cs="Calibri"/>
                <w:b/>
                <w:bCs/>
                <w:color w:val="000000"/>
                <w:sz w:val="18"/>
                <w:szCs w:val="18"/>
                <w:lang w:eastAsia="el-GR"/>
              </w:rPr>
              <w:t xml:space="preserve">Νομικά Πρόσωπα, ΔΕΚΟ και Νοσοκομεία </w:t>
            </w:r>
          </w:p>
        </w:tc>
      </w:tr>
      <w:tr w:rsidR="009E748F" w:rsidRPr="00BE2523" w14:paraId="51004BDA" w14:textId="77777777" w:rsidTr="00BE2523">
        <w:trPr>
          <w:trHeight w:val="221"/>
        </w:trPr>
        <w:tc>
          <w:tcPr>
            <w:tcW w:w="3294" w:type="dxa"/>
            <w:tcBorders>
              <w:top w:val="single" w:sz="4" w:space="0" w:color="auto"/>
              <w:left w:val="single" w:sz="4" w:space="0" w:color="auto"/>
              <w:bottom w:val="single" w:sz="4" w:space="0" w:color="auto"/>
              <w:right w:val="nil"/>
            </w:tcBorders>
            <w:shd w:val="clear" w:color="auto" w:fill="auto"/>
            <w:noWrap/>
            <w:vAlign w:val="bottom"/>
            <w:hideMark/>
          </w:tcPr>
          <w:p w14:paraId="322B0FF8" w14:textId="77777777" w:rsidR="009E748F" w:rsidRPr="00BE2523" w:rsidRDefault="009E748F" w:rsidP="00247B52">
            <w:pPr>
              <w:spacing w:after="0" w:line="240" w:lineRule="auto"/>
              <w:rPr>
                <w:rFonts w:eastAsia="Times New Roman" w:cs="Calibri"/>
                <w:b/>
                <w:bCs/>
                <w:color w:val="000000"/>
                <w:sz w:val="18"/>
                <w:szCs w:val="18"/>
                <w:lang w:eastAsia="el-GR"/>
              </w:rPr>
            </w:pPr>
            <w:r w:rsidRPr="00BE2523">
              <w:rPr>
                <w:rFonts w:eastAsia="Times New Roman" w:cs="Calibri"/>
                <w:b/>
                <w:bCs/>
                <w:color w:val="000000"/>
                <w:sz w:val="18"/>
                <w:szCs w:val="18"/>
                <w:lang w:eastAsia="el-GR"/>
              </w:rPr>
              <w:t>I. Σύνολο Εσόδων</w:t>
            </w:r>
          </w:p>
        </w:tc>
        <w:tc>
          <w:tcPr>
            <w:tcW w:w="1316" w:type="dxa"/>
            <w:tcBorders>
              <w:top w:val="single" w:sz="4" w:space="0" w:color="auto"/>
              <w:left w:val="nil"/>
              <w:bottom w:val="single" w:sz="4" w:space="0" w:color="auto"/>
              <w:right w:val="nil"/>
            </w:tcBorders>
            <w:shd w:val="clear" w:color="auto" w:fill="auto"/>
            <w:noWrap/>
            <w:vAlign w:val="bottom"/>
            <w:hideMark/>
          </w:tcPr>
          <w:p w14:paraId="39105B6F"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10.888</w:t>
            </w:r>
          </w:p>
        </w:tc>
        <w:tc>
          <w:tcPr>
            <w:tcW w:w="1711" w:type="dxa"/>
            <w:tcBorders>
              <w:top w:val="single" w:sz="4" w:space="0" w:color="auto"/>
              <w:left w:val="nil"/>
              <w:bottom w:val="single" w:sz="4" w:space="0" w:color="auto"/>
              <w:right w:val="nil"/>
            </w:tcBorders>
            <w:shd w:val="clear" w:color="auto" w:fill="auto"/>
            <w:noWrap/>
            <w:vAlign w:val="bottom"/>
            <w:hideMark/>
          </w:tcPr>
          <w:p w14:paraId="43908FF5"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9.247</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1BEF93A8" w14:textId="77777777" w:rsidR="009E748F" w:rsidRPr="00BE2523" w:rsidRDefault="009E748F" w:rsidP="00247B52">
            <w:pPr>
              <w:spacing w:after="0" w:line="240" w:lineRule="auto"/>
              <w:jc w:val="right"/>
              <w:rPr>
                <w:rFonts w:eastAsia="Times New Roman" w:cs="Calibri"/>
                <w:color w:val="000000"/>
                <w:sz w:val="18"/>
                <w:szCs w:val="18"/>
                <w:lang w:eastAsia="el-GR"/>
              </w:rPr>
            </w:pPr>
            <w:r w:rsidRPr="00BE2523">
              <w:rPr>
                <w:rFonts w:eastAsia="Times New Roman" w:cs="Calibri"/>
                <w:color w:val="000000"/>
                <w:sz w:val="18"/>
                <w:szCs w:val="18"/>
                <w:lang w:eastAsia="el-GR"/>
              </w:rPr>
              <w:t>-15%</w:t>
            </w:r>
          </w:p>
        </w:tc>
      </w:tr>
      <w:tr w:rsidR="009E748F" w:rsidRPr="00BE2523" w14:paraId="12A8C8EF" w14:textId="77777777" w:rsidTr="00BE2523">
        <w:trPr>
          <w:trHeight w:val="421"/>
        </w:trPr>
        <w:tc>
          <w:tcPr>
            <w:tcW w:w="3294" w:type="dxa"/>
            <w:tcBorders>
              <w:top w:val="single" w:sz="4" w:space="0" w:color="auto"/>
              <w:left w:val="single" w:sz="4" w:space="0" w:color="auto"/>
              <w:bottom w:val="single" w:sz="4" w:space="0" w:color="auto"/>
              <w:right w:val="nil"/>
            </w:tcBorders>
            <w:shd w:val="clear" w:color="auto" w:fill="auto"/>
            <w:vAlign w:val="bottom"/>
            <w:hideMark/>
          </w:tcPr>
          <w:p w14:paraId="136AD067" w14:textId="77777777" w:rsidR="009E748F" w:rsidRPr="00BE2523" w:rsidRDefault="009E748F" w:rsidP="00247B52">
            <w:pPr>
              <w:spacing w:after="0" w:line="240" w:lineRule="auto"/>
              <w:rPr>
                <w:rFonts w:eastAsia="Times New Roman" w:cs="Calibri"/>
                <w:i/>
                <w:iCs/>
                <w:color w:val="000000"/>
                <w:sz w:val="18"/>
                <w:szCs w:val="18"/>
                <w:lang w:eastAsia="el-GR"/>
              </w:rPr>
            </w:pPr>
            <w:r w:rsidRPr="00BE2523">
              <w:rPr>
                <w:rFonts w:eastAsia="Times New Roman" w:cs="Calibri"/>
                <w:i/>
                <w:iCs/>
                <w:color w:val="000000"/>
                <w:sz w:val="18"/>
                <w:szCs w:val="18"/>
                <w:lang w:eastAsia="el-GR"/>
              </w:rPr>
              <w:t>εκ των οποίων: μεταβιβάσεις από τον ΚΠ</w:t>
            </w:r>
          </w:p>
        </w:tc>
        <w:tc>
          <w:tcPr>
            <w:tcW w:w="1316" w:type="dxa"/>
            <w:tcBorders>
              <w:top w:val="single" w:sz="4" w:space="0" w:color="auto"/>
              <w:left w:val="nil"/>
              <w:bottom w:val="single" w:sz="4" w:space="0" w:color="auto"/>
              <w:right w:val="nil"/>
            </w:tcBorders>
            <w:shd w:val="clear" w:color="auto" w:fill="auto"/>
            <w:noWrap/>
            <w:vAlign w:val="bottom"/>
            <w:hideMark/>
          </w:tcPr>
          <w:p w14:paraId="03C9A99B" w14:textId="77777777" w:rsidR="009E748F" w:rsidRPr="00BE2523" w:rsidRDefault="009E748F" w:rsidP="00247B52">
            <w:pPr>
              <w:spacing w:after="0" w:line="240" w:lineRule="auto"/>
              <w:jc w:val="right"/>
              <w:rPr>
                <w:rFonts w:eastAsia="Times New Roman" w:cs="Calibri"/>
                <w:i/>
                <w:iCs/>
                <w:color w:val="000000"/>
                <w:sz w:val="18"/>
                <w:szCs w:val="18"/>
                <w:lang w:eastAsia="el-GR"/>
              </w:rPr>
            </w:pPr>
            <w:r w:rsidRPr="00BE2523">
              <w:rPr>
                <w:rFonts w:eastAsia="Times New Roman" w:cs="Calibri"/>
                <w:i/>
                <w:iCs/>
                <w:color w:val="000000"/>
                <w:sz w:val="18"/>
                <w:szCs w:val="18"/>
                <w:lang w:eastAsia="el-GR"/>
              </w:rPr>
              <w:t>7.883</w:t>
            </w:r>
          </w:p>
        </w:tc>
        <w:tc>
          <w:tcPr>
            <w:tcW w:w="1711" w:type="dxa"/>
            <w:tcBorders>
              <w:top w:val="single" w:sz="4" w:space="0" w:color="auto"/>
              <w:left w:val="nil"/>
              <w:bottom w:val="single" w:sz="4" w:space="0" w:color="auto"/>
              <w:right w:val="nil"/>
            </w:tcBorders>
            <w:shd w:val="clear" w:color="auto" w:fill="auto"/>
            <w:noWrap/>
            <w:vAlign w:val="bottom"/>
            <w:hideMark/>
          </w:tcPr>
          <w:p w14:paraId="6A7C5CE6" w14:textId="77777777" w:rsidR="009E748F" w:rsidRPr="00BE2523" w:rsidRDefault="009E748F" w:rsidP="00247B52">
            <w:pPr>
              <w:spacing w:after="0" w:line="240" w:lineRule="auto"/>
              <w:jc w:val="right"/>
              <w:rPr>
                <w:rFonts w:eastAsia="Times New Roman" w:cs="Calibri"/>
                <w:i/>
                <w:iCs/>
                <w:color w:val="000000"/>
                <w:sz w:val="18"/>
                <w:szCs w:val="18"/>
                <w:lang w:eastAsia="el-GR"/>
              </w:rPr>
            </w:pPr>
            <w:r w:rsidRPr="00BE2523">
              <w:rPr>
                <w:rFonts w:eastAsia="Times New Roman" w:cs="Calibri"/>
                <w:i/>
                <w:iCs/>
                <w:color w:val="000000"/>
                <w:sz w:val="18"/>
                <w:szCs w:val="18"/>
                <w:lang w:eastAsia="el-GR"/>
              </w:rPr>
              <w:t>6.013</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4004C93C" w14:textId="77777777" w:rsidR="009E748F" w:rsidRPr="00BE2523" w:rsidRDefault="009E748F" w:rsidP="00247B52">
            <w:pPr>
              <w:spacing w:after="0" w:line="240" w:lineRule="auto"/>
              <w:jc w:val="right"/>
              <w:rPr>
                <w:rFonts w:eastAsia="Times New Roman" w:cs="Calibri"/>
                <w:i/>
                <w:iCs/>
                <w:color w:val="000000"/>
                <w:sz w:val="18"/>
                <w:szCs w:val="18"/>
                <w:lang w:eastAsia="el-GR"/>
              </w:rPr>
            </w:pPr>
            <w:r w:rsidRPr="00BE2523">
              <w:rPr>
                <w:rFonts w:eastAsia="Times New Roman" w:cs="Calibri"/>
                <w:i/>
                <w:iCs/>
                <w:color w:val="000000"/>
                <w:sz w:val="18"/>
                <w:szCs w:val="18"/>
                <w:lang w:eastAsia="el-GR"/>
              </w:rPr>
              <w:t>-24%</w:t>
            </w:r>
          </w:p>
        </w:tc>
      </w:tr>
      <w:tr w:rsidR="009E748F" w:rsidRPr="00BE2523" w14:paraId="7B00034B" w14:textId="77777777" w:rsidTr="00BE2523">
        <w:trPr>
          <w:trHeight w:val="221"/>
        </w:trPr>
        <w:tc>
          <w:tcPr>
            <w:tcW w:w="3294" w:type="dxa"/>
            <w:tcBorders>
              <w:top w:val="single" w:sz="4" w:space="0" w:color="auto"/>
              <w:left w:val="single" w:sz="4" w:space="0" w:color="auto"/>
              <w:bottom w:val="single" w:sz="4" w:space="0" w:color="auto"/>
              <w:right w:val="nil"/>
            </w:tcBorders>
            <w:shd w:val="clear" w:color="auto" w:fill="auto"/>
            <w:noWrap/>
            <w:vAlign w:val="bottom"/>
            <w:hideMark/>
          </w:tcPr>
          <w:p w14:paraId="70312CE6" w14:textId="77777777" w:rsidR="009E748F" w:rsidRPr="00BE2523" w:rsidRDefault="009E748F" w:rsidP="00247B52">
            <w:pPr>
              <w:spacing w:after="0" w:line="240" w:lineRule="auto"/>
              <w:rPr>
                <w:rFonts w:eastAsia="Times New Roman" w:cs="Calibri"/>
                <w:b/>
                <w:bCs/>
                <w:color w:val="000000"/>
                <w:sz w:val="18"/>
                <w:szCs w:val="18"/>
                <w:lang w:eastAsia="el-GR"/>
              </w:rPr>
            </w:pPr>
            <w:r w:rsidRPr="00BE2523">
              <w:rPr>
                <w:rFonts w:eastAsia="Times New Roman" w:cs="Calibri"/>
                <w:b/>
                <w:bCs/>
                <w:color w:val="000000"/>
                <w:sz w:val="18"/>
                <w:szCs w:val="18"/>
                <w:lang w:eastAsia="el-GR"/>
              </w:rPr>
              <w:t>ΙΙ. Δαπάνες</w:t>
            </w:r>
          </w:p>
        </w:tc>
        <w:tc>
          <w:tcPr>
            <w:tcW w:w="1316" w:type="dxa"/>
            <w:tcBorders>
              <w:top w:val="single" w:sz="4" w:space="0" w:color="auto"/>
              <w:left w:val="nil"/>
              <w:bottom w:val="single" w:sz="4" w:space="0" w:color="auto"/>
              <w:right w:val="nil"/>
            </w:tcBorders>
            <w:shd w:val="clear" w:color="auto" w:fill="auto"/>
            <w:noWrap/>
            <w:vAlign w:val="bottom"/>
            <w:hideMark/>
          </w:tcPr>
          <w:p w14:paraId="2994569D"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8.186</w:t>
            </w:r>
          </w:p>
        </w:tc>
        <w:tc>
          <w:tcPr>
            <w:tcW w:w="1711" w:type="dxa"/>
            <w:tcBorders>
              <w:top w:val="single" w:sz="4" w:space="0" w:color="auto"/>
              <w:left w:val="nil"/>
              <w:bottom w:val="single" w:sz="4" w:space="0" w:color="auto"/>
              <w:right w:val="nil"/>
            </w:tcBorders>
            <w:shd w:val="clear" w:color="auto" w:fill="auto"/>
            <w:noWrap/>
            <w:vAlign w:val="bottom"/>
            <w:hideMark/>
          </w:tcPr>
          <w:p w14:paraId="3ACB7D9B"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7.408</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2B9E8278"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-10%</w:t>
            </w:r>
          </w:p>
        </w:tc>
      </w:tr>
      <w:tr w:rsidR="009E748F" w:rsidRPr="00BE2523" w14:paraId="237B6BED" w14:textId="77777777" w:rsidTr="00BE2523">
        <w:trPr>
          <w:trHeight w:val="755"/>
        </w:trPr>
        <w:tc>
          <w:tcPr>
            <w:tcW w:w="3294" w:type="dxa"/>
            <w:tcBorders>
              <w:top w:val="single" w:sz="4" w:space="0" w:color="auto"/>
              <w:left w:val="single" w:sz="4" w:space="0" w:color="auto"/>
              <w:bottom w:val="single" w:sz="4" w:space="0" w:color="auto"/>
              <w:right w:val="nil"/>
            </w:tcBorders>
            <w:shd w:val="clear" w:color="auto" w:fill="auto"/>
            <w:vAlign w:val="bottom"/>
            <w:hideMark/>
          </w:tcPr>
          <w:p w14:paraId="4A8B3BF2" w14:textId="77777777" w:rsidR="009E748F" w:rsidRPr="00BE2523" w:rsidRDefault="009E748F" w:rsidP="00247B52">
            <w:pPr>
              <w:spacing w:after="0" w:line="240" w:lineRule="auto"/>
              <w:rPr>
                <w:rFonts w:eastAsia="Times New Roman" w:cs="Calibri"/>
                <w:b/>
                <w:bCs/>
                <w:color w:val="000000"/>
                <w:sz w:val="18"/>
                <w:szCs w:val="18"/>
                <w:lang w:eastAsia="el-GR"/>
              </w:rPr>
            </w:pPr>
            <w:r w:rsidRPr="00BE2523">
              <w:rPr>
                <w:rFonts w:eastAsia="Times New Roman" w:cs="Calibri"/>
                <w:b/>
                <w:bCs/>
                <w:color w:val="000000"/>
                <w:sz w:val="18"/>
                <w:szCs w:val="18"/>
                <w:lang w:eastAsia="el-GR"/>
              </w:rPr>
              <w:t>ΙΙΙ.Καθαρή απόκτηση μη χρημ/κών περιουσιακών στοιχείων</w:t>
            </w:r>
          </w:p>
        </w:tc>
        <w:tc>
          <w:tcPr>
            <w:tcW w:w="1316" w:type="dxa"/>
            <w:tcBorders>
              <w:top w:val="single" w:sz="4" w:space="0" w:color="auto"/>
              <w:left w:val="nil"/>
              <w:bottom w:val="single" w:sz="4" w:space="0" w:color="auto"/>
              <w:right w:val="nil"/>
            </w:tcBorders>
            <w:shd w:val="clear" w:color="auto" w:fill="auto"/>
            <w:noWrap/>
            <w:vAlign w:val="bottom"/>
            <w:hideMark/>
          </w:tcPr>
          <w:p w14:paraId="5A879BBD"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488</w:t>
            </w:r>
          </w:p>
        </w:tc>
        <w:tc>
          <w:tcPr>
            <w:tcW w:w="1711" w:type="dxa"/>
            <w:tcBorders>
              <w:top w:val="single" w:sz="4" w:space="0" w:color="auto"/>
              <w:left w:val="nil"/>
              <w:bottom w:val="single" w:sz="4" w:space="0" w:color="auto"/>
              <w:right w:val="nil"/>
            </w:tcBorders>
            <w:shd w:val="clear" w:color="auto" w:fill="auto"/>
            <w:noWrap/>
            <w:vAlign w:val="bottom"/>
            <w:hideMark/>
          </w:tcPr>
          <w:p w14:paraId="1F6E7FEC"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731</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6D2E478A"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50%</w:t>
            </w:r>
          </w:p>
        </w:tc>
      </w:tr>
      <w:tr w:rsidR="009E748F" w:rsidRPr="00BE2523" w14:paraId="12BC893E" w14:textId="77777777" w:rsidTr="00BE2523">
        <w:trPr>
          <w:trHeight w:val="221"/>
        </w:trPr>
        <w:tc>
          <w:tcPr>
            <w:tcW w:w="3294" w:type="dxa"/>
            <w:tcBorders>
              <w:top w:val="single" w:sz="4" w:space="0" w:color="auto"/>
              <w:left w:val="single" w:sz="4" w:space="0" w:color="auto"/>
              <w:bottom w:val="single" w:sz="4" w:space="0" w:color="auto"/>
              <w:right w:val="nil"/>
            </w:tcBorders>
            <w:shd w:val="clear" w:color="000000" w:fill="DDDDDD"/>
            <w:noWrap/>
            <w:vAlign w:val="bottom"/>
            <w:hideMark/>
          </w:tcPr>
          <w:p w14:paraId="50E82110" w14:textId="77777777" w:rsidR="009E748F" w:rsidRPr="00BE2523" w:rsidRDefault="009E748F" w:rsidP="00247B52">
            <w:pPr>
              <w:spacing w:after="0" w:line="240" w:lineRule="auto"/>
              <w:rPr>
                <w:rFonts w:eastAsia="Times New Roman" w:cs="Calibri"/>
                <w:b/>
                <w:bCs/>
                <w:color w:val="000000"/>
                <w:sz w:val="18"/>
                <w:szCs w:val="18"/>
                <w:lang w:eastAsia="el-GR"/>
              </w:rPr>
            </w:pPr>
            <w:r w:rsidRPr="00BE2523">
              <w:rPr>
                <w:rFonts w:eastAsia="Times New Roman" w:cs="Calibri"/>
                <w:b/>
                <w:bCs/>
                <w:color w:val="000000"/>
                <w:sz w:val="18"/>
                <w:szCs w:val="18"/>
                <w:lang w:eastAsia="el-GR"/>
              </w:rPr>
              <w:t>Αποτέλεσμα (I-II-III)</w:t>
            </w:r>
          </w:p>
        </w:tc>
        <w:tc>
          <w:tcPr>
            <w:tcW w:w="1316" w:type="dxa"/>
            <w:tcBorders>
              <w:top w:val="single" w:sz="4" w:space="0" w:color="auto"/>
              <w:left w:val="nil"/>
              <w:bottom w:val="single" w:sz="4" w:space="0" w:color="auto"/>
              <w:right w:val="nil"/>
            </w:tcBorders>
            <w:shd w:val="clear" w:color="000000" w:fill="DDDDDD"/>
            <w:noWrap/>
            <w:vAlign w:val="bottom"/>
            <w:hideMark/>
          </w:tcPr>
          <w:p w14:paraId="744944F7"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2.214</w:t>
            </w:r>
          </w:p>
        </w:tc>
        <w:tc>
          <w:tcPr>
            <w:tcW w:w="1711" w:type="dxa"/>
            <w:tcBorders>
              <w:top w:val="single" w:sz="4" w:space="0" w:color="auto"/>
              <w:left w:val="nil"/>
              <w:bottom w:val="single" w:sz="4" w:space="0" w:color="auto"/>
              <w:right w:val="nil"/>
            </w:tcBorders>
            <w:shd w:val="clear" w:color="000000" w:fill="DDDDDD"/>
            <w:noWrap/>
            <w:vAlign w:val="bottom"/>
            <w:hideMark/>
          </w:tcPr>
          <w:p w14:paraId="39E7B5FC"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1.108</w:t>
            </w:r>
          </w:p>
        </w:tc>
        <w:tc>
          <w:tcPr>
            <w:tcW w:w="2076" w:type="dxa"/>
            <w:tcBorders>
              <w:top w:val="single" w:sz="4" w:space="0" w:color="auto"/>
              <w:left w:val="nil"/>
              <w:bottom w:val="nil"/>
              <w:right w:val="single" w:sz="4" w:space="0" w:color="auto"/>
            </w:tcBorders>
            <w:shd w:val="clear" w:color="000000" w:fill="DDDDDD"/>
            <w:noWrap/>
            <w:vAlign w:val="bottom"/>
            <w:hideMark/>
          </w:tcPr>
          <w:p w14:paraId="093D60F0"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-50%</w:t>
            </w:r>
          </w:p>
        </w:tc>
      </w:tr>
      <w:tr w:rsidR="009E748F" w:rsidRPr="00BE2523" w14:paraId="35B2352B" w14:textId="77777777" w:rsidTr="00BE2523">
        <w:trPr>
          <w:trHeight w:val="221"/>
        </w:trPr>
        <w:tc>
          <w:tcPr>
            <w:tcW w:w="3294" w:type="dxa"/>
            <w:tcBorders>
              <w:top w:val="single" w:sz="4" w:space="0" w:color="auto"/>
              <w:left w:val="single" w:sz="4" w:space="0" w:color="auto"/>
              <w:bottom w:val="single" w:sz="4" w:space="0" w:color="auto"/>
              <w:right w:val="nil"/>
            </w:tcBorders>
            <w:shd w:val="clear" w:color="000000" w:fill="DDDDDD"/>
            <w:noWrap/>
            <w:vAlign w:val="bottom"/>
            <w:hideMark/>
          </w:tcPr>
          <w:p w14:paraId="65E9CFE3" w14:textId="77777777" w:rsidR="009E748F" w:rsidRPr="00BE2523" w:rsidRDefault="009E748F" w:rsidP="00247B52">
            <w:pPr>
              <w:spacing w:after="0" w:line="240" w:lineRule="auto"/>
              <w:rPr>
                <w:rFonts w:eastAsia="Times New Roman" w:cs="Calibri"/>
                <w:b/>
                <w:bCs/>
                <w:color w:val="000000"/>
                <w:sz w:val="18"/>
                <w:szCs w:val="18"/>
                <w:lang w:eastAsia="el-GR"/>
              </w:rPr>
            </w:pPr>
            <w:r w:rsidRPr="00BE2523">
              <w:rPr>
                <w:rFonts w:eastAsia="Times New Roman" w:cs="Calibri"/>
                <w:b/>
                <w:bCs/>
                <w:color w:val="000000"/>
                <w:sz w:val="18"/>
                <w:szCs w:val="18"/>
                <w:lang w:eastAsia="el-GR"/>
              </w:rPr>
              <w:t xml:space="preserve">Πρωτογενές Αποτέλεσμα </w:t>
            </w:r>
          </w:p>
        </w:tc>
        <w:tc>
          <w:tcPr>
            <w:tcW w:w="1316" w:type="dxa"/>
            <w:tcBorders>
              <w:top w:val="nil"/>
              <w:left w:val="nil"/>
              <w:bottom w:val="single" w:sz="4" w:space="0" w:color="auto"/>
              <w:right w:val="nil"/>
            </w:tcBorders>
            <w:shd w:val="clear" w:color="000000" w:fill="DDDDDD"/>
            <w:noWrap/>
            <w:vAlign w:val="bottom"/>
            <w:hideMark/>
          </w:tcPr>
          <w:p w14:paraId="55D9126D"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2.402</w:t>
            </w:r>
          </w:p>
        </w:tc>
        <w:tc>
          <w:tcPr>
            <w:tcW w:w="1711" w:type="dxa"/>
            <w:tcBorders>
              <w:top w:val="nil"/>
              <w:left w:val="nil"/>
              <w:bottom w:val="single" w:sz="4" w:space="0" w:color="auto"/>
              <w:right w:val="nil"/>
            </w:tcBorders>
            <w:shd w:val="clear" w:color="000000" w:fill="DDDDDD"/>
            <w:noWrap/>
            <w:vAlign w:val="bottom"/>
            <w:hideMark/>
          </w:tcPr>
          <w:p w14:paraId="03A4CD12"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1.269</w:t>
            </w:r>
          </w:p>
        </w:tc>
        <w:tc>
          <w:tcPr>
            <w:tcW w:w="2076" w:type="dxa"/>
            <w:tcBorders>
              <w:top w:val="single" w:sz="4" w:space="0" w:color="auto"/>
              <w:left w:val="nil"/>
              <w:bottom w:val="single" w:sz="4" w:space="0" w:color="auto"/>
              <w:right w:val="single" w:sz="4" w:space="0" w:color="auto"/>
            </w:tcBorders>
            <w:shd w:val="clear" w:color="000000" w:fill="DDDDDD"/>
            <w:noWrap/>
            <w:vAlign w:val="bottom"/>
            <w:hideMark/>
          </w:tcPr>
          <w:p w14:paraId="645BED79"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-47%</w:t>
            </w:r>
          </w:p>
        </w:tc>
      </w:tr>
      <w:tr w:rsidR="009E748F" w:rsidRPr="00BE2523" w14:paraId="0F082DD1" w14:textId="77777777" w:rsidTr="00BE2523">
        <w:trPr>
          <w:trHeight w:val="221"/>
        </w:trPr>
        <w:tc>
          <w:tcPr>
            <w:tcW w:w="8399" w:type="dxa"/>
            <w:gridSpan w:val="4"/>
            <w:tcBorders>
              <w:top w:val="nil"/>
              <w:left w:val="single" w:sz="4" w:space="0" w:color="auto"/>
              <w:right w:val="single" w:sz="4" w:space="0" w:color="auto"/>
            </w:tcBorders>
            <w:shd w:val="clear" w:color="000000" w:fill="969696"/>
            <w:noWrap/>
            <w:vAlign w:val="bottom"/>
            <w:hideMark/>
          </w:tcPr>
          <w:p w14:paraId="10AE6FEA" w14:textId="77777777" w:rsidR="009E748F" w:rsidRPr="00BE2523" w:rsidRDefault="009E748F" w:rsidP="00247B52">
            <w:pPr>
              <w:spacing w:after="0" w:line="240" w:lineRule="auto"/>
              <w:jc w:val="center"/>
              <w:rPr>
                <w:rFonts w:eastAsia="Times New Roman" w:cs="Calibri"/>
                <w:b/>
                <w:bCs/>
                <w:color w:val="000000"/>
                <w:sz w:val="18"/>
                <w:szCs w:val="18"/>
                <w:lang w:eastAsia="el-GR"/>
              </w:rPr>
            </w:pPr>
            <w:r w:rsidRPr="00BE2523">
              <w:rPr>
                <w:rFonts w:eastAsia="Times New Roman" w:cs="Calibri"/>
                <w:b/>
                <w:bCs/>
                <w:color w:val="000000"/>
                <w:sz w:val="18"/>
                <w:szCs w:val="18"/>
                <w:lang w:eastAsia="el-GR"/>
              </w:rPr>
              <w:t>Οργανισμοί Τοπικής Αυτοδιοίκησης (ΟΤΑ)</w:t>
            </w:r>
          </w:p>
        </w:tc>
      </w:tr>
      <w:tr w:rsidR="009E748F" w:rsidRPr="00BE2523" w14:paraId="727064BC" w14:textId="77777777" w:rsidTr="00BE2523">
        <w:trPr>
          <w:trHeight w:val="221"/>
        </w:trPr>
        <w:tc>
          <w:tcPr>
            <w:tcW w:w="3294" w:type="dxa"/>
            <w:tcBorders>
              <w:top w:val="nil"/>
              <w:left w:val="single" w:sz="4" w:space="0" w:color="auto"/>
              <w:bottom w:val="single" w:sz="4" w:space="0" w:color="auto"/>
              <w:right w:val="nil"/>
            </w:tcBorders>
            <w:shd w:val="clear" w:color="auto" w:fill="auto"/>
            <w:noWrap/>
            <w:vAlign w:val="bottom"/>
            <w:hideMark/>
          </w:tcPr>
          <w:p w14:paraId="47D25B2E" w14:textId="77777777" w:rsidR="009E748F" w:rsidRPr="00BE2523" w:rsidRDefault="009E748F" w:rsidP="00247B52">
            <w:pPr>
              <w:spacing w:after="0" w:line="240" w:lineRule="auto"/>
              <w:rPr>
                <w:rFonts w:eastAsia="Times New Roman" w:cs="Calibri"/>
                <w:b/>
                <w:bCs/>
                <w:color w:val="000000"/>
                <w:sz w:val="18"/>
                <w:szCs w:val="18"/>
                <w:lang w:eastAsia="el-GR"/>
              </w:rPr>
            </w:pPr>
            <w:r w:rsidRPr="00BE2523">
              <w:rPr>
                <w:rFonts w:eastAsia="Times New Roman" w:cs="Calibri"/>
                <w:b/>
                <w:bCs/>
                <w:color w:val="000000"/>
                <w:sz w:val="18"/>
                <w:szCs w:val="18"/>
                <w:lang w:eastAsia="el-GR"/>
              </w:rPr>
              <w:t>I. Σύνολο Εσόδων</w:t>
            </w:r>
          </w:p>
        </w:tc>
        <w:tc>
          <w:tcPr>
            <w:tcW w:w="1316" w:type="dxa"/>
            <w:tcBorders>
              <w:top w:val="nil"/>
              <w:left w:val="nil"/>
              <w:bottom w:val="single" w:sz="4" w:space="0" w:color="auto"/>
              <w:right w:val="nil"/>
            </w:tcBorders>
            <w:shd w:val="clear" w:color="auto" w:fill="auto"/>
            <w:noWrap/>
            <w:vAlign w:val="bottom"/>
            <w:hideMark/>
          </w:tcPr>
          <w:p w14:paraId="6C00CCA6"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4.569</w:t>
            </w:r>
          </w:p>
        </w:tc>
        <w:tc>
          <w:tcPr>
            <w:tcW w:w="1711" w:type="dxa"/>
            <w:tcBorders>
              <w:top w:val="nil"/>
              <w:left w:val="nil"/>
              <w:bottom w:val="single" w:sz="4" w:space="0" w:color="auto"/>
              <w:right w:val="nil"/>
            </w:tcBorders>
            <w:shd w:val="clear" w:color="auto" w:fill="auto"/>
            <w:noWrap/>
            <w:vAlign w:val="bottom"/>
            <w:hideMark/>
          </w:tcPr>
          <w:p w14:paraId="75B7ED72"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5.108</w:t>
            </w:r>
          </w:p>
        </w:tc>
        <w:tc>
          <w:tcPr>
            <w:tcW w:w="2076" w:type="dxa"/>
            <w:tcBorders>
              <w:top w:val="nil"/>
              <w:left w:val="nil"/>
              <w:bottom w:val="single" w:sz="4" w:space="0" w:color="auto"/>
              <w:right w:val="single" w:sz="4" w:space="0" w:color="auto"/>
            </w:tcBorders>
            <w:shd w:val="clear" w:color="auto" w:fill="auto"/>
            <w:noWrap/>
            <w:vAlign w:val="bottom"/>
            <w:hideMark/>
          </w:tcPr>
          <w:p w14:paraId="2C1D130B"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12%</w:t>
            </w:r>
          </w:p>
        </w:tc>
      </w:tr>
      <w:tr w:rsidR="009E748F" w:rsidRPr="00BE2523" w14:paraId="31CDA026" w14:textId="77777777" w:rsidTr="00BE2523">
        <w:trPr>
          <w:trHeight w:val="376"/>
        </w:trPr>
        <w:tc>
          <w:tcPr>
            <w:tcW w:w="3294" w:type="dxa"/>
            <w:tcBorders>
              <w:top w:val="single" w:sz="4" w:space="0" w:color="auto"/>
              <w:left w:val="single" w:sz="4" w:space="0" w:color="auto"/>
              <w:bottom w:val="single" w:sz="4" w:space="0" w:color="auto"/>
              <w:right w:val="nil"/>
            </w:tcBorders>
            <w:shd w:val="clear" w:color="auto" w:fill="auto"/>
            <w:vAlign w:val="bottom"/>
            <w:hideMark/>
          </w:tcPr>
          <w:p w14:paraId="5CD57509" w14:textId="77777777" w:rsidR="009E748F" w:rsidRPr="00BE2523" w:rsidRDefault="009E748F" w:rsidP="00247B52">
            <w:pPr>
              <w:spacing w:after="0" w:line="240" w:lineRule="auto"/>
              <w:rPr>
                <w:rFonts w:eastAsia="Times New Roman" w:cs="Calibri"/>
                <w:i/>
                <w:iCs/>
                <w:color w:val="000000"/>
                <w:sz w:val="18"/>
                <w:szCs w:val="18"/>
                <w:lang w:eastAsia="el-GR"/>
              </w:rPr>
            </w:pPr>
            <w:r w:rsidRPr="00BE2523">
              <w:rPr>
                <w:rFonts w:eastAsia="Times New Roman" w:cs="Calibri"/>
                <w:i/>
                <w:iCs/>
                <w:color w:val="000000"/>
                <w:sz w:val="18"/>
                <w:szCs w:val="18"/>
                <w:lang w:eastAsia="el-GR"/>
              </w:rPr>
              <w:t>εκ των οποίων: μεταβιβάσεις από τον ΚΠ</w:t>
            </w:r>
          </w:p>
        </w:tc>
        <w:tc>
          <w:tcPr>
            <w:tcW w:w="1316" w:type="dxa"/>
            <w:tcBorders>
              <w:top w:val="single" w:sz="4" w:space="0" w:color="auto"/>
              <w:left w:val="nil"/>
              <w:bottom w:val="single" w:sz="4" w:space="0" w:color="auto"/>
              <w:right w:val="nil"/>
            </w:tcBorders>
            <w:shd w:val="clear" w:color="auto" w:fill="auto"/>
            <w:noWrap/>
            <w:vAlign w:val="bottom"/>
            <w:hideMark/>
          </w:tcPr>
          <w:p w14:paraId="03F7B41D" w14:textId="77777777" w:rsidR="009E748F" w:rsidRPr="00BE2523" w:rsidRDefault="009E748F" w:rsidP="00247B52">
            <w:pPr>
              <w:spacing w:after="0" w:line="240" w:lineRule="auto"/>
              <w:jc w:val="right"/>
              <w:rPr>
                <w:rFonts w:eastAsia="Times New Roman" w:cs="Calibri"/>
                <w:i/>
                <w:iCs/>
                <w:color w:val="000000"/>
                <w:sz w:val="18"/>
                <w:szCs w:val="18"/>
                <w:lang w:eastAsia="el-GR"/>
              </w:rPr>
            </w:pPr>
            <w:r w:rsidRPr="00BE2523">
              <w:rPr>
                <w:rFonts w:eastAsia="Times New Roman" w:cs="Calibri"/>
                <w:i/>
                <w:iCs/>
                <w:color w:val="000000"/>
                <w:sz w:val="18"/>
                <w:szCs w:val="18"/>
                <w:lang w:eastAsia="el-GR"/>
              </w:rPr>
              <w:t>2.947</w:t>
            </w:r>
          </w:p>
        </w:tc>
        <w:tc>
          <w:tcPr>
            <w:tcW w:w="1711" w:type="dxa"/>
            <w:tcBorders>
              <w:top w:val="single" w:sz="4" w:space="0" w:color="auto"/>
              <w:left w:val="nil"/>
              <w:bottom w:val="single" w:sz="4" w:space="0" w:color="auto"/>
              <w:right w:val="nil"/>
            </w:tcBorders>
            <w:shd w:val="clear" w:color="auto" w:fill="auto"/>
            <w:noWrap/>
            <w:vAlign w:val="bottom"/>
            <w:hideMark/>
          </w:tcPr>
          <w:p w14:paraId="50C567D8" w14:textId="77777777" w:rsidR="009E748F" w:rsidRPr="00BE2523" w:rsidRDefault="009E748F" w:rsidP="00247B52">
            <w:pPr>
              <w:spacing w:after="0" w:line="240" w:lineRule="auto"/>
              <w:jc w:val="right"/>
              <w:rPr>
                <w:rFonts w:eastAsia="Times New Roman" w:cs="Calibri"/>
                <w:i/>
                <w:iCs/>
                <w:color w:val="000000"/>
                <w:sz w:val="18"/>
                <w:szCs w:val="18"/>
                <w:lang w:eastAsia="el-GR"/>
              </w:rPr>
            </w:pPr>
            <w:r w:rsidRPr="00BE2523">
              <w:rPr>
                <w:rFonts w:eastAsia="Times New Roman" w:cs="Calibri"/>
                <w:i/>
                <w:iCs/>
                <w:color w:val="000000"/>
                <w:sz w:val="18"/>
                <w:szCs w:val="18"/>
                <w:lang w:eastAsia="el-GR"/>
              </w:rPr>
              <w:t>3.413</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402DA2DC" w14:textId="77777777" w:rsidR="009E748F" w:rsidRPr="00BE2523" w:rsidRDefault="009E748F" w:rsidP="00247B52">
            <w:pPr>
              <w:spacing w:after="0" w:line="240" w:lineRule="auto"/>
              <w:jc w:val="right"/>
              <w:rPr>
                <w:rFonts w:eastAsia="Times New Roman" w:cs="Calibri"/>
                <w:i/>
                <w:iCs/>
                <w:color w:val="000000"/>
                <w:sz w:val="18"/>
                <w:szCs w:val="18"/>
                <w:lang w:eastAsia="el-GR"/>
              </w:rPr>
            </w:pPr>
            <w:r w:rsidRPr="00BE2523">
              <w:rPr>
                <w:rFonts w:eastAsia="Times New Roman" w:cs="Calibri"/>
                <w:i/>
                <w:iCs/>
                <w:color w:val="000000"/>
                <w:sz w:val="18"/>
                <w:szCs w:val="18"/>
                <w:lang w:eastAsia="el-GR"/>
              </w:rPr>
              <w:t>16%</w:t>
            </w:r>
          </w:p>
        </w:tc>
      </w:tr>
      <w:tr w:rsidR="009E748F" w:rsidRPr="00BE2523" w14:paraId="6E8989E7" w14:textId="77777777" w:rsidTr="00BE2523">
        <w:trPr>
          <w:trHeight w:val="221"/>
        </w:trPr>
        <w:tc>
          <w:tcPr>
            <w:tcW w:w="3294" w:type="dxa"/>
            <w:tcBorders>
              <w:top w:val="single" w:sz="4" w:space="0" w:color="auto"/>
              <w:left w:val="single" w:sz="4" w:space="0" w:color="auto"/>
              <w:bottom w:val="single" w:sz="4" w:space="0" w:color="auto"/>
              <w:right w:val="nil"/>
            </w:tcBorders>
            <w:shd w:val="clear" w:color="auto" w:fill="auto"/>
            <w:noWrap/>
            <w:vAlign w:val="bottom"/>
            <w:hideMark/>
          </w:tcPr>
          <w:p w14:paraId="38859D8F" w14:textId="77777777" w:rsidR="009E748F" w:rsidRPr="00BE2523" w:rsidRDefault="009E748F" w:rsidP="00247B52">
            <w:pPr>
              <w:spacing w:after="0" w:line="240" w:lineRule="auto"/>
              <w:rPr>
                <w:rFonts w:eastAsia="Times New Roman" w:cs="Calibri"/>
                <w:b/>
                <w:bCs/>
                <w:color w:val="000000"/>
                <w:sz w:val="18"/>
                <w:szCs w:val="18"/>
                <w:lang w:eastAsia="el-GR"/>
              </w:rPr>
            </w:pPr>
            <w:r w:rsidRPr="00BE2523">
              <w:rPr>
                <w:rFonts w:eastAsia="Times New Roman" w:cs="Calibri"/>
                <w:b/>
                <w:bCs/>
                <w:color w:val="000000"/>
                <w:sz w:val="18"/>
                <w:szCs w:val="18"/>
                <w:lang w:eastAsia="el-GR"/>
              </w:rPr>
              <w:t>ΙΙ. Δαπάνες</w:t>
            </w:r>
          </w:p>
        </w:tc>
        <w:tc>
          <w:tcPr>
            <w:tcW w:w="1316" w:type="dxa"/>
            <w:tcBorders>
              <w:top w:val="single" w:sz="4" w:space="0" w:color="auto"/>
              <w:left w:val="nil"/>
              <w:bottom w:val="single" w:sz="4" w:space="0" w:color="auto"/>
              <w:right w:val="nil"/>
            </w:tcBorders>
            <w:shd w:val="clear" w:color="auto" w:fill="auto"/>
            <w:noWrap/>
            <w:vAlign w:val="bottom"/>
            <w:hideMark/>
          </w:tcPr>
          <w:p w14:paraId="78FA42EC"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3.455</w:t>
            </w:r>
          </w:p>
        </w:tc>
        <w:tc>
          <w:tcPr>
            <w:tcW w:w="1711" w:type="dxa"/>
            <w:tcBorders>
              <w:top w:val="single" w:sz="4" w:space="0" w:color="auto"/>
              <w:left w:val="nil"/>
              <w:bottom w:val="single" w:sz="4" w:space="0" w:color="auto"/>
              <w:right w:val="nil"/>
            </w:tcBorders>
            <w:shd w:val="clear" w:color="auto" w:fill="auto"/>
            <w:noWrap/>
            <w:vAlign w:val="bottom"/>
            <w:hideMark/>
          </w:tcPr>
          <w:p w14:paraId="33E65EFB"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3.714</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27D697C8"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7%</w:t>
            </w:r>
          </w:p>
        </w:tc>
      </w:tr>
      <w:tr w:rsidR="009E748F" w:rsidRPr="00BE2523" w14:paraId="271B0339" w14:textId="77777777" w:rsidTr="00BE2523">
        <w:trPr>
          <w:trHeight w:val="678"/>
        </w:trPr>
        <w:tc>
          <w:tcPr>
            <w:tcW w:w="3294" w:type="dxa"/>
            <w:tcBorders>
              <w:top w:val="single" w:sz="4" w:space="0" w:color="auto"/>
              <w:left w:val="single" w:sz="4" w:space="0" w:color="auto"/>
              <w:bottom w:val="nil"/>
              <w:right w:val="nil"/>
            </w:tcBorders>
            <w:shd w:val="clear" w:color="auto" w:fill="auto"/>
            <w:vAlign w:val="bottom"/>
            <w:hideMark/>
          </w:tcPr>
          <w:p w14:paraId="2D7C503D" w14:textId="77777777" w:rsidR="009E748F" w:rsidRPr="00BE2523" w:rsidRDefault="009E748F" w:rsidP="00247B52">
            <w:pPr>
              <w:spacing w:after="0" w:line="240" w:lineRule="auto"/>
              <w:rPr>
                <w:rFonts w:eastAsia="Times New Roman" w:cs="Calibri"/>
                <w:b/>
                <w:bCs/>
                <w:color w:val="000000"/>
                <w:sz w:val="18"/>
                <w:szCs w:val="18"/>
                <w:lang w:eastAsia="el-GR"/>
              </w:rPr>
            </w:pPr>
            <w:r w:rsidRPr="00BE2523">
              <w:rPr>
                <w:rFonts w:eastAsia="Times New Roman" w:cs="Calibri"/>
                <w:b/>
                <w:bCs/>
                <w:color w:val="000000"/>
                <w:sz w:val="18"/>
                <w:szCs w:val="18"/>
                <w:lang w:eastAsia="el-GR"/>
              </w:rPr>
              <w:t>ΙΙΙ.Καθαρή απόκτηση μη χρημ/κών περιουσιακών στοιχείων</w:t>
            </w:r>
          </w:p>
        </w:tc>
        <w:tc>
          <w:tcPr>
            <w:tcW w:w="1316" w:type="dxa"/>
            <w:tcBorders>
              <w:top w:val="single" w:sz="4" w:space="0" w:color="auto"/>
              <w:left w:val="nil"/>
              <w:bottom w:val="nil"/>
              <w:right w:val="nil"/>
            </w:tcBorders>
            <w:shd w:val="clear" w:color="auto" w:fill="auto"/>
            <w:noWrap/>
            <w:vAlign w:val="bottom"/>
            <w:hideMark/>
          </w:tcPr>
          <w:p w14:paraId="151F0E9A"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941</w:t>
            </w:r>
          </w:p>
        </w:tc>
        <w:tc>
          <w:tcPr>
            <w:tcW w:w="1711" w:type="dxa"/>
            <w:tcBorders>
              <w:top w:val="single" w:sz="4" w:space="0" w:color="auto"/>
              <w:left w:val="nil"/>
              <w:bottom w:val="nil"/>
              <w:right w:val="nil"/>
            </w:tcBorders>
            <w:shd w:val="clear" w:color="auto" w:fill="auto"/>
            <w:noWrap/>
            <w:vAlign w:val="bottom"/>
            <w:hideMark/>
          </w:tcPr>
          <w:p w14:paraId="637FE6A3"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1.289</w:t>
            </w:r>
          </w:p>
        </w:tc>
        <w:tc>
          <w:tcPr>
            <w:tcW w:w="2076" w:type="dxa"/>
            <w:tcBorders>
              <w:top w:val="single" w:sz="4" w:space="0" w:color="auto"/>
              <w:left w:val="nil"/>
              <w:bottom w:val="nil"/>
              <w:right w:val="single" w:sz="4" w:space="0" w:color="auto"/>
            </w:tcBorders>
            <w:shd w:val="clear" w:color="auto" w:fill="auto"/>
            <w:noWrap/>
            <w:vAlign w:val="bottom"/>
            <w:hideMark/>
          </w:tcPr>
          <w:p w14:paraId="3CBFDA00"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37%</w:t>
            </w:r>
          </w:p>
        </w:tc>
      </w:tr>
      <w:tr w:rsidR="009E748F" w:rsidRPr="00BE2523" w14:paraId="0B49CC50" w14:textId="77777777" w:rsidTr="00BE2523">
        <w:trPr>
          <w:trHeight w:val="221"/>
        </w:trPr>
        <w:tc>
          <w:tcPr>
            <w:tcW w:w="3294" w:type="dxa"/>
            <w:tcBorders>
              <w:top w:val="nil"/>
              <w:left w:val="single" w:sz="4" w:space="0" w:color="auto"/>
              <w:bottom w:val="single" w:sz="4" w:space="0" w:color="auto"/>
              <w:right w:val="nil"/>
            </w:tcBorders>
            <w:shd w:val="clear" w:color="000000" w:fill="DDDDDD"/>
            <w:noWrap/>
            <w:vAlign w:val="bottom"/>
            <w:hideMark/>
          </w:tcPr>
          <w:p w14:paraId="525777A6" w14:textId="77777777" w:rsidR="009E748F" w:rsidRPr="00BE2523" w:rsidRDefault="009E748F" w:rsidP="00247B52">
            <w:pPr>
              <w:spacing w:after="0" w:line="240" w:lineRule="auto"/>
              <w:rPr>
                <w:rFonts w:eastAsia="Times New Roman" w:cs="Calibri"/>
                <w:b/>
                <w:bCs/>
                <w:color w:val="000000"/>
                <w:sz w:val="18"/>
                <w:szCs w:val="18"/>
                <w:lang w:eastAsia="el-GR"/>
              </w:rPr>
            </w:pPr>
            <w:r w:rsidRPr="00BE2523">
              <w:rPr>
                <w:rFonts w:eastAsia="Times New Roman" w:cs="Calibri"/>
                <w:b/>
                <w:bCs/>
                <w:color w:val="000000"/>
                <w:sz w:val="18"/>
                <w:szCs w:val="18"/>
                <w:lang w:eastAsia="el-GR"/>
              </w:rPr>
              <w:t>Αποτέλεσμα (I-II-III)</w:t>
            </w:r>
          </w:p>
        </w:tc>
        <w:tc>
          <w:tcPr>
            <w:tcW w:w="1316" w:type="dxa"/>
            <w:tcBorders>
              <w:top w:val="nil"/>
              <w:left w:val="nil"/>
              <w:bottom w:val="single" w:sz="4" w:space="0" w:color="auto"/>
              <w:right w:val="nil"/>
            </w:tcBorders>
            <w:shd w:val="clear" w:color="000000" w:fill="DDDDDD"/>
            <w:noWrap/>
            <w:vAlign w:val="bottom"/>
            <w:hideMark/>
          </w:tcPr>
          <w:p w14:paraId="00960243"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173</w:t>
            </w:r>
          </w:p>
        </w:tc>
        <w:tc>
          <w:tcPr>
            <w:tcW w:w="1711" w:type="dxa"/>
            <w:tcBorders>
              <w:top w:val="nil"/>
              <w:left w:val="nil"/>
              <w:bottom w:val="single" w:sz="4" w:space="0" w:color="auto"/>
              <w:right w:val="nil"/>
            </w:tcBorders>
            <w:shd w:val="clear" w:color="000000" w:fill="DDDDDD"/>
            <w:noWrap/>
            <w:vAlign w:val="bottom"/>
            <w:hideMark/>
          </w:tcPr>
          <w:p w14:paraId="15E1677C"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105</w:t>
            </w:r>
          </w:p>
        </w:tc>
        <w:tc>
          <w:tcPr>
            <w:tcW w:w="2076" w:type="dxa"/>
            <w:tcBorders>
              <w:top w:val="nil"/>
              <w:left w:val="nil"/>
              <w:bottom w:val="single" w:sz="4" w:space="0" w:color="auto"/>
              <w:right w:val="single" w:sz="4" w:space="0" w:color="auto"/>
            </w:tcBorders>
            <w:shd w:val="clear" w:color="000000" w:fill="DDDDDD"/>
            <w:noWrap/>
            <w:vAlign w:val="bottom"/>
            <w:hideMark/>
          </w:tcPr>
          <w:p w14:paraId="034BBACC"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-39%</w:t>
            </w:r>
          </w:p>
        </w:tc>
      </w:tr>
      <w:tr w:rsidR="009E748F" w:rsidRPr="00BE2523" w14:paraId="4AC3CEEA" w14:textId="77777777" w:rsidTr="00BE2523">
        <w:trPr>
          <w:trHeight w:val="221"/>
        </w:trPr>
        <w:tc>
          <w:tcPr>
            <w:tcW w:w="3294" w:type="dxa"/>
            <w:tcBorders>
              <w:top w:val="single" w:sz="4" w:space="0" w:color="auto"/>
              <w:left w:val="single" w:sz="4" w:space="0" w:color="auto"/>
              <w:bottom w:val="single" w:sz="4" w:space="0" w:color="auto"/>
              <w:right w:val="nil"/>
            </w:tcBorders>
            <w:shd w:val="clear" w:color="000000" w:fill="DDDDDD"/>
            <w:noWrap/>
            <w:vAlign w:val="bottom"/>
            <w:hideMark/>
          </w:tcPr>
          <w:p w14:paraId="292FCAA2" w14:textId="77777777" w:rsidR="009E748F" w:rsidRPr="00BE2523" w:rsidRDefault="009E748F" w:rsidP="00247B52">
            <w:pPr>
              <w:spacing w:after="0" w:line="240" w:lineRule="auto"/>
              <w:rPr>
                <w:rFonts w:eastAsia="Times New Roman" w:cs="Calibri"/>
                <w:b/>
                <w:bCs/>
                <w:color w:val="000000"/>
                <w:sz w:val="18"/>
                <w:szCs w:val="18"/>
                <w:lang w:eastAsia="el-GR"/>
              </w:rPr>
            </w:pPr>
            <w:r w:rsidRPr="00BE2523">
              <w:rPr>
                <w:rFonts w:eastAsia="Times New Roman" w:cs="Calibri"/>
                <w:b/>
                <w:bCs/>
                <w:color w:val="000000"/>
                <w:sz w:val="18"/>
                <w:szCs w:val="18"/>
                <w:lang w:eastAsia="el-GR"/>
              </w:rPr>
              <w:t xml:space="preserve">Πρωτογενές Αποτέλεσμα </w:t>
            </w:r>
          </w:p>
        </w:tc>
        <w:tc>
          <w:tcPr>
            <w:tcW w:w="1316" w:type="dxa"/>
            <w:tcBorders>
              <w:top w:val="nil"/>
              <w:left w:val="nil"/>
              <w:bottom w:val="single" w:sz="4" w:space="0" w:color="auto"/>
              <w:right w:val="nil"/>
            </w:tcBorders>
            <w:shd w:val="clear" w:color="000000" w:fill="DDDDDD"/>
            <w:noWrap/>
            <w:vAlign w:val="bottom"/>
            <w:hideMark/>
          </w:tcPr>
          <w:p w14:paraId="297D6619"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203</w:t>
            </w:r>
          </w:p>
        </w:tc>
        <w:tc>
          <w:tcPr>
            <w:tcW w:w="1711" w:type="dxa"/>
            <w:tcBorders>
              <w:top w:val="nil"/>
              <w:left w:val="nil"/>
              <w:bottom w:val="single" w:sz="4" w:space="0" w:color="auto"/>
              <w:right w:val="nil"/>
            </w:tcBorders>
            <w:shd w:val="clear" w:color="000000" w:fill="DDDDDD"/>
            <w:noWrap/>
            <w:vAlign w:val="bottom"/>
            <w:hideMark/>
          </w:tcPr>
          <w:p w14:paraId="4AC29756"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127</w:t>
            </w:r>
          </w:p>
        </w:tc>
        <w:tc>
          <w:tcPr>
            <w:tcW w:w="2076" w:type="dxa"/>
            <w:tcBorders>
              <w:top w:val="nil"/>
              <w:left w:val="nil"/>
              <w:bottom w:val="single" w:sz="4" w:space="0" w:color="auto"/>
              <w:right w:val="single" w:sz="4" w:space="0" w:color="auto"/>
            </w:tcBorders>
            <w:shd w:val="clear" w:color="000000" w:fill="DDDDDD"/>
            <w:noWrap/>
            <w:vAlign w:val="bottom"/>
            <w:hideMark/>
          </w:tcPr>
          <w:p w14:paraId="2634984F"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-37%</w:t>
            </w:r>
          </w:p>
        </w:tc>
      </w:tr>
      <w:tr w:rsidR="009E748F" w:rsidRPr="00BE2523" w14:paraId="0B388C9F" w14:textId="77777777" w:rsidTr="00BE2523">
        <w:trPr>
          <w:trHeight w:val="221"/>
        </w:trPr>
        <w:tc>
          <w:tcPr>
            <w:tcW w:w="8399" w:type="dxa"/>
            <w:gridSpan w:val="4"/>
            <w:tcBorders>
              <w:top w:val="nil"/>
              <w:left w:val="single" w:sz="4" w:space="0" w:color="auto"/>
              <w:right w:val="single" w:sz="4" w:space="0" w:color="auto"/>
            </w:tcBorders>
            <w:shd w:val="clear" w:color="000000" w:fill="969696"/>
            <w:noWrap/>
            <w:vAlign w:val="bottom"/>
            <w:hideMark/>
          </w:tcPr>
          <w:p w14:paraId="54E5B408" w14:textId="77777777" w:rsidR="009E748F" w:rsidRPr="00BE2523" w:rsidRDefault="009E748F" w:rsidP="00247B52">
            <w:pPr>
              <w:spacing w:after="0" w:line="240" w:lineRule="auto"/>
              <w:jc w:val="center"/>
              <w:rPr>
                <w:rFonts w:eastAsia="Times New Roman" w:cs="Calibri"/>
                <w:b/>
                <w:bCs/>
                <w:color w:val="000000"/>
                <w:sz w:val="18"/>
                <w:szCs w:val="18"/>
                <w:lang w:eastAsia="el-GR"/>
              </w:rPr>
            </w:pPr>
            <w:r w:rsidRPr="00BE2523">
              <w:rPr>
                <w:rFonts w:eastAsia="Times New Roman" w:cs="Calibri"/>
                <w:b/>
                <w:bCs/>
                <w:color w:val="000000"/>
                <w:sz w:val="18"/>
                <w:szCs w:val="18"/>
                <w:lang w:eastAsia="el-GR"/>
              </w:rPr>
              <w:t>Οργανισμοί Κοινωνικής Ασφάλισης (ΟΚΑ)</w:t>
            </w:r>
          </w:p>
        </w:tc>
      </w:tr>
      <w:tr w:rsidR="009E748F" w:rsidRPr="00BE2523" w14:paraId="08D3D307" w14:textId="77777777" w:rsidTr="00BE2523">
        <w:trPr>
          <w:trHeight w:val="221"/>
        </w:trPr>
        <w:tc>
          <w:tcPr>
            <w:tcW w:w="3294" w:type="dxa"/>
            <w:tcBorders>
              <w:top w:val="nil"/>
              <w:left w:val="single" w:sz="4" w:space="0" w:color="auto"/>
              <w:bottom w:val="single" w:sz="4" w:space="0" w:color="auto"/>
              <w:right w:val="nil"/>
            </w:tcBorders>
            <w:shd w:val="clear" w:color="auto" w:fill="auto"/>
            <w:noWrap/>
            <w:vAlign w:val="bottom"/>
            <w:hideMark/>
          </w:tcPr>
          <w:p w14:paraId="137770F4" w14:textId="77777777" w:rsidR="009E748F" w:rsidRPr="00BE2523" w:rsidRDefault="009E748F" w:rsidP="00247B52">
            <w:pPr>
              <w:spacing w:after="0" w:line="240" w:lineRule="auto"/>
              <w:rPr>
                <w:rFonts w:eastAsia="Times New Roman" w:cs="Calibri"/>
                <w:b/>
                <w:bCs/>
                <w:color w:val="000000"/>
                <w:sz w:val="18"/>
                <w:szCs w:val="18"/>
                <w:lang w:eastAsia="el-GR"/>
              </w:rPr>
            </w:pPr>
            <w:r w:rsidRPr="00BE2523">
              <w:rPr>
                <w:rFonts w:eastAsia="Times New Roman" w:cs="Calibri"/>
                <w:b/>
                <w:bCs/>
                <w:color w:val="000000"/>
                <w:sz w:val="18"/>
                <w:szCs w:val="18"/>
                <w:lang w:eastAsia="el-GR"/>
              </w:rPr>
              <w:t>I. Σύνολο Εσόδων</w:t>
            </w:r>
          </w:p>
        </w:tc>
        <w:tc>
          <w:tcPr>
            <w:tcW w:w="1316" w:type="dxa"/>
            <w:tcBorders>
              <w:top w:val="nil"/>
              <w:left w:val="nil"/>
              <w:bottom w:val="single" w:sz="4" w:space="0" w:color="auto"/>
              <w:right w:val="nil"/>
            </w:tcBorders>
            <w:shd w:val="clear" w:color="auto" w:fill="auto"/>
            <w:noWrap/>
            <w:vAlign w:val="bottom"/>
            <w:hideMark/>
          </w:tcPr>
          <w:p w14:paraId="6834F52A"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30.095</w:t>
            </w:r>
          </w:p>
        </w:tc>
        <w:tc>
          <w:tcPr>
            <w:tcW w:w="1711" w:type="dxa"/>
            <w:tcBorders>
              <w:top w:val="nil"/>
              <w:left w:val="nil"/>
              <w:bottom w:val="single" w:sz="4" w:space="0" w:color="auto"/>
              <w:right w:val="nil"/>
            </w:tcBorders>
            <w:shd w:val="clear" w:color="auto" w:fill="auto"/>
            <w:noWrap/>
            <w:vAlign w:val="bottom"/>
            <w:hideMark/>
          </w:tcPr>
          <w:p w14:paraId="52AE32C2"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30.878</w:t>
            </w:r>
          </w:p>
        </w:tc>
        <w:tc>
          <w:tcPr>
            <w:tcW w:w="2076" w:type="dxa"/>
            <w:tcBorders>
              <w:top w:val="nil"/>
              <w:left w:val="nil"/>
              <w:bottom w:val="single" w:sz="4" w:space="0" w:color="auto"/>
              <w:right w:val="single" w:sz="4" w:space="0" w:color="auto"/>
            </w:tcBorders>
            <w:shd w:val="clear" w:color="auto" w:fill="auto"/>
            <w:noWrap/>
            <w:vAlign w:val="bottom"/>
            <w:hideMark/>
          </w:tcPr>
          <w:p w14:paraId="7FDE28E5"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3%</w:t>
            </w:r>
          </w:p>
        </w:tc>
      </w:tr>
      <w:tr w:rsidR="009E748F" w:rsidRPr="00BE2523" w14:paraId="0815DB34" w14:textId="77777777" w:rsidTr="00BE2523">
        <w:trPr>
          <w:trHeight w:val="410"/>
        </w:trPr>
        <w:tc>
          <w:tcPr>
            <w:tcW w:w="3294" w:type="dxa"/>
            <w:tcBorders>
              <w:top w:val="single" w:sz="4" w:space="0" w:color="auto"/>
              <w:left w:val="single" w:sz="4" w:space="0" w:color="auto"/>
              <w:bottom w:val="single" w:sz="4" w:space="0" w:color="auto"/>
              <w:right w:val="nil"/>
            </w:tcBorders>
            <w:shd w:val="clear" w:color="auto" w:fill="auto"/>
            <w:vAlign w:val="bottom"/>
            <w:hideMark/>
          </w:tcPr>
          <w:p w14:paraId="41537482" w14:textId="77777777" w:rsidR="009E748F" w:rsidRPr="00BE2523" w:rsidRDefault="009E748F" w:rsidP="00247B52">
            <w:pPr>
              <w:spacing w:after="0" w:line="240" w:lineRule="auto"/>
              <w:rPr>
                <w:rFonts w:eastAsia="Times New Roman" w:cs="Calibri"/>
                <w:i/>
                <w:iCs/>
                <w:color w:val="000000"/>
                <w:sz w:val="18"/>
                <w:szCs w:val="18"/>
                <w:lang w:eastAsia="el-GR"/>
              </w:rPr>
            </w:pPr>
            <w:r w:rsidRPr="00BE2523">
              <w:rPr>
                <w:rFonts w:eastAsia="Times New Roman" w:cs="Calibri"/>
                <w:i/>
                <w:iCs/>
                <w:color w:val="000000"/>
                <w:sz w:val="18"/>
                <w:szCs w:val="18"/>
                <w:lang w:eastAsia="el-GR"/>
              </w:rPr>
              <w:t>εκ των οποίων: Ασφαλιστικές εισφορές</w:t>
            </w:r>
          </w:p>
        </w:tc>
        <w:tc>
          <w:tcPr>
            <w:tcW w:w="1316" w:type="dxa"/>
            <w:tcBorders>
              <w:top w:val="single" w:sz="4" w:space="0" w:color="auto"/>
              <w:left w:val="nil"/>
              <w:bottom w:val="single" w:sz="4" w:space="0" w:color="auto"/>
              <w:right w:val="nil"/>
            </w:tcBorders>
            <w:shd w:val="clear" w:color="auto" w:fill="auto"/>
            <w:noWrap/>
            <w:vAlign w:val="bottom"/>
            <w:hideMark/>
          </w:tcPr>
          <w:p w14:paraId="39A96536" w14:textId="77777777" w:rsidR="009E748F" w:rsidRPr="00BE2523" w:rsidRDefault="009E748F" w:rsidP="00247B52">
            <w:pPr>
              <w:spacing w:after="0" w:line="240" w:lineRule="auto"/>
              <w:jc w:val="right"/>
              <w:rPr>
                <w:rFonts w:eastAsia="Times New Roman" w:cs="Calibri"/>
                <w:i/>
                <w:iCs/>
                <w:color w:val="000000"/>
                <w:sz w:val="18"/>
                <w:szCs w:val="18"/>
                <w:lang w:eastAsia="el-GR"/>
              </w:rPr>
            </w:pPr>
            <w:r w:rsidRPr="00BE2523">
              <w:rPr>
                <w:rFonts w:eastAsia="Times New Roman" w:cs="Calibri"/>
                <w:i/>
                <w:iCs/>
                <w:color w:val="000000"/>
                <w:sz w:val="18"/>
                <w:szCs w:val="18"/>
                <w:lang w:eastAsia="el-GR"/>
              </w:rPr>
              <w:t>15.924</w:t>
            </w:r>
          </w:p>
        </w:tc>
        <w:tc>
          <w:tcPr>
            <w:tcW w:w="1711" w:type="dxa"/>
            <w:tcBorders>
              <w:top w:val="single" w:sz="4" w:space="0" w:color="auto"/>
              <w:left w:val="nil"/>
              <w:bottom w:val="single" w:sz="4" w:space="0" w:color="auto"/>
              <w:right w:val="nil"/>
            </w:tcBorders>
            <w:shd w:val="clear" w:color="auto" w:fill="auto"/>
            <w:noWrap/>
            <w:vAlign w:val="bottom"/>
            <w:hideMark/>
          </w:tcPr>
          <w:p w14:paraId="329C951F" w14:textId="77777777" w:rsidR="009E748F" w:rsidRPr="00BE2523" w:rsidRDefault="009E748F" w:rsidP="00247B52">
            <w:pPr>
              <w:spacing w:after="0" w:line="240" w:lineRule="auto"/>
              <w:jc w:val="right"/>
              <w:rPr>
                <w:rFonts w:eastAsia="Times New Roman" w:cs="Calibri"/>
                <w:i/>
                <w:iCs/>
                <w:color w:val="000000"/>
                <w:sz w:val="18"/>
                <w:szCs w:val="18"/>
                <w:lang w:eastAsia="el-GR"/>
              </w:rPr>
            </w:pPr>
            <w:r w:rsidRPr="00BE2523">
              <w:rPr>
                <w:rFonts w:eastAsia="Times New Roman" w:cs="Calibri"/>
                <w:i/>
                <w:iCs/>
                <w:color w:val="000000"/>
                <w:sz w:val="18"/>
                <w:szCs w:val="18"/>
                <w:lang w:eastAsia="el-GR"/>
              </w:rPr>
              <w:t>15.714</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3C118B32" w14:textId="77777777" w:rsidR="009E748F" w:rsidRPr="00BE2523" w:rsidRDefault="009E748F" w:rsidP="00247B52">
            <w:pPr>
              <w:spacing w:after="0" w:line="240" w:lineRule="auto"/>
              <w:jc w:val="right"/>
              <w:rPr>
                <w:rFonts w:eastAsia="Times New Roman" w:cs="Calibri"/>
                <w:i/>
                <w:iCs/>
                <w:color w:val="000000"/>
                <w:sz w:val="18"/>
                <w:szCs w:val="18"/>
                <w:lang w:eastAsia="el-GR"/>
              </w:rPr>
            </w:pPr>
            <w:r w:rsidRPr="00BE2523">
              <w:rPr>
                <w:rFonts w:eastAsia="Times New Roman" w:cs="Calibri"/>
                <w:i/>
                <w:iCs/>
                <w:color w:val="000000"/>
                <w:sz w:val="18"/>
                <w:szCs w:val="18"/>
                <w:lang w:eastAsia="el-GR"/>
              </w:rPr>
              <w:t>-1%</w:t>
            </w:r>
          </w:p>
        </w:tc>
      </w:tr>
      <w:tr w:rsidR="009E748F" w:rsidRPr="00BE2523" w14:paraId="1D855FB2" w14:textId="77777777" w:rsidTr="00BE2523">
        <w:trPr>
          <w:trHeight w:val="444"/>
        </w:trPr>
        <w:tc>
          <w:tcPr>
            <w:tcW w:w="3294" w:type="dxa"/>
            <w:tcBorders>
              <w:top w:val="single" w:sz="4" w:space="0" w:color="auto"/>
              <w:left w:val="single" w:sz="4" w:space="0" w:color="auto"/>
              <w:bottom w:val="single" w:sz="4" w:space="0" w:color="auto"/>
              <w:right w:val="nil"/>
            </w:tcBorders>
            <w:shd w:val="clear" w:color="auto" w:fill="auto"/>
            <w:vAlign w:val="bottom"/>
            <w:hideMark/>
          </w:tcPr>
          <w:p w14:paraId="49870BCB" w14:textId="77777777" w:rsidR="009E748F" w:rsidRPr="00BE2523" w:rsidRDefault="009E748F" w:rsidP="00247B52">
            <w:pPr>
              <w:spacing w:after="0" w:line="240" w:lineRule="auto"/>
              <w:rPr>
                <w:rFonts w:eastAsia="Times New Roman" w:cs="Calibri"/>
                <w:i/>
                <w:iCs/>
                <w:color w:val="000000"/>
                <w:sz w:val="18"/>
                <w:szCs w:val="18"/>
                <w:lang w:eastAsia="el-GR"/>
              </w:rPr>
            </w:pPr>
            <w:r w:rsidRPr="00BE2523">
              <w:rPr>
                <w:rFonts w:eastAsia="Times New Roman" w:cs="Calibri"/>
                <w:i/>
                <w:iCs/>
                <w:color w:val="000000"/>
                <w:sz w:val="18"/>
                <w:szCs w:val="18"/>
                <w:lang w:eastAsia="el-GR"/>
              </w:rPr>
              <w:t>εκ των οποίων: μεταβιβάσεις από τον ΚΠ</w:t>
            </w:r>
          </w:p>
        </w:tc>
        <w:tc>
          <w:tcPr>
            <w:tcW w:w="1316" w:type="dxa"/>
            <w:tcBorders>
              <w:top w:val="single" w:sz="4" w:space="0" w:color="auto"/>
              <w:left w:val="nil"/>
              <w:bottom w:val="single" w:sz="4" w:space="0" w:color="auto"/>
              <w:right w:val="nil"/>
            </w:tcBorders>
            <w:shd w:val="clear" w:color="auto" w:fill="auto"/>
            <w:noWrap/>
            <w:vAlign w:val="bottom"/>
            <w:hideMark/>
          </w:tcPr>
          <w:p w14:paraId="5CDC4389" w14:textId="77777777" w:rsidR="009E748F" w:rsidRPr="00BE2523" w:rsidRDefault="009E748F" w:rsidP="00247B52">
            <w:pPr>
              <w:spacing w:after="0" w:line="240" w:lineRule="auto"/>
              <w:jc w:val="right"/>
              <w:rPr>
                <w:rFonts w:eastAsia="Times New Roman" w:cs="Calibri"/>
                <w:i/>
                <w:iCs/>
                <w:color w:val="000000"/>
                <w:sz w:val="18"/>
                <w:szCs w:val="18"/>
                <w:lang w:eastAsia="el-GR"/>
              </w:rPr>
            </w:pPr>
            <w:r w:rsidRPr="00BE2523">
              <w:rPr>
                <w:rFonts w:eastAsia="Times New Roman" w:cs="Calibri"/>
                <w:i/>
                <w:iCs/>
                <w:color w:val="000000"/>
                <w:sz w:val="18"/>
                <w:szCs w:val="18"/>
                <w:lang w:eastAsia="el-GR"/>
              </w:rPr>
              <w:t>13.543</w:t>
            </w:r>
          </w:p>
        </w:tc>
        <w:tc>
          <w:tcPr>
            <w:tcW w:w="1711" w:type="dxa"/>
            <w:tcBorders>
              <w:top w:val="single" w:sz="4" w:space="0" w:color="auto"/>
              <w:left w:val="nil"/>
              <w:bottom w:val="single" w:sz="4" w:space="0" w:color="auto"/>
              <w:right w:val="nil"/>
            </w:tcBorders>
            <w:shd w:val="clear" w:color="auto" w:fill="auto"/>
            <w:noWrap/>
            <w:vAlign w:val="bottom"/>
            <w:hideMark/>
          </w:tcPr>
          <w:p w14:paraId="0917C1FA" w14:textId="77777777" w:rsidR="009E748F" w:rsidRPr="00BE2523" w:rsidRDefault="009E748F" w:rsidP="00247B52">
            <w:pPr>
              <w:spacing w:after="0" w:line="240" w:lineRule="auto"/>
              <w:jc w:val="right"/>
              <w:rPr>
                <w:rFonts w:eastAsia="Times New Roman" w:cs="Calibri"/>
                <w:i/>
                <w:iCs/>
                <w:color w:val="000000"/>
                <w:sz w:val="18"/>
                <w:szCs w:val="18"/>
                <w:lang w:eastAsia="el-GR"/>
              </w:rPr>
            </w:pPr>
            <w:r w:rsidRPr="00BE2523">
              <w:rPr>
                <w:rFonts w:eastAsia="Times New Roman" w:cs="Calibri"/>
                <w:i/>
                <w:iCs/>
                <w:color w:val="000000"/>
                <w:sz w:val="18"/>
                <w:szCs w:val="18"/>
                <w:lang w:eastAsia="el-GR"/>
              </w:rPr>
              <w:t>14.599</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6F795A2D" w14:textId="77777777" w:rsidR="009E748F" w:rsidRPr="00BE2523" w:rsidRDefault="009E748F" w:rsidP="00247B52">
            <w:pPr>
              <w:spacing w:after="0" w:line="240" w:lineRule="auto"/>
              <w:jc w:val="right"/>
              <w:rPr>
                <w:rFonts w:eastAsia="Times New Roman" w:cs="Calibri"/>
                <w:i/>
                <w:iCs/>
                <w:color w:val="000000"/>
                <w:sz w:val="18"/>
                <w:szCs w:val="18"/>
                <w:lang w:eastAsia="el-GR"/>
              </w:rPr>
            </w:pPr>
            <w:r w:rsidRPr="00BE2523">
              <w:rPr>
                <w:rFonts w:eastAsia="Times New Roman" w:cs="Calibri"/>
                <w:i/>
                <w:iCs/>
                <w:color w:val="000000"/>
                <w:sz w:val="18"/>
                <w:szCs w:val="18"/>
                <w:lang w:eastAsia="el-GR"/>
              </w:rPr>
              <w:t>8%</w:t>
            </w:r>
          </w:p>
        </w:tc>
      </w:tr>
      <w:tr w:rsidR="009E748F" w:rsidRPr="00BE2523" w14:paraId="68C39454" w14:textId="77777777" w:rsidTr="00BE2523">
        <w:trPr>
          <w:trHeight w:val="221"/>
        </w:trPr>
        <w:tc>
          <w:tcPr>
            <w:tcW w:w="3294" w:type="dxa"/>
            <w:tcBorders>
              <w:top w:val="single" w:sz="4" w:space="0" w:color="auto"/>
              <w:left w:val="single" w:sz="4" w:space="0" w:color="auto"/>
              <w:bottom w:val="single" w:sz="4" w:space="0" w:color="auto"/>
              <w:right w:val="nil"/>
            </w:tcBorders>
            <w:shd w:val="clear" w:color="auto" w:fill="auto"/>
            <w:noWrap/>
            <w:vAlign w:val="bottom"/>
            <w:hideMark/>
          </w:tcPr>
          <w:p w14:paraId="20B4E025" w14:textId="77777777" w:rsidR="009E748F" w:rsidRPr="00BE2523" w:rsidRDefault="009E748F" w:rsidP="00247B52">
            <w:pPr>
              <w:spacing w:after="0" w:line="240" w:lineRule="auto"/>
              <w:rPr>
                <w:rFonts w:eastAsia="Times New Roman" w:cs="Calibri"/>
                <w:b/>
                <w:bCs/>
                <w:color w:val="000000"/>
                <w:sz w:val="18"/>
                <w:szCs w:val="18"/>
                <w:lang w:eastAsia="el-GR"/>
              </w:rPr>
            </w:pPr>
            <w:r w:rsidRPr="00BE2523">
              <w:rPr>
                <w:rFonts w:eastAsia="Times New Roman" w:cs="Calibri"/>
                <w:b/>
                <w:bCs/>
                <w:color w:val="000000"/>
                <w:sz w:val="18"/>
                <w:szCs w:val="18"/>
                <w:lang w:eastAsia="el-GR"/>
              </w:rPr>
              <w:t>ΙΙ. Δαπάνες</w:t>
            </w:r>
          </w:p>
        </w:tc>
        <w:tc>
          <w:tcPr>
            <w:tcW w:w="1316" w:type="dxa"/>
            <w:tcBorders>
              <w:top w:val="single" w:sz="4" w:space="0" w:color="auto"/>
              <w:left w:val="nil"/>
              <w:bottom w:val="single" w:sz="4" w:space="0" w:color="auto"/>
              <w:right w:val="nil"/>
            </w:tcBorders>
            <w:shd w:val="clear" w:color="auto" w:fill="auto"/>
            <w:noWrap/>
            <w:vAlign w:val="bottom"/>
            <w:hideMark/>
          </w:tcPr>
          <w:p w14:paraId="5607B2EC"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30.180</w:t>
            </w:r>
          </w:p>
        </w:tc>
        <w:tc>
          <w:tcPr>
            <w:tcW w:w="1711" w:type="dxa"/>
            <w:tcBorders>
              <w:top w:val="single" w:sz="4" w:space="0" w:color="auto"/>
              <w:left w:val="nil"/>
              <w:bottom w:val="single" w:sz="4" w:space="0" w:color="auto"/>
              <w:right w:val="nil"/>
            </w:tcBorders>
            <w:shd w:val="clear" w:color="auto" w:fill="auto"/>
            <w:noWrap/>
            <w:vAlign w:val="bottom"/>
            <w:hideMark/>
          </w:tcPr>
          <w:p w14:paraId="0067EC84"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31.549</w:t>
            </w:r>
          </w:p>
        </w:tc>
        <w:tc>
          <w:tcPr>
            <w:tcW w:w="2076" w:type="dxa"/>
            <w:tcBorders>
              <w:top w:val="single" w:sz="4" w:space="0" w:color="auto"/>
              <w:left w:val="nil"/>
              <w:bottom w:val="single" w:sz="4" w:space="0" w:color="auto"/>
              <w:right w:val="single" w:sz="4" w:space="0" w:color="auto"/>
            </w:tcBorders>
            <w:shd w:val="clear" w:color="auto" w:fill="auto"/>
            <w:noWrap/>
            <w:vAlign w:val="bottom"/>
            <w:hideMark/>
          </w:tcPr>
          <w:p w14:paraId="2DE94332"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5%</w:t>
            </w:r>
          </w:p>
        </w:tc>
      </w:tr>
      <w:tr w:rsidR="009E748F" w:rsidRPr="00BE2523" w14:paraId="0D243117" w14:textId="77777777" w:rsidTr="00BE2523">
        <w:trPr>
          <w:trHeight w:val="410"/>
        </w:trPr>
        <w:tc>
          <w:tcPr>
            <w:tcW w:w="3294" w:type="dxa"/>
            <w:tcBorders>
              <w:top w:val="single" w:sz="4" w:space="0" w:color="auto"/>
              <w:left w:val="single" w:sz="4" w:space="0" w:color="auto"/>
              <w:bottom w:val="nil"/>
              <w:right w:val="nil"/>
            </w:tcBorders>
            <w:shd w:val="clear" w:color="auto" w:fill="auto"/>
            <w:vAlign w:val="bottom"/>
            <w:hideMark/>
          </w:tcPr>
          <w:p w14:paraId="321E4776" w14:textId="77777777" w:rsidR="009E748F" w:rsidRPr="00BE2523" w:rsidRDefault="009E748F" w:rsidP="00247B52">
            <w:pPr>
              <w:spacing w:after="0" w:line="240" w:lineRule="auto"/>
              <w:rPr>
                <w:rFonts w:eastAsia="Times New Roman" w:cs="Calibri"/>
                <w:b/>
                <w:bCs/>
                <w:color w:val="000000"/>
                <w:sz w:val="18"/>
                <w:szCs w:val="18"/>
                <w:lang w:eastAsia="el-GR"/>
              </w:rPr>
            </w:pPr>
            <w:r w:rsidRPr="00BE2523">
              <w:rPr>
                <w:rFonts w:eastAsia="Times New Roman" w:cs="Calibri"/>
                <w:b/>
                <w:bCs/>
                <w:color w:val="000000"/>
                <w:sz w:val="18"/>
                <w:szCs w:val="18"/>
                <w:lang w:eastAsia="el-GR"/>
              </w:rPr>
              <w:t>ΙΙΙ.Καθαρή απόκτηση μη χρημ/κών περιουσιακών στοιχείων</w:t>
            </w:r>
          </w:p>
        </w:tc>
        <w:tc>
          <w:tcPr>
            <w:tcW w:w="1316" w:type="dxa"/>
            <w:tcBorders>
              <w:top w:val="single" w:sz="4" w:space="0" w:color="auto"/>
              <w:left w:val="nil"/>
              <w:bottom w:val="nil"/>
              <w:right w:val="nil"/>
            </w:tcBorders>
            <w:shd w:val="clear" w:color="auto" w:fill="auto"/>
            <w:noWrap/>
            <w:vAlign w:val="bottom"/>
            <w:hideMark/>
          </w:tcPr>
          <w:p w14:paraId="4EA857C0"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2</w:t>
            </w:r>
          </w:p>
        </w:tc>
        <w:tc>
          <w:tcPr>
            <w:tcW w:w="1711" w:type="dxa"/>
            <w:tcBorders>
              <w:top w:val="single" w:sz="4" w:space="0" w:color="auto"/>
              <w:left w:val="nil"/>
              <w:bottom w:val="nil"/>
              <w:right w:val="nil"/>
            </w:tcBorders>
            <w:shd w:val="clear" w:color="auto" w:fill="auto"/>
            <w:noWrap/>
            <w:vAlign w:val="bottom"/>
            <w:hideMark/>
          </w:tcPr>
          <w:p w14:paraId="2B3B5172"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4</w:t>
            </w:r>
          </w:p>
        </w:tc>
        <w:tc>
          <w:tcPr>
            <w:tcW w:w="2076" w:type="dxa"/>
            <w:tcBorders>
              <w:top w:val="single" w:sz="4" w:space="0" w:color="auto"/>
              <w:left w:val="nil"/>
              <w:bottom w:val="nil"/>
              <w:right w:val="single" w:sz="4" w:space="0" w:color="auto"/>
            </w:tcBorders>
            <w:shd w:val="clear" w:color="auto" w:fill="auto"/>
            <w:noWrap/>
            <w:vAlign w:val="bottom"/>
            <w:hideMark/>
          </w:tcPr>
          <w:p w14:paraId="1DB03D16"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100%</w:t>
            </w:r>
          </w:p>
        </w:tc>
      </w:tr>
      <w:tr w:rsidR="009E748F" w:rsidRPr="00BE2523" w14:paraId="15107A36" w14:textId="77777777" w:rsidTr="00BE2523">
        <w:trPr>
          <w:trHeight w:val="221"/>
        </w:trPr>
        <w:tc>
          <w:tcPr>
            <w:tcW w:w="3294" w:type="dxa"/>
            <w:tcBorders>
              <w:top w:val="nil"/>
              <w:left w:val="single" w:sz="4" w:space="0" w:color="auto"/>
              <w:bottom w:val="single" w:sz="4" w:space="0" w:color="auto"/>
              <w:right w:val="nil"/>
            </w:tcBorders>
            <w:shd w:val="clear" w:color="000000" w:fill="DDDDDD"/>
            <w:noWrap/>
            <w:vAlign w:val="bottom"/>
            <w:hideMark/>
          </w:tcPr>
          <w:p w14:paraId="407BE665" w14:textId="77777777" w:rsidR="009E748F" w:rsidRPr="00BE2523" w:rsidRDefault="009E748F" w:rsidP="00247B52">
            <w:pPr>
              <w:spacing w:after="0" w:line="240" w:lineRule="auto"/>
              <w:rPr>
                <w:rFonts w:eastAsia="Times New Roman" w:cs="Calibri"/>
                <w:b/>
                <w:bCs/>
                <w:color w:val="000000"/>
                <w:sz w:val="18"/>
                <w:szCs w:val="18"/>
                <w:lang w:eastAsia="el-GR"/>
              </w:rPr>
            </w:pPr>
            <w:r w:rsidRPr="00BE2523">
              <w:rPr>
                <w:rFonts w:eastAsia="Times New Roman" w:cs="Calibri"/>
                <w:b/>
                <w:bCs/>
                <w:color w:val="000000"/>
                <w:sz w:val="18"/>
                <w:szCs w:val="18"/>
                <w:lang w:eastAsia="el-GR"/>
              </w:rPr>
              <w:t>Αποτέλεσμα (I-II-III)</w:t>
            </w:r>
          </w:p>
        </w:tc>
        <w:tc>
          <w:tcPr>
            <w:tcW w:w="1316" w:type="dxa"/>
            <w:tcBorders>
              <w:top w:val="nil"/>
              <w:left w:val="nil"/>
              <w:bottom w:val="single" w:sz="4" w:space="0" w:color="auto"/>
              <w:right w:val="nil"/>
            </w:tcBorders>
            <w:shd w:val="clear" w:color="000000" w:fill="DDDDDD"/>
            <w:noWrap/>
            <w:vAlign w:val="bottom"/>
            <w:hideMark/>
          </w:tcPr>
          <w:p w14:paraId="6C427C84"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-87</w:t>
            </w:r>
          </w:p>
        </w:tc>
        <w:tc>
          <w:tcPr>
            <w:tcW w:w="1711" w:type="dxa"/>
            <w:tcBorders>
              <w:top w:val="nil"/>
              <w:left w:val="nil"/>
              <w:bottom w:val="single" w:sz="4" w:space="0" w:color="auto"/>
              <w:right w:val="nil"/>
            </w:tcBorders>
            <w:shd w:val="clear" w:color="000000" w:fill="DDDDDD"/>
            <w:noWrap/>
            <w:vAlign w:val="bottom"/>
            <w:hideMark/>
          </w:tcPr>
          <w:p w14:paraId="4DAFCD43"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-675</w:t>
            </w:r>
          </w:p>
        </w:tc>
        <w:tc>
          <w:tcPr>
            <w:tcW w:w="2076" w:type="dxa"/>
            <w:tcBorders>
              <w:top w:val="nil"/>
              <w:left w:val="nil"/>
              <w:bottom w:val="single" w:sz="4" w:space="0" w:color="auto"/>
              <w:right w:val="single" w:sz="4" w:space="0" w:color="auto"/>
            </w:tcBorders>
            <w:shd w:val="clear" w:color="000000" w:fill="DDDDDD"/>
            <w:noWrap/>
            <w:vAlign w:val="bottom"/>
            <w:hideMark/>
          </w:tcPr>
          <w:p w14:paraId="6C62602C"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676%</w:t>
            </w:r>
          </w:p>
        </w:tc>
      </w:tr>
      <w:tr w:rsidR="009E748F" w:rsidRPr="00BE2523" w14:paraId="068936A8" w14:textId="77777777" w:rsidTr="00BE2523">
        <w:trPr>
          <w:trHeight w:val="221"/>
        </w:trPr>
        <w:tc>
          <w:tcPr>
            <w:tcW w:w="3294" w:type="dxa"/>
            <w:tcBorders>
              <w:top w:val="single" w:sz="4" w:space="0" w:color="auto"/>
              <w:left w:val="single" w:sz="4" w:space="0" w:color="auto"/>
              <w:bottom w:val="single" w:sz="4" w:space="0" w:color="auto"/>
              <w:right w:val="nil"/>
            </w:tcBorders>
            <w:shd w:val="clear" w:color="000000" w:fill="DDDDDD"/>
            <w:noWrap/>
            <w:vAlign w:val="bottom"/>
            <w:hideMark/>
          </w:tcPr>
          <w:p w14:paraId="342D37C5" w14:textId="77777777" w:rsidR="009E748F" w:rsidRPr="00BE2523" w:rsidRDefault="009E748F" w:rsidP="00247B52">
            <w:pPr>
              <w:spacing w:after="0" w:line="240" w:lineRule="auto"/>
              <w:rPr>
                <w:rFonts w:eastAsia="Times New Roman" w:cs="Calibri"/>
                <w:b/>
                <w:bCs/>
                <w:color w:val="000000"/>
                <w:sz w:val="18"/>
                <w:szCs w:val="18"/>
                <w:lang w:eastAsia="el-GR"/>
              </w:rPr>
            </w:pPr>
            <w:r w:rsidRPr="00BE2523">
              <w:rPr>
                <w:rFonts w:eastAsia="Times New Roman" w:cs="Calibri"/>
                <w:b/>
                <w:bCs/>
                <w:color w:val="000000"/>
                <w:sz w:val="18"/>
                <w:szCs w:val="18"/>
                <w:lang w:eastAsia="el-GR"/>
              </w:rPr>
              <w:t xml:space="preserve">Πρωτογενές Αποτέλεσμα </w:t>
            </w:r>
          </w:p>
        </w:tc>
        <w:tc>
          <w:tcPr>
            <w:tcW w:w="1316" w:type="dxa"/>
            <w:tcBorders>
              <w:top w:val="nil"/>
              <w:left w:val="nil"/>
              <w:bottom w:val="single" w:sz="4" w:space="0" w:color="auto"/>
              <w:right w:val="nil"/>
            </w:tcBorders>
            <w:shd w:val="clear" w:color="000000" w:fill="DDDDDD"/>
            <w:noWrap/>
            <w:vAlign w:val="bottom"/>
            <w:hideMark/>
          </w:tcPr>
          <w:p w14:paraId="45C1455A"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-86</w:t>
            </w:r>
          </w:p>
        </w:tc>
        <w:tc>
          <w:tcPr>
            <w:tcW w:w="1711" w:type="dxa"/>
            <w:tcBorders>
              <w:top w:val="nil"/>
              <w:left w:val="nil"/>
              <w:bottom w:val="single" w:sz="4" w:space="0" w:color="auto"/>
              <w:right w:val="nil"/>
            </w:tcBorders>
            <w:shd w:val="clear" w:color="000000" w:fill="DDDDDD"/>
            <w:noWrap/>
            <w:vAlign w:val="bottom"/>
            <w:hideMark/>
          </w:tcPr>
          <w:p w14:paraId="228E5DCC"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-672</w:t>
            </w:r>
          </w:p>
        </w:tc>
        <w:tc>
          <w:tcPr>
            <w:tcW w:w="2076" w:type="dxa"/>
            <w:tcBorders>
              <w:top w:val="nil"/>
              <w:left w:val="nil"/>
              <w:bottom w:val="single" w:sz="4" w:space="0" w:color="auto"/>
              <w:right w:val="single" w:sz="4" w:space="0" w:color="auto"/>
            </w:tcBorders>
            <w:shd w:val="clear" w:color="000000" w:fill="DDDDDD"/>
            <w:noWrap/>
            <w:vAlign w:val="bottom"/>
            <w:hideMark/>
          </w:tcPr>
          <w:p w14:paraId="4AB11541" w14:textId="77777777" w:rsidR="009E748F" w:rsidRPr="00BE2523" w:rsidRDefault="009E748F" w:rsidP="00247B52">
            <w:pPr>
              <w:spacing w:after="0" w:line="240" w:lineRule="auto"/>
              <w:jc w:val="right"/>
              <w:rPr>
                <w:rFonts w:eastAsia="Times New Roman" w:cs="Calibri"/>
                <w:b/>
                <w:bCs/>
                <w:color w:val="000000"/>
                <w:sz w:val="18"/>
                <w:szCs w:val="18"/>
                <w:lang w:eastAsia="el-GR"/>
              </w:rPr>
            </w:pPr>
            <w:r w:rsidRPr="00BE2523">
              <w:rPr>
                <w:rFonts w:eastAsia="Times New Roman" w:cs="Calibri"/>
                <w:b/>
                <w:bCs/>
                <w:color w:val="000000"/>
                <w:sz w:val="18"/>
                <w:szCs w:val="18"/>
                <w:lang w:eastAsia="el-GR"/>
              </w:rPr>
              <w:t>681%</w:t>
            </w:r>
          </w:p>
        </w:tc>
      </w:tr>
    </w:tbl>
    <w:p w14:paraId="59028EEA" w14:textId="77777777" w:rsidR="009E748F" w:rsidRPr="00B6235D" w:rsidRDefault="009E748F" w:rsidP="009E748F">
      <w:pPr>
        <w:pStyle w:val="Web"/>
        <w:shd w:val="clear" w:color="auto" w:fill="FFFFFF"/>
        <w:spacing w:before="0" w:beforeAutospacing="0" w:after="120" w:afterAutospacing="0" w:line="360" w:lineRule="auto"/>
        <w:jc w:val="both"/>
        <w:rPr>
          <w:rFonts w:asciiTheme="minorHAnsi" w:hAnsiTheme="minorHAnsi" w:cstheme="minorHAnsi"/>
          <w:i/>
          <w:color w:val="00B0F0"/>
          <w:sz w:val="18"/>
          <w:szCs w:val="18"/>
        </w:rPr>
      </w:pPr>
      <w:r w:rsidRPr="00B6235D">
        <w:rPr>
          <w:rFonts w:asciiTheme="minorHAnsi" w:hAnsiTheme="minorHAnsi" w:cstheme="minorHAnsi"/>
          <w:i/>
          <w:color w:val="7F7F7F" w:themeColor="text1" w:themeTint="80"/>
          <w:sz w:val="18"/>
          <w:szCs w:val="18"/>
        </w:rPr>
        <w:t xml:space="preserve">Πηγή: </w:t>
      </w:r>
      <w:r w:rsidRPr="00B6235D">
        <w:rPr>
          <w:rFonts w:asciiTheme="minorHAnsi" w:hAnsiTheme="minorHAnsi" w:cstheme="minorHAnsi"/>
          <w:i/>
          <w:color w:val="00B0F0"/>
          <w:sz w:val="18"/>
          <w:szCs w:val="18"/>
        </w:rPr>
        <w:t>Δελτίο Μηναίων Στοιχείων Γενικής Κυβέρνησης Σεπτεμβρίου 2021, βάση δεδομένων ΓΛΚ</w:t>
      </w:r>
    </w:p>
    <w:p w14:paraId="139D05BD" w14:textId="77777777" w:rsidR="00B6235D" w:rsidRPr="00FD791B" w:rsidRDefault="00B6235D" w:rsidP="00B6235D">
      <w:pPr>
        <w:rPr>
          <w:color w:val="auto"/>
        </w:rPr>
      </w:pPr>
      <w:r w:rsidRPr="00FD791B">
        <w:rPr>
          <w:color w:val="auto"/>
        </w:rPr>
        <w:lastRenderedPageBreak/>
        <w:t xml:space="preserve">Οι ΟΤΑ κατά τους εννέα μήνες του 2021 παρουσίασαν ταμειακό πλεόνασμα 105 εκ. ευρώ μειωμένο κατά 39% σε σχέση με το αντίστοιχο περυσινό διάστημα. Το σύνολο των εσόδων τους αυξήθηκε κατά 539 εκατ. ευρώ, κυρίως λόγω των αυξημένων μεταβιβάσεων από την κεντρική κυβέρνηση για την χρηματοδότηση δαπανών που σχετίζονται με την υγειονομική κρίση.  </w:t>
      </w:r>
    </w:p>
    <w:p w14:paraId="09F1DDE2" w14:textId="2C6D1C2B" w:rsidR="00B6235D" w:rsidRPr="00FD791B" w:rsidRDefault="00B6235D" w:rsidP="00B6235D">
      <w:pPr>
        <w:rPr>
          <w:color w:val="auto"/>
        </w:rPr>
      </w:pPr>
      <w:r w:rsidRPr="00FD791B">
        <w:rPr>
          <w:color w:val="auto"/>
        </w:rPr>
        <w:t xml:space="preserve">Οι Οργανισμοί Κοινωνικής Ασφάλισης (ΟΚΑ), στο εννεάμηνο του 2021, </w:t>
      </w:r>
      <w:r w:rsidR="004D2D3A">
        <w:rPr>
          <w:color w:val="auto"/>
        </w:rPr>
        <w:t>εμφάνισαν</w:t>
      </w:r>
      <w:r w:rsidRPr="00FD791B">
        <w:rPr>
          <w:color w:val="auto"/>
        </w:rPr>
        <w:t xml:space="preserve"> έλλειμμα 675 εκατ. ευρώ, το οποίο επιδεινώθηκε σημαντικά σε σχέση  με το  έλλειμμα των  87 εκατ. ευρώ που καταγράφηκε το 2020. Η επιδείνωση αυτή προήλθε κυρίως λόγω της αύξησης των δαπανών </w:t>
      </w:r>
      <w:r w:rsidR="004D2D3A">
        <w:rPr>
          <w:color w:val="auto"/>
        </w:rPr>
        <w:t xml:space="preserve">κατά </w:t>
      </w:r>
      <w:r w:rsidRPr="00FD791B">
        <w:rPr>
          <w:color w:val="auto"/>
        </w:rPr>
        <w:t xml:space="preserve">1.369 εκατ. ευρώ, αλλά και της πτώσης των εισπράξεων ασφαλιστικών εισφορών κατά 210 εκατ. ευρώ. </w:t>
      </w:r>
    </w:p>
    <w:p w14:paraId="1ED9EB40" w14:textId="043870DC" w:rsidR="00B6235D" w:rsidRPr="00FD791B" w:rsidRDefault="00B6235D" w:rsidP="00B6235D">
      <w:pPr>
        <w:rPr>
          <w:color w:val="auto"/>
        </w:rPr>
      </w:pPr>
      <w:r w:rsidRPr="00FD791B">
        <w:rPr>
          <w:color w:val="auto"/>
        </w:rPr>
        <w:t>Σημειώνεται ότι το πρωτογενές αποτέλεσμα σε όλους του υποτομείς της ΓΚ είναι χειρότερο από το γενικό αποτέλεσμα, γεγονός που εξηγείται από τη θετική διαφορά μεταξύ των τόκων που εισέπραξαν σε σχέση με αυτούς που κατέβαλαν. Το αποτέλεσμα αυτό εν πολλοίς οφείλεται στον βραχυπρόθεσμο δανεισμό που παρέχουν οι φορείς της ΓΚ στο ελληνικό δημόσιο, κυρίως με τη μορφή repos, ο οποίος τους αποφέρει ένα σχετικό υψηλ</w:t>
      </w:r>
      <w:r w:rsidR="004D2D3A">
        <w:rPr>
          <w:color w:val="auto"/>
        </w:rPr>
        <w:t>ό</w:t>
      </w:r>
      <w:r w:rsidRPr="00FD791B">
        <w:rPr>
          <w:color w:val="auto"/>
        </w:rPr>
        <w:t xml:space="preserve"> εισόδημα από τόκους.</w:t>
      </w:r>
    </w:p>
    <w:p w14:paraId="1252C6A6" w14:textId="77777777" w:rsidR="009E748F" w:rsidRDefault="009E748F" w:rsidP="003F1BE5">
      <w:pPr>
        <w:rPr>
          <w:color w:val="auto"/>
        </w:rPr>
      </w:pPr>
    </w:p>
    <w:p w14:paraId="4390239E" w14:textId="77777777" w:rsidR="003F1BE5" w:rsidRPr="00EC35DA" w:rsidRDefault="003F1BE5" w:rsidP="00EC35DA">
      <w:pPr>
        <w:rPr>
          <w:color w:val="auto"/>
        </w:rPr>
      </w:pPr>
    </w:p>
    <w:p w14:paraId="4AA355BC" w14:textId="26636C3D" w:rsidR="009741B0" w:rsidRDefault="009741B0" w:rsidP="009741B0">
      <w:pPr>
        <w:autoSpaceDE w:val="0"/>
        <w:autoSpaceDN w:val="0"/>
        <w:adjustRightInd w:val="0"/>
        <w:rPr>
          <w:rFonts w:ascii="Calibri" w:eastAsia="Calibri" w:hAnsi="Calibri" w:cs="Calibri"/>
          <w:color w:val="00B0F0"/>
          <w:sz w:val="16"/>
          <w:szCs w:val="16"/>
        </w:rPr>
      </w:pPr>
    </w:p>
    <w:p w14:paraId="4F3C344E" w14:textId="2DAE0DCF" w:rsidR="003F1BE5" w:rsidRDefault="003F1BE5" w:rsidP="009741B0">
      <w:pPr>
        <w:autoSpaceDE w:val="0"/>
        <w:autoSpaceDN w:val="0"/>
        <w:adjustRightInd w:val="0"/>
        <w:rPr>
          <w:rFonts w:ascii="Calibri" w:eastAsia="Calibri" w:hAnsi="Calibri" w:cs="Calibri"/>
          <w:color w:val="00B0F0"/>
          <w:sz w:val="16"/>
          <w:szCs w:val="16"/>
        </w:rPr>
      </w:pPr>
    </w:p>
    <w:p w14:paraId="09547713" w14:textId="77777777" w:rsidR="003F1BE5" w:rsidRPr="009741B0" w:rsidRDefault="003F1BE5" w:rsidP="009741B0">
      <w:pPr>
        <w:autoSpaceDE w:val="0"/>
        <w:autoSpaceDN w:val="0"/>
        <w:adjustRightInd w:val="0"/>
        <w:rPr>
          <w:rFonts w:ascii="Calibri" w:eastAsia="Calibri" w:hAnsi="Calibri" w:cs="Calibri"/>
          <w:color w:val="00B0F0"/>
          <w:sz w:val="16"/>
          <w:szCs w:val="16"/>
        </w:rPr>
      </w:pPr>
    </w:p>
    <w:p w14:paraId="6B7736AF" w14:textId="704BF3D1" w:rsidR="0093506F" w:rsidRDefault="0093506F" w:rsidP="00D85054">
      <w:pPr>
        <w:autoSpaceDE w:val="0"/>
        <w:autoSpaceDN w:val="0"/>
        <w:adjustRightInd w:val="0"/>
        <w:rPr>
          <w:rFonts w:cstheme="minorHAnsi"/>
          <w:color w:val="000000"/>
        </w:rPr>
      </w:pPr>
    </w:p>
    <w:p w14:paraId="2CD57FBB" w14:textId="3A91D2CC" w:rsidR="003A3673" w:rsidRDefault="003A3673">
      <w:pPr>
        <w:spacing w:after="160" w:line="0" w:lineRule="auto"/>
        <w:jc w:val="left"/>
        <w:rPr>
          <w:rFonts w:cstheme="minorHAnsi"/>
          <w:color w:val="000000"/>
        </w:rPr>
      </w:pPr>
      <w:r>
        <w:rPr>
          <w:rFonts w:cstheme="minorHAnsi"/>
          <w:color w:val="000000"/>
        </w:rPr>
        <w:br w:type="page"/>
      </w:r>
    </w:p>
    <w:p w14:paraId="2C68820B" w14:textId="77777777" w:rsidR="002F5A77" w:rsidRDefault="002F5A77" w:rsidP="002F5A77">
      <w:pPr>
        <w:spacing w:after="160" w:line="0" w:lineRule="auto"/>
        <w:jc w:val="left"/>
        <w:rPr>
          <w:color w:val="auto"/>
        </w:rPr>
      </w:pPr>
    </w:p>
    <w:p w14:paraId="3ADC8634" w14:textId="69D4DEAC" w:rsidR="000908EA" w:rsidRPr="003F1BE5" w:rsidRDefault="003F1BE5" w:rsidP="003F1BE5">
      <w:pPr>
        <w:pStyle w:val="a0"/>
        <w:numPr>
          <w:ilvl w:val="0"/>
          <w:numId w:val="3"/>
        </w:numPr>
        <w:rPr>
          <w:sz w:val="32"/>
          <w:szCs w:val="32"/>
        </w:rPr>
      </w:pPr>
      <w:bookmarkStart w:id="138" w:name="_Toc89172837"/>
      <w:r w:rsidRPr="003F1BE5">
        <w:rPr>
          <w:sz w:val="32"/>
          <w:szCs w:val="32"/>
        </w:rPr>
        <w:t>Εξέλιξη ληξιπρόθεσμων υποχρεώσεων, απαιτήσεων και εγγυήσεων ελληνικού Δημοσίου</w:t>
      </w:r>
      <w:bookmarkEnd w:id="138"/>
    </w:p>
    <w:p w14:paraId="1C2EEF65" w14:textId="77777777" w:rsidR="000A4ABB" w:rsidRDefault="000A4ABB">
      <w:pPr>
        <w:spacing w:after="160" w:line="0" w:lineRule="auto"/>
        <w:jc w:val="left"/>
      </w:pPr>
    </w:p>
    <w:p w14:paraId="2A1309F2" w14:textId="77777777" w:rsidR="00B73748" w:rsidRPr="00B6235D" w:rsidRDefault="00B73748" w:rsidP="00B6235D">
      <w:pPr>
        <w:numPr>
          <w:ilvl w:val="0"/>
          <w:numId w:val="36"/>
        </w:numPr>
        <w:spacing w:after="240" w:line="360" w:lineRule="auto"/>
        <w:ind w:left="714" w:hanging="357"/>
        <w:rPr>
          <w:b/>
          <w:color w:val="767171" w:themeColor="background2" w:themeShade="80"/>
          <w:sz w:val="25"/>
          <w:szCs w:val="25"/>
        </w:rPr>
      </w:pPr>
      <w:r w:rsidRPr="00B6235D">
        <w:rPr>
          <w:b/>
          <w:color w:val="767171" w:themeColor="background2" w:themeShade="80"/>
          <w:sz w:val="25"/>
          <w:szCs w:val="25"/>
        </w:rPr>
        <w:t>Αύξηση στο απόθεμα των ληξιπρόθεσμων υποχρεώσεων του ελληνικού Δημοσίου (συμπεριλαμβανομένων και των εκκρεμών επιστροφών φόρων) στα 2,7 δισ. ευρώ περίπου.</w:t>
      </w:r>
    </w:p>
    <w:p w14:paraId="377162C1" w14:textId="77777777" w:rsidR="00B73748" w:rsidRPr="00B6235D" w:rsidRDefault="00B73748" w:rsidP="00B6235D">
      <w:pPr>
        <w:numPr>
          <w:ilvl w:val="0"/>
          <w:numId w:val="36"/>
        </w:numPr>
        <w:spacing w:after="240" w:line="360" w:lineRule="auto"/>
        <w:ind w:left="714" w:hanging="357"/>
        <w:rPr>
          <w:b/>
          <w:color w:val="767171" w:themeColor="background2" w:themeShade="80"/>
          <w:sz w:val="25"/>
          <w:szCs w:val="25"/>
        </w:rPr>
      </w:pPr>
      <w:r w:rsidRPr="00B6235D">
        <w:rPr>
          <w:b/>
          <w:color w:val="767171" w:themeColor="background2" w:themeShade="80"/>
          <w:sz w:val="25"/>
          <w:szCs w:val="25"/>
        </w:rPr>
        <w:t>Σημαντική αύξηση των ληξιπρόθεσμων υποχρεώσεων των Νοσοκομείων και των Οργανισμών Κοινωνικής Ασφάλισης (ΟΚΑ) σε επίπεδο εννεαμήνου.</w:t>
      </w:r>
    </w:p>
    <w:p w14:paraId="13E657CA" w14:textId="3FFF7C14" w:rsidR="00B73748" w:rsidRPr="00B6235D" w:rsidRDefault="00B73748" w:rsidP="00B6235D">
      <w:pPr>
        <w:numPr>
          <w:ilvl w:val="0"/>
          <w:numId w:val="36"/>
        </w:numPr>
        <w:spacing w:after="240" w:line="360" w:lineRule="auto"/>
        <w:ind w:left="714" w:hanging="357"/>
        <w:rPr>
          <w:b/>
          <w:color w:val="767171" w:themeColor="background2" w:themeShade="80"/>
          <w:sz w:val="25"/>
          <w:szCs w:val="25"/>
        </w:rPr>
      </w:pPr>
      <w:r w:rsidRPr="00B6235D">
        <w:rPr>
          <w:b/>
          <w:color w:val="767171" w:themeColor="background2" w:themeShade="80"/>
          <w:sz w:val="25"/>
          <w:szCs w:val="25"/>
        </w:rPr>
        <w:t xml:space="preserve">Ανάλογες με το προηγούμενο έτος είναι οι εισπράξεις που καταγράφονται στο οκτάμηνο επί των ληξιπρόθεσμων απαιτήσεων του </w:t>
      </w:r>
      <w:r w:rsidR="00791466">
        <w:rPr>
          <w:b/>
          <w:color w:val="767171" w:themeColor="background2" w:themeShade="80"/>
          <w:sz w:val="25"/>
          <w:szCs w:val="25"/>
        </w:rPr>
        <w:t>ελληνικού Δημοσίου</w:t>
      </w:r>
      <w:r w:rsidRPr="00B6235D">
        <w:rPr>
          <w:b/>
          <w:color w:val="767171" w:themeColor="background2" w:themeShade="80"/>
          <w:sz w:val="25"/>
          <w:szCs w:val="25"/>
        </w:rPr>
        <w:t xml:space="preserve"> (περί τα 2,6 δισ. ευρώ), σημαντικά χαμηλότερες σε σχέση με την τριετία που προηγήθηκε της πανδημίας (3,3 δισ. ευρώ κατά μέσο όρο). </w:t>
      </w:r>
    </w:p>
    <w:p w14:paraId="06C2936A" w14:textId="77777777" w:rsidR="00B73748" w:rsidRPr="00B6235D" w:rsidRDefault="00B73748" w:rsidP="00B6235D">
      <w:pPr>
        <w:numPr>
          <w:ilvl w:val="0"/>
          <w:numId w:val="36"/>
        </w:numPr>
        <w:spacing w:after="240" w:line="360" w:lineRule="auto"/>
        <w:ind w:left="714" w:hanging="357"/>
        <w:rPr>
          <w:b/>
          <w:color w:val="767171" w:themeColor="background2" w:themeShade="80"/>
          <w:sz w:val="25"/>
          <w:szCs w:val="25"/>
        </w:rPr>
      </w:pPr>
      <w:r w:rsidRPr="00B6235D">
        <w:rPr>
          <w:b/>
          <w:color w:val="767171" w:themeColor="background2" w:themeShade="80"/>
          <w:sz w:val="25"/>
          <w:szCs w:val="25"/>
        </w:rPr>
        <w:t>Συνεχίστηκε και κατά το γ΄ τρίμηνο του 2021 η συρρίκνωση του ανεξόφλητου κεφαλαίου των εγγυήσεων του ελληνικού Δημοσίου το οποίο διαμορφώθηκε στα 8.916 εκατ. ευρώ.</w:t>
      </w:r>
    </w:p>
    <w:p w14:paraId="719DF15E" w14:textId="77777777" w:rsidR="00B73748" w:rsidRPr="00B6235D" w:rsidRDefault="00B73748" w:rsidP="00B6235D">
      <w:pPr>
        <w:numPr>
          <w:ilvl w:val="0"/>
          <w:numId w:val="36"/>
        </w:numPr>
        <w:spacing w:after="240" w:line="360" w:lineRule="auto"/>
        <w:rPr>
          <w:b/>
          <w:color w:val="767171" w:themeColor="background2" w:themeShade="80"/>
          <w:sz w:val="25"/>
          <w:szCs w:val="25"/>
        </w:rPr>
      </w:pPr>
      <w:r w:rsidRPr="00B6235D">
        <w:rPr>
          <w:b/>
          <w:color w:val="767171" w:themeColor="background2" w:themeShade="80"/>
          <w:sz w:val="25"/>
          <w:szCs w:val="25"/>
        </w:rPr>
        <w:t>Τα 8,5 δισ. ευρώ έφτασαν οι εγγυήσεις του ελληνικού Δημοσίου, για τιτλοποιήσεις μη εξυπηρετούμενων δανείων των πιστωτικών ιδρυμάτων του προγράμματος «ΗΡΑΚΛΗΣ»</w:t>
      </w:r>
    </w:p>
    <w:p w14:paraId="316F010E" w14:textId="2BB1AC46" w:rsidR="009C7EF9" w:rsidRDefault="009C7EF9">
      <w:pPr>
        <w:spacing w:after="160" w:line="0" w:lineRule="auto"/>
        <w:jc w:val="left"/>
      </w:pPr>
    </w:p>
    <w:p w14:paraId="5A2AD271" w14:textId="63FF06CF" w:rsidR="009C7EF9" w:rsidRDefault="009C7EF9">
      <w:pPr>
        <w:spacing w:after="160" w:line="0" w:lineRule="auto"/>
        <w:jc w:val="left"/>
      </w:pPr>
    </w:p>
    <w:p w14:paraId="49B50FBC" w14:textId="77777777" w:rsidR="009C7EF9" w:rsidRDefault="009C7EF9">
      <w:pPr>
        <w:spacing w:after="160" w:line="0" w:lineRule="auto"/>
        <w:jc w:val="left"/>
      </w:pPr>
    </w:p>
    <w:p w14:paraId="2833D7CB" w14:textId="77A10566" w:rsidR="000908EA" w:rsidRPr="00CD1C1F" w:rsidRDefault="00CD1C1F" w:rsidP="00CD1C1F">
      <w:pPr>
        <w:pStyle w:val="a1"/>
        <w:numPr>
          <w:ilvl w:val="1"/>
          <w:numId w:val="3"/>
        </w:numPr>
        <w:rPr>
          <w:color w:val="00B0F0"/>
          <w:sz w:val="28"/>
          <w:szCs w:val="28"/>
        </w:rPr>
      </w:pPr>
      <w:bookmarkStart w:id="139" w:name="_Toc89172838"/>
      <w:r w:rsidRPr="00CD1C1F">
        <w:rPr>
          <w:color w:val="00B0F0"/>
          <w:sz w:val="28"/>
          <w:szCs w:val="28"/>
        </w:rPr>
        <w:t>Ληξιπρόθεσμες υποχρεώσεις Γενικής Κυβέρνησης</w:t>
      </w:r>
      <w:bookmarkEnd w:id="139"/>
    </w:p>
    <w:p w14:paraId="141DE7C9" w14:textId="1C7BC26D" w:rsidR="00B73748" w:rsidRPr="00B73748" w:rsidRDefault="004D2D3A" w:rsidP="00B73748">
      <w:pPr>
        <w:autoSpaceDE w:val="0"/>
        <w:autoSpaceDN w:val="0"/>
        <w:adjustRightInd w:val="0"/>
        <w:spacing w:after="0"/>
        <w:rPr>
          <w:rFonts w:eastAsia="Calibri" w:cs="Times New Roman"/>
          <w:color w:val="auto"/>
        </w:rPr>
      </w:pPr>
      <w:r w:rsidRPr="004D2D3A">
        <w:rPr>
          <w:rFonts w:eastAsia="Calibri" w:cs="Times New Roman"/>
          <w:color w:val="auto"/>
        </w:rPr>
        <w:t xml:space="preserve">Το απόθεμα των ληξιπρόθεσμων υποχρεώσεων (συμπεριλαμβανομένων και των εκκρεμών επιστροφών φόρων) τον Σεπτέμβριο ανήλθε σε 2.682 εκατ. ευρώ, σημειώνοντας σημαντική αύξηση από τη αρχή του έτους. Συγκεκριμένα, από την αρχή του έτους, το συσσωρευμένο απόθεμα των ληξιπρόθεσμων  υποχρεώσεων των φορέων της </w:t>
      </w:r>
      <w:r w:rsidR="00791466">
        <w:rPr>
          <w:rFonts w:eastAsia="Calibri" w:cs="Times New Roman"/>
          <w:color w:val="auto"/>
        </w:rPr>
        <w:t>Γενικής Κυβέρνησης (ΓΚ)</w:t>
      </w:r>
      <w:r w:rsidRPr="004D2D3A">
        <w:rPr>
          <w:rFonts w:eastAsia="Calibri" w:cs="Times New Roman"/>
          <w:color w:val="auto"/>
        </w:rPr>
        <w:t xml:space="preserve"> αυξήθηκε κατά 596 εκατ. ευρώ, (1.799 εκατ. ευρώ από 1.203 εκατ. ευρώ). Η αύξηση προήλθε κυρίως από την συσσώρευση επιπλέον ληξιπρόθεσμων υποχρεώσεων των Νοσοκομείων και των ΟΚΑ, ενώ οι υπόλοιποι τομείς παρουσίασαν οριακές μεταβολές. Σημαντική επίσης είναι η αύξηση </w:t>
      </w:r>
      <w:r w:rsidRPr="004D2D3A">
        <w:rPr>
          <w:rFonts w:eastAsia="Calibri" w:cs="Times New Roman"/>
          <w:color w:val="auto"/>
        </w:rPr>
        <w:lastRenderedPageBreak/>
        <w:t>των εκκρεμών επιστροφών φόρων στο εννεάμηνο, που έφθασαν τα 883 εκατ. ευρώ, έναντι 636 εκατ. ευρώ κατά την έναρξη του έτους</w:t>
      </w:r>
      <w:r w:rsidR="00B73748" w:rsidRPr="00B73748">
        <w:rPr>
          <w:rFonts w:eastAsia="Calibri" w:cs="Times New Roman"/>
          <w:color w:val="auto"/>
        </w:rPr>
        <w:t xml:space="preserve">. </w:t>
      </w:r>
    </w:p>
    <w:p w14:paraId="1627BFF4" w14:textId="7F71F10F" w:rsidR="00B73748" w:rsidRDefault="00B73748" w:rsidP="00B73748">
      <w:pPr>
        <w:autoSpaceDE w:val="0"/>
        <w:autoSpaceDN w:val="0"/>
        <w:adjustRightInd w:val="0"/>
        <w:spacing w:after="0"/>
        <w:rPr>
          <w:rFonts w:eastAsia="Calibri" w:cs="Times New Roman"/>
          <w:color w:val="auto"/>
        </w:rPr>
      </w:pPr>
    </w:p>
    <w:p w14:paraId="5139CF93" w14:textId="77777777" w:rsidR="00B73748" w:rsidRPr="00B73748" w:rsidRDefault="00B73748" w:rsidP="00B73748">
      <w:pPr>
        <w:autoSpaceDE w:val="0"/>
        <w:autoSpaceDN w:val="0"/>
        <w:adjustRightInd w:val="0"/>
        <w:spacing w:after="0"/>
        <w:rPr>
          <w:rFonts w:eastAsia="Calibri" w:cs="Times New Roman"/>
          <w:color w:val="auto"/>
        </w:rPr>
      </w:pPr>
    </w:p>
    <w:p w14:paraId="0CDF82D0" w14:textId="750DC1F2" w:rsidR="00B73748" w:rsidRPr="00B73748" w:rsidRDefault="00B73748" w:rsidP="00B73748">
      <w:pPr>
        <w:autoSpaceDE w:val="0"/>
        <w:autoSpaceDN w:val="0"/>
        <w:adjustRightInd w:val="0"/>
        <w:spacing w:after="0" w:line="240" w:lineRule="auto"/>
        <w:jc w:val="left"/>
        <w:rPr>
          <w:rFonts w:eastAsia="Calibri" w:cs="Times New Roman"/>
          <w:color w:val="auto"/>
        </w:rPr>
      </w:pPr>
      <w:bookmarkStart w:id="140" w:name="_Toc89172890"/>
      <w:r w:rsidRPr="00F87DDD">
        <w:rPr>
          <w:b/>
          <w:bCs/>
        </w:rPr>
        <w:t xml:space="preserve">Διάγραμμα </w:t>
      </w:r>
      <w:r w:rsidRPr="00F87DDD">
        <w:rPr>
          <w:b/>
          <w:bCs/>
        </w:rPr>
        <w:fldChar w:fldCharType="begin"/>
      </w:r>
      <w:r w:rsidRPr="00F87DDD">
        <w:rPr>
          <w:b/>
          <w:bCs/>
        </w:rPr>
        <w:instrText xml:space="preserve"> SEQ Διάγραμμα \* ARABIC </w:instrText>
      </w:r>
      <w:r w:rsidRPr="00F87DDD">
        <w:rPr>
          <w:b/>
          <w:bCs/>
        </w:rPr>
        <w:fldChar w:fldCharType="separate"/>
      </w:r>
      <w:r w:rsidR="0038196B">
        <w:rPr>
          <w:b/>
          <w:bCs/>
          <w:noProof/>
        </w:rPr>
        <w:t>28</w:t>
      </w:r>
      <w:r w:rsidRPr="00F87DDD">
        <w:rPr>
          <w:b/>
          <w:bCs/>
        </w:rPr>
        <w:fldChar w:fldCharType="end"/>
      </w:r>
      <w:r w:rsidRPr="00F87DDD">
        <w:rPr>
          <w:b/>
          <w:bCs/>
          <w:sz w:val="20"/>
          <w:szCs w:val="20"/>
        </w:rPr>
        <w:t>:</w:t>
      </w:r>
      <w:r w:rsidRPr="00F87DDD">
        <w:rPr>
          <w:b/>
          <w:sz w:val="20"/>
          <w:szCs w:val="20"/>
        </w:rPr>
        <w:t xml:space="preserve"> </w:t>
      </w:r>
      <w:r w:rsidRPr="00B73748">
        <w:rPr>
          <w:rFonts w:eastAsia="Calibri" w:cs="Calibri"/>
          <w:color w:val="00A3E0"/>
          <w:sz w:val="20"/>
          <w:szCs w:val="20"/>
        </w:rPr>
        <w:t>Ληξιπρόθεσμες Υποχρεώσεις ΓΚ και υποτομέων της περιόδου 2019- Σεπ. 2021 (σε εκατ. ευρώ)</w:t>
      </w:r>
      <w:bookmarkEnd w:id="140"/>
    </w:p>
    <w:p w14:paraId="75AA1896" w14:textId="77777777" w:rsidR="00B73748" w:rsidRPr="00B73748" w:rsidRDefault="00B73748" w:rsidP="00B73748">
      <w:pPr>
        <w:autoSpaceDE w:val="0"/>
        <w:autoSpaceDN w:val="0"/>
        <w:adjustRightInd w:val="0"/>
        <w:spacing w:after="0"/>
        <w:rPr>
          <w:rFonts w:eastAsia="Calibri" w:cs="Times New Roman"/>
          <w:color w:val="auto"/>
        </w:rPr>
      </w:pPr>
    </w:p>
    <w:p w14:paraId="197E2715" w14:textId="77777777" w:rsidR="00B73748" w:rsidRPr="00B73748" w:rsidRDefault="00B73748" w:rsidP="00B73748">
      <w:pPr>
        <w:autoSpaceDE w:val="0"/>
        <w:autoSpaceDN w:val="0"/>
        <w:adjustRightInd w:val="0"/>
        <w:spacing w:after="0"/>
        <w:rPr>
          <w:rFonts w:eastAsia="Calibri" w:cs="Times New Roman"/>
          <w:color w:val="auto"/>
        </w:rPr>
      </w:pPr>
      <w:r w:rsidRPr="00B73748">
        <w:rPr>
          <w:noProof/>
          <w:color w:val="auto"/>
          <w:lang w:eastAsia="el-GR"/>
        </w:rPr>
        <w:drawing>
          <wp:inline distT="0" distB="0" distL="0" distR="0" wp14:anchorId="757D194B" wp14:editId="41E2EFC4">
            <wp:extent cx="5246914" cy="3456214"/>
            <wp:effectExtent l="0" t="0" r="11430" b="11430"/>
            <wp:docPr id="33" name="Γράφημα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7AE1C62" w14:textId="77777777" w:rsidR="00B73748" w:rsidRPr="00B73748" w:rsidRDefault="00B73748" w:rsidP="00B73748">
      <w:pPr>
        <w:autoSpaceDE w:val="0"/>
        <w:autoSpaceDN w:val="0"/>
        <w:adjustRightInd w:val="0"/>
        <w:spacing w:after="0"/>
        <w:rPr>
          <w:rFonts w:eastAsia="Calibri" w:cs="Times New Roman"/>
          <w:color w:val="auto"/>
        </w:rPr>
      </w:pPr>
      <w:r w:rsidRPr="00B73748">
        <w:rPr>
          <w:rFonts w:eastAsia="Calibri" w:cs="Calibri"/>
          <w:b/>
          <w:bCs/>
          <w:color w:val="000000"/>
          <w:sz w:val="16"/>
          <w:szCs w:val="16"/>
        </w:rPr>
        <w:t xml:space="preserve">Πηγή: </w:t>
      </w:r>
      <w:r w:rsidRPr="00B73748">
        <w:rPr>
          <w:rFonts w:eastAsia="Calibri" w:cs="Calibri"/>
          <w:color w:val="00B0F0"/>
          <w:sz w:val="16"/>
          <w:szCs w:val="16"/>
        </w:rPr>
        <w:t>Δελτίο Μηνιαίων Στοιχείων Γενικής Κυβέρνησης Σεπτεμβρίου 2021, ΓΛΚ</w:t>
      </w:r>
    </w:p>
    <w:p w14:paraId="0D83A795" w14:textId="77777777" w:rsidR="00B73748" w:rsidRPr="00B73748" w:rsidRDefault="00B73748" w:rsidP="00B73748">
      <w:pPr>
        <w:autoSpaceDE w:val="0"/>
        <w:autoSpaceDN w:val="0"/>
        <w:adjustRightInd w:val="0"/>
        <w:spacing w:after="0"/>
        <w:rPr>
          <w:rFonts w:eastAsia="Calibri" w:cs="Times New Roman"/>
          <w:color w:val="auto"/>
        </w:rPr>
      </w:pPr>
    </w:p>
    <w:p w14:paraId="0EC0B9A7" w14:textId="77777777" w:rsidR="00B73748" w:rsidRPr="00B73748" w:rsidRDefault="00B73748" w:rsidP="00B73748">
      <w:pPr>
        <w:autoSpaceDE w:val="0"/>
        <w:autoSpaceDN w:val="0"/>
        <w:adjustRightInd w:val="0"/>
        <w:spacing w:after="0"/>
        <w:rPr>
          <w:rFonts w:eastAsia="Calibri" w:cs="Times New Roman"/>
          <w:color w:val="auto"/>
        </w:rPr>
      </w:pPr>
    </w:p>
    <w:p w14:paraId="33406CE3" w14:textId="3EF90543" w:rsidR="00B73748" w:rsidRDefault="004D2D3A" w:rsidP="00B73748">
      <w:pPr>
        <w:spacing w:after="160"/>
        <w:rPr>
          <w:rFonts w:eastAsia="Calibri" w:cs="Times New Roman"/>
          <w:color w:val="auto"/>
        </w:rPr>
      </w:pPr>
      <w:r w:rsidRPr="004D2D3A">
        <w:rPr>
          <w:rFonts w:eastAsia="Calibri" w:cs="Times New Roman"/>
          <w:color w:val="auto"/>
        </w:rPr>
        <w:t>Παρά την δέσμευση των αρχών για εκκαθάριση σημαντικού μέρους των ληξιπρόθεσμων υποχρεώσεων κατά το α’ εξάμηνο του έτους (πλην αυτών που αφορούσαν αιτήματα συνταξιοδότησης), το σχετικό απόθεμα διογκώθηκε  περαιτέρω. Σύμφωνα με το πιο πρόσφατο  χρονοδιάγραμμα διαχείρισης των ληξιπρόθεσμων υποχρεώσεων (Μάρτιο 2021), αναμενόταν η πλήρης εκκαθάριση ληξιπρόθεσμων υποχρεώσεων προερχόμενων από τα εκκρεμή αιτήματα συνταξιοδότησης έως το τέλος του έτους. Παρά ταύτα, στο τέλος Ιουλίου οι εν λόγω ληξιπρόθεσμες υποχρεώσεις ανέρχονταν σε 360 εκατ. ευρώ, υπολειπόμενες κατά πολύ του στόχου. Το σενάριο για τακτοποίησή τους έως στο τέλος του έτους είναι  πλέον μάλλον ανέφικτο, με τις  αρχές να προσανατολίζονται στην εκ νέου μετάθεση του στόχου σε μεταγενέστερο χρόνο. Οι προσπάθειες θα εστιάσουν στη μείωση των υφιστάμενων ληξιπρόθεσμων υποχρεώσεων, εκ των οποίων ένα σημαντικό μέρος προέρχεται από εκκρεμή αιτήματα συνταξιοδότησης. Για τον σκοπό αυτό, καταλυτικό ρόλο αναμένεται να διαδραματίσει η έγκαιρη αξιοποίηση νέων εργαλείων για την επιτάχυνση της διαδικασίας απονομής των συντάξεων, όπως η αυτοματοποίηση της διαδικασίας απονομής των συντάξεων, η ψηφιοποίηση του ΕΦΚΑ και η εμπλοκή ιδιωτών επαγγελματιών (δικηγόρων, λογιστών)</w:t>
      </w:r>
      <w:r w:rsidR="00791466">
        <w:rPr>
          <w:rFonts w:eastAsia="Calibri" w:cs="Times New Roman"/>
          <w:color w:val="auto"/>
        </w:rPr>
        <w:t xml:space="preserve">, </w:t>
      </w:r>
      <w:r w:rsidR="00791466" w:rsidRPr="00791466">
        <w:rPr>
          <w:rFonts w:eastAsia="Calibri" w:cs="Times New Roman"/>
          <w:color w:val="auto"/>
        </w:rPr>
        <w:t>η οποία όμως μέχρι στιγμής δεν είναι αυτή που αρχικά αναμένονταν</w:t>
      </w:r>
      <w:r w:rsidR="00B73748" w:rsidRPr="00B73748">
        <w:rPr>
          <w:rFonts w:eastAsia="Calibri" w:cs="Times New Roman"/>
          <w:color w:val="auto"/>
        </w:rPr>
        <w:t>.</w:t>
      </w:r>
    </w:p>
    <w:p w14:paraId="5CD18E45" w14:textId="77777777" w:rsidR="004D2D3A" w:rsidRPr="007E4882" w:rsidRDefault="004D2D3A" w:rsidP="00B73748">
      <w:pPr>
        <w:spacing w:after="160"/>
        <w:rPr>
          <w:rFonts w:cstheme="minorHAnsi"/>
          <w:color w:val="auto"/>
        </w:rPr>
      </w:pPr>
    </w:p>
    <w:p w14:paraId="3406758C" w14:textId="11F904CD" w:rsidR="000908EA" w:rsidRPr="0097391A" w:rsidRDefault="0097391A" w:rsidP="0097391A">
      <w:pPr>
        <w:pStyle w:val="a1"/>
        <w:numPr>
          <w:ilvl w:val="1"/>
          <w:numId w:val="3"/>
        </w:numPr>
        <w:rPr>
          <w:color w:val="00B0F0"/>
          <w:sz w:val="28"/>
          <w:szCs w:val="28"/>
        </w:rPr>
      </w:pPr>
      <w:bookmarkStart w:id="141" w:name="_Toc89172839"/>
      <w:r w:rsidRPr="0097391A">
        <w:rPr>
          <w:color w:val="00B0F0"/>
          <w:sz w:val="28"/>
          <w:szCs w:val="28"/>
        </w:rPr>
        <w:t>Ληξιπρόθεσμες απαιτήσεις του ελληνικού Δημοσίου</w:t>
      </w:r>
      <w:bookmarkEnd w:id="141"/>
    </w:p>
    <w:p w14:paraId="69219DA3" w14:textId="6AA4F4E1" w:rsidR="00B73748" w:rsidRPr="00B73748" w:rsidRDefault="00B73748" w:rsidP="00664F4F">
      <w:pPr>
        <w:tabs>
          <w:tab w:val="left" w:pos="7797"/>
        </w:tabs>
        <w:spacing w:after="160"/>
        <w:ind w:right="226"/>
        <w:rPr>
          <w:color w:val="auto"/>
        </w:rPr>
      </w:pPr>
      <w:r w:rsidRPr="00B73748">
        <w:rPr>
          <w:color w:val="auto"/>
        </w:rPr>
        <w:t>Την περίοδο της πανδημίας, η εξέλιξη των νέων ληξιπρόθεσμων απαιτήσεων και οι ε</w:t>
      </w:r>
      <w:r w:rsidR="004D2D3A">
        <w:rPr>
          <w:color w:val="auto"/>
        </w:rPr>
        <w:t>ισπράξεις που πραγματοποιήθηκαν</w:t>
      </w:r>
      <w:r w:rsidRPr="00B73748">
        <w:rPr>
          <w:color w:val="auto"/>
        </w:rPr>
        <w:t xml:space="preserve"> διαφοροποιήθηκαν σε σχέση με το πρόσφατο παρελθόν. Συγκεκριμένα, το οκτάμηνο του 2021, το συνολικό παλιό ληξιπρόθεσμο κεφάλαιο συσσωρευμένων απαιτήσεων έφτασε σε περίπου 108 δισ. ευρώ, παρουσιάζοντας αύξηση σε σχέση με το πρώτο τρίμηνο του 2020 κατά 3 δισ. ευρώ. Η αύξηση αυτή,  ωστόσο, είναι μικρότερης έκτασης από αυτή που παρατηρήθηκε τα προηγούμενα χρόνια, ενώ ανάλογα κινήθηκαν τόσο οι νέες ληξιπρόθεσμες απαιτήσεις όσο και οι εισπράξεις έναντι αυτών. </w:t>
      </w:r>
    </w:p>
    <w:p w14:paraId="49A95A9E" w14:textId="5608878C" w:rsidR="00B73748" w:rsidRPr="008A190C" w:rsidRDefault="00B73748" w:rsidP="00B73748">
      <w:pPr>
        <w:spacing w:after="160" w:line="259" w:lineRule="auto"/>
        <w:rPr>
          <w:noProof/>
          <w:color w:val="auto"/>
          <w:lang w:eastAsia="el-GR"/>
        </w:rPr>
      </w:pPr>
      <w:bookmarkStart w:id="142" w:name="_Toc89172891"/>
      <w:r w:rsidRPr="00F87DDD">
        <w:rPr>
          <w:b/>
          <w:bCs/>
        </w:rPr>
        <w:t xml:space="preserve">Διάγραμμα </w:t>
      </w:r>
      <w:r w:rsidRPr="00F87DDD">
        <w:rPr>
          <w:b/>
          <w:bCs/>
        </w:rPr>
        <w:fldChar w:fldCharType="begin"/>
      </w:r>
      <w:r w:rsidRPr="00F87DDD">
        <w:rPr>
          <w:b/>
          <w:bCs/>
        </w:rPr>
        <w:instrText xml:space="preserve"> SEQ Διάγραμμα \* ARABIC </w:instrText>
      </w:r>
      <w:r w:rsidRPr="00F87DDD">
        <w:rPr>
          <w:b/>
          <w:bCs/>
        </w:rPr>
        <w:fldChar w:fldCharType="separate"/>
      </w:r>
      <w:r w:rsidR="0038196B">
        <w:rPr>
          <w:b/>
          <w:bCs/>
          <w:noProof/>
        </w:rPr>
        <w:t>29</w:t>
      </w:r>
      <w:r w:rsidRPr="00F87DDD">
        <w:rPr>
          <w:b/>
          <w:bCs/>
        </w:rPr>
        <w:fldChar w:fldCharType="end"/>
      </w:r>
      <w:r w:rsidRPr="00F87DDD">
        <w:rPr>
          <w:b/>
          <w:bCs/>
          <w:sz w:val="20"/>
          <w:szCs w:val="20"/>
        </w:rPr>
        <w:t>:</w:t>
      </w:r>
      <w:r w:rsidRPr="00F87DDD">
        <w:rPr>
          <w:b/>
          <w:sz w:val="20"/>
          <w:szCs w:val="20"/>
        </w:rPr>
        <w:t xml:space="preserve"> </w:t>
      </w:r>
      <w:r w:rsidRPr="008A190C">
        <w:rPr>
          <w:rFonts w:eastAsia="Calibri" w:cs="Calibri"/>
          <w:iCs/>
          <w:color w:val="00B0F0"/>
          <w:sz w:val="20"/>
          <w:szCs w:val="20"/>
        </w:rPr>
        <w:t>Ληξιπρόθεσμες Απαιτήσεις Ελληνικού Δημοσίου (οφειλές φορολογουμένων προς το δημόσιο) και συνολικές εισπράξεις για το οκτάμηνο ετών 2017-2021 (σε εκατ.ευρώ)</w:t>
      </w:r>
      <w:bookmarkEnd w:id="142"/>
    </w:p>
    <w:p w14:paraId="01064887" w14:textId="77777777" w:rsidR="00B73748" w:rsidRPr="00B73748" w:rsidRDefault="00B73748" w:rsidP="00B73748">
      <w:pPr>
        <w:spacing w:after="0" w:line="240" w:lineRule="auto"/>
        <w:rPr>
          <w:b/>
          <w:noProof/>
          <w:color w:val="auto"/>
          <w:lang w:eastAsia="el-GR"/>
        </w:rPr>
      </w:pPr>
      <w:r w:rsidRPr="00B73748">
        <w:rPr>
          <w:noProof/>
          <w:color w:val="auto"/>
          <w:lang w:eastAsia="el-GR"/>
        </w:rPr>
        <w:drawing>
          <wp:inline distT="0" distB="0" distL="0" distR="0" wp14:anchorId="60306420" wp14:editId="3B7E09F3">
            <wp:extent cx="5181600" cy="3189514"/>
            <wp:effectExtent l="0" t="0" r="0" b="11430"/>
            <wp:docPr id="34" name="Γράφημα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9191073" w14:textId="77777777" w:rsidR="00B73748" w:rsidRPr="00B73748" w:rsidRDefault="00B73748" w:rsidP="00B73748">
      <w:pPr>
        <w:spacing w:after="0" w:line="240" w:lineRule="auto"/>
        <w:jc w:val="left"/>
        <w:rPr>
          <w:b/>
          <w:i/>
          <w:noProof/>
          <w:color w:val="auto"/>
          <w:sz w:val="16"/>
          <w:szCs w:val="16"/>
          <w:lang w:eastAsia="el-GR"/>
        </w:rPr>
      </w:pPr>
      <w:r w:rsidRPr="00B73748">
        <w:rPr>
          <w:b/>
          <w:i/>
          <w:noProof/>
          <w:color w:val="808080" w:themeColor="background1" w:themeShade="80"/>
          <w:sz w:val="16"/>
          <w:szCs w:val="16"/>
          <w:lang w:eastAsia="el-GR"/>
        </w:rPr>
        <w:t>Πηγή</w:t>
      </w:r>
      <w:r w:rsidRPr="00B73748">
        <w:rPr>
          <w:b/>
          <w:i/>
          <w:noProof/>
          <w:color w:val="auto"/>
          <w:sz w:val="16"/>
          <w:szCs w:val="16"/>
          <w:lang w:eastAsia="el-GR"/>
        </w:rPr>
        <w:t xml:space="preserve">: </w:t>
      </w:r>
      <w:r w:rsidRPr="00B73748">
        <w:rPr>
          <w:b/>
          <w:i/>
          <w:noProof/>
          <w:color w:val="00B0F0"/>
          <w:sz w:val="16"/>
          <w:szCs w:val="16"/>
          <w:lang w:eastAsia="el-GR"/>
        </w:rPr>
        <w:t>Ανεξάρτητη Αρχή Δημοσίων Εσόδων (Α.Α.Δ.Ε)</w:t>
      </w:r>
    </w:p>
    <w:p w14:paraId="3A4F7BA8" w14:textId="0610F4EB" w:rsidR="00B73748" w:rsidRDefault="00B73748" w:rsidP="00B73748">
      <w:pPr>
        <w:spacing w:after="0" w:line="240" w:lineRule="auto"/>
        <w:rPr>
          <w:i/>
          <w:noProof/>
          <w:color w:val="auto"/>
          <w:sz w:val="16"/>
          <w:szCs w:val="16"/>
          <w:lang w:eastAsia="el-GR"/>
        </w:rPr>
      </w:pPr>
      <w:r w:rsidRPr="00B73748">
        <w:rPr>
          <w:i/>
          <w:noProof/>
          <w:color w:val="auto"/>
          <w:sz w:val="16"/>
          <w:szCs w:val="16"/>
          <w:lang w:eastAsia="el-GR"/>
        </w:rPr>
        <w:t>*Τα στοιχεία του "Νέου Ληξιπροθέσμου Χρέους" υπολογίζονται με χρονική υστέρηση ενός μήνα, σε σχέση με την περίοδο είσπραξης και διαγραφής. Σημειώνεται ότι το "Νέο Ληξιπρόθεσμο Χρέος" αφορά το ληξιπρόθεσμο υπόλοιπο έως τον προηγούμενο μήνα από το μήνα αναφοράς ενώ τα στοιχεία του "Παλαιού Ληξιπρόθεσμου Χρέους" αφορούν το "Παλαιό Ληξιπρόθεσμο Κεφάλαιο" όπως διαμορφώνεται το μήνα αναφοράς.</w:t>
      </w:r>
    </w:p>
    <w:p w14:paraId="621AF69E" w14:textId="2495EFAF" w:rsidR="00B73748" w:rsidRDefault="00B73748" w:rsidP="00B73748">
      <w:pPr>
        <w:spacing w:after="0" w:line="240" w:lineRule="auto"/>
        <w:rPr>
          <w:i/>
          <w:noProof/>
          <w:color w:val="auto"/>
          <w:sz w:val="16"/>
          <w:szCs w:val="16"/>
          <w:lang w:eastAsia="el-GR"/>
        </w:rPr>
      </w:pPr>
      <w:r w:rsidRPr="00B73748">
        <w:rPr>
          <w:i/>
          <w:noProof/>
          <w:color w:val="auto"/>
          <w:sz w:val="16"/>
          <w:szCs w:val="16"/>
          <w:lang w:eastAsia="el-GR"/>
        </w:rPr>
        <w:t>** Ως "Παλαιό Ληξιπρόθεσμο Χρέος" ορίζεται το ληξιπρόθεσμο υπόλοιπο την 30/11 του προηγούμενου έτους από το έτος αναφοράς (αναγράφεται κατόπιν αφαίρεσης των διενεργούμενων εισπράξεων και διαγραφών).</w:t>
      </w:r>
    </w:p>
    <w:p w14:paraId="2718D9D4" w14:textId="77777777" w:rsidR="00B73748" w:rsidRPr="00B73748" w:rsidRDefault="00B73748" w:rsidP="00B73748">
      <w:pPr>
        <w:spacing w:after="0" w:line="240" w:lineRule="auto"/>
        <w:rPr>
          <w:i/>
          <w:noProof/>
          <w:color w:val="auto"/>
          <w:sz w:val="16"/>
          <w:szCs w:val="16"/>
          <w:lang w:eastAsia="el-GR"/>
        </w:rPr>
      </w:pPr>
    </w:p>
    <w:p w14:paraId="68671611" w14:textId="01178542" w:rsidR="00B73748" w:rsidRPr="002B4888" w:rsidRDefault="00B73748" w:rsidP="00664F4F">
      <w:pPr>
        <w:spacing w:after="160"/>
        <w:rPr>
          <w:color w:val="auto"/>
        </w:rPr>
      </w:pPr>
      <w:r w:rsidRPr="00B73748">
        <w:rPr>
          <w:color w:val="auto"/>
        </w:rPr>
        <w:t xml:space="preserve">Την περίοδο Ιανουαρίου-Αυγούστου δημιουργήθηκαν νέες ληξιπρόθεσμες απαιτήσεις ύψους 3.806 εκατ. ευρώ,  αυξημένες σε σχέση με την αντίστοιχη περίοδο του προηγούμενου έτους (3.203 εκατ. ευρώ), σημαντικά ωστόσο χαμηλότερες από αυτές της περιόδου 2017-2019. Επιπλέον την ίδια περίοδο, οι εισπράξεις έναντι των ληξιπρόθεσμων υποχρεώσεων κινήθηκαν σε παρόμοια επίπεδα με τα αντίστοιχα περσινά, περί τα 2,6 δισ. ευρώ, ωστόσο υπολείπονται σημαντικά των επιδόσεων που </w:t>
      </w:r>
      <w:r w:rsidR="004D2D3A">
        <w:rPr>
          <w:color w:val="auto"/>
        </w:rPr>
        <w:t>σημειώθηκαν</w:t>
      </w:r>
      <w:r w:rsidRPr="00B73748">
        <w:rPr>
          <w:color w:val="auto"/>
        </w:rPr>
        <w:t xml:space="preserve"> την τριετία 2017-2019. Η εξέλιξη αυτή, οφείλεται, σε έναν βαθμό, στα μέτρα που υιοθέτησε η κυβέρνηση για την αντιμετώπιση των επιπτώσεων της πανδημίας και ιδίως, στο μέτρο αναστολής είσπραξης βεβαιωμένων και </w:t>
      </w:r>
      <w:r w:rsidRPr="00B73748">
        <w:rPr>
          <w:color w:val="auto"/>
        </w:rPr>
        <w:lastRenderedPageBreak/>
        <w:t>ληξιπρόθεσμων οφειλών και στην παράταση της προθεσμίας καταβολής βεβαιωμένων οφειλών και δόσεων ρυθμίσεων</w:t>
      </w:r>
      <w:r w:rsidR="00664F4F">
        <w:rPr>
          <w:color w:val="auto"/>
        </w:rPr>
        <w:t>.</w:t>
      </w:r>
    </w:p>
    <w:p w14:paraId="6FB3D434" w14:textId="656E2C29" w:rsidR="0097391A" w:rsidRDefault="0097391A" w:rsidP="0097391A">
      <w:pPr>
        <w:pStyle w:val="a1"/>
        <w:numPr>
          <w:ilvl w:val="1"/>
          <w:numId w:val="3"/>
        </w:numPr>
        <w:rPr>
          <w:color w:val="00B0F0"/>
          <w:sz w:val="28"/>
          <w:szCs w:val="28"/>
        </w:rPr>
      </w:pPr>
      <w:bookmarkStart w:id="143" w:name="_Toc89172840"/>
      <w:r w:rsidRPr="0097391A">
        <w:rPr>
          <w:color w:val="00B0F0"/>
          <w:sz w:val="28"/>
          <w:szCs w:val="28"/>
        </w:rPr>
        <w:t>Εγγυήσεις ελληνικού Δημοσίου</w:t>
      </w:r>
      <w:bookmarkEnd w:id="143"/>
    </w:p>
    <w:p w14:paraId="4171FE95" w14:textId="2E9C3483" w:rsidR="00B73748" w:rsidRDefault="00B73748" w:rsidP="00664F4F">
      <w:pPr>
        <w:spacing w:after="160"/>
        <w:rPr>
          <w:color w:val="auto"/>
        </w:rPr>
      </w:pPr>
      <w:r w:rsidRPr="00B73748">
        <w:rPr>
          <w:color w:val="auto"/>
        </w:rPr>
        <w:t>Το 2021 συνεχίστηκε η συρρίκνωση του ανεξόφλητου κεφαλαίου για δάνεια που είχαν παρασχεθεί σε φορείς εντός και εκτός Γενικής Κυβέρνησης (ΓΚ) με την εγγύηση του ελληνικού Δημοσίου (ΕΔ), με το συνολικό υπόλοιπο να συρρικνώνεται στα 8.916 εκατ. ευρώ το γ΄ τρίμηνο του έτους</w:t>
      </w:r>
      <w:r w:rsidRPr="00B73748">
        <w:rPr>
          <w:color w:val="767171" w:themeColor="background2" w:themeShade="80"/>
        </w:rPr>
        <w:t xml:space="preserve">. </w:t>
      </w:r>
      <w:r w:rsidRPr="00B73748">
        <w:rPr>
          <w:color w:val="auto"/>
        </w:rPr>
        <w:t xml:space="preserve">Θετική εξέλιξη αποτελεί η μείωση του ανεξόφλητου εγγυημένου υπολοίπου χωρίς να </w:t>
      </w:r>
      <w:r w:rsidR="004D2D3A">
        <w:rPr>
          <w:color w:val="auto"/>
        </w:rPr>
        <w:t>γίνουν</w:t>
      </w:r>
      <w:r w:rsidRPr="00B73748">
        <w:rPr>
          <w:color w:val="auto"/>
        </w:rPr>
        <w:t xml:space="preserve"> υψηλές πληρωμές για καταπτώσεις εγγυήσεων από το ΕΔ το εννεάμηνο, </w:t>
      </w:r>
      <w:r w:rsidR="004D2D3A">
        <w:rPr>
          <w:color w:val="auto"/>
        </w:rPr>
        <w:t>καθότι</w:t>
      </w:r>
      <w:r w:rsidRPr="00B73748">
        <w:rPr>
          <w:color w:val="auto"/>
        </w:rPr>
        <w:t xml:space="preserve"> περιορίστηκαν στα 80 εκατ. ευρώ</w:t>
      </w:r>
      <w:r w:rsidR="004D2D3A">
        <w:rPr>
          <w:color w:val="auto"/>
        </w:rPr>
        <w:t xml:space="preserve"> μόλις</w:t>
      </w:r>
      <w:r w:rsidRPr="00B73748">
        <w:rPr>
          <w:color w:val="auto"/>
          <w:vertAlign w:val="superscript"/>
        </w:rPr>
        <w:footnoteReference w:id="19"/>
      </w:r>
      <w:r w:rsidRPr="00B73748">
        <w:rPr>
          <w:color w:val="auto"/>
        </w:rPr>
        <w:t>. Την ίδια περίοδο ισχνή ήταν η παροχή νέων εγγυήσεων του ΕΔ για δανειοδότηση φορέων εντό</w:t>
      </w:r>
      <w:r w:rsidR="004D2D3A">
        <w:rPr>
          <w:color w:val="auto"/>
        </w:rPr>
        <w:t xml:space="preserve">ς και εκτός Γενικής Κυβέρνησης και </w:t>
      </w:r>
      <w:r w:rsidRPr="00B73748">
        <w:rPr>
          <w:color w:val="auto"/>
        </w:rPr>
        <w:t xml:space="preserve">περιορίστηκε στα 8,5 εκατ. </w:t>
      </w:r>
      <w:r w:rsidR="004D2D3A">
        <w:rPr>
          <w:color w:val="auto"/>
        </w:rPr>
        <w:t>ε</w:t>
      </w:r>
      <w:r w:rsidRPr="00B73748">
        <w:rPr>
          <w:color w:val="auto"/>
        </w:rPr>
        <w:t>υρώ</w:t>
      </w:r>
      <w:r w:rsidRPr="00B73748">
        <w:rPr>
          <w:color w:val="auto"/>
          <w:vertAlign w:val="superscript"/>
        </w:rPr>
        <w:footnoteReference w:id="20"/>
      </w:r>
      <w:r w:rsidRPr="00B73748">
        <w:rPr>
          <w:color w:val="auto"/>
        </w:rPr>
        <w:t>.</w:t>
      </w:r>
    </w:p>
    <w:p w14:paraId="75A9AB1C" w14:textId="77777777" w:rsidR="00B73748" w:rsidRPr="00B73748" w:rsidRDefault="00B73748" w:rsidP="00B73748">
      <w:pPr>
        <w:spacing w:after="160" w:line="259" w:lineRule="auto"/>
        <w:rPr>
          <w:color w:val="auto"/>
        </w:rPr>
      </w:pPr>
    </w:p>
    <w:p w14:paraId="4D40831A" w14:textId="365EFF46" w:rsidR="00B73748" w:rsidRPr="008A190C" w:rsidRDefault="00B73748" w:rsidP="00B73748">
      <w:pPr>
        <w:spacing w:after="160" w:line="259" w:lineRule="auto"/>
        <w:jc w:val="left"/>
        <w:rPr>
          <w:rFonts w:eastAsia="Calibri" w:cs="Calibri"/>
          <w:iCs/>
          <w:color w:val="00B0F0"/>
          <w:sz w:val="20"/>
          <w:szCs w:val="20"/>
        </w:rPr>
      </w:pPr>
      <w:bookmarkStart w:id="144" w:name="_Toc89172892"/>
      <w:r w:rsidRPr="00F87DDD">
        <w:rPr>
          <w:b/>
          <w:bCs/>
        </w:rPr>
        <w:t xml:space="preserve">Διάγραμμα </w:t>
      </w:r>
      <w:r w:rsidRPr="00F87DDD">
        <w:rPr>
          <w:b/>
          <w:bCs/>
        </w:rPr>
        <w:fldChar w:fldCharType="begin"/>
      </w:r>
      <w:r w:rsidRPr="00F87DDD">
        <w:rPr>
          <w:b/>
          <w:bCs/>
        </w:rPr>
        <w:instrText xml:space="preserve"> SEQ Διάγραμμα \* ARABIC </w:instrText>
      </w:r>
      <w:r w:rsidRPr="00F87DDD">
        <w:rPr>
          <w:b/>
          <w:bCs/>
        </w:rPr>
        <w:fldChar w:fldCharType="separate"/>
      </w:r>
      <w:r w:rsidR="0038196B">
        <w:rPr>
          <w:b/>
          <w:bCs/>
          <w:noProof/>
        </w:rPr>
        <w:t>30</w:t>
      </w:r>
      <w:r w:rsidRPr="00F87DDD">
        <w:rPr>
          <w:b/>
          <w:bCs/>
        </w:rPr>
        <w:fldChar w:fldCharType="end"/>
      </w:r>
      <w:r w:rsidRPr="00F87DDD">
        <w:rPr>
          <w:b/>
          <w:bCs/>
          <w:sz w:val="20"/>
          <w:szCs w:val="20"/>
        </w:rPr>
        <w:t>:</w:t>
      </w:r>
      <w:r w:rsidRPr="00F87DDD">
        <w:rPr>
          <w:b/>
          <w:sz w:val="20"/>
          <w:szCs w:val="20"/>
        </w:rPr>
        <w:t xml:space="preserve"> </w:t>
      </w:r>
      <w:r w:rsidRPr="008A190C">
        <w:rPr>
          <w:rFonts w:eastAsia="Calibri" w:cs="Calibri"/>
          <w:iCs/>
          <w:color w:val="00B0F0"/>
          <w:sz w:val="20"/>
          <w:szCs w:val="20"/>
        </w:rPr>
        <w:t>Ανεξόφλητο εγγυημένο υπόλοιπο, πληρωμές καταπτώσεων εγγυήσεων και παρεχόμενες νέες εγγυήσεις ελληνικού Δημοσίου (ΕΔ) 2009- γ΄Τρίμηνο 2021</w:t>
      </w:r>
      <w:bookmarkEnd w:id="144"/>
    </w:p>
    <w:p w14:paraId="3EF268A4" w14:textId="77777777" w:rsidR="00B73748" w:rsidRPr="00B73748" w:rsidRDefault="00B73748" w:rsidP="00664F4F">
      <w:pPr>
        <w:spacing w:after="0" w:line="259" w:lineRule="auto"/>
        <w:jc w:val="left"/>
        <w:rPr>
          <w:rFonts w:asciiTheme="minorHAnsi" w:hAnsiTheme="minorHAnsi"/>
          <w:noProof/>
          <w:color w:val="auto"/>
          <w:shd w:val="clear" w:color="auto" w:fill="00B0F0"/>
          <w:lang w:eastAsia="el-GR"/>
        </w:rPr>
      </w:pPr>
      <w:r w:rsidRPr="00B73748">
        <w:rPr>
          <w:rFonts w:asciiTheme="minorHAnsi" w:hAnsiTheme="minorHAnsi"/>
          <w:noProof/>
          <w:color w:val="auto"/>
          <w:shd w:val="clear" w:color="auto" w:fill="00B0F0"/>
          <w:lang w:eastAsia="el-GR"/>
        </w:rPr>
        <w:drawing>
          <wp:inline distT="0" distB="0" distL="0" distR="0" wp14:anchorId="121EB515" wp14:editId="7EB47597">
            <wp:extent cx="5121275" cy="3385457"/>
            <wp:effectExtent l="0" t="0" r="3175" b="5715"/>
            <wp:docPr id="35" name="Γράφημα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4A54081" w14:textId="77777777" w:rsidR="00B73748" w:rsidRPr="00B73748" w:rsidRDefault="00B73748" w:rsidP="00B73748">
      <w:pPr>
        <w:spacing w:after="160" w:line="259" w:lineRule="auto"/>
        <w:jc w:val="left"/>
        <w:rPr>
          <w:i/>
          <w:color w:val="auto"/>
          <w:sz w:val="16"/>
          <w:szCs w:val="16"/>
        </w:rPr>
      </w:pPr>
      <w:r w:rsidRPr="00B73748">
        <w:rPr>
          <w:b/>
          <w:sz w:val="16"/>
          <w:szCs w:val="16"/>
        </w:rPr>
        <w:t>Πηγή:</w:t>
      </w:r>
      <w:r w:rsidRPr="00B73748">
        <w:rPr>
          <w:b/>
          <w:i/>
          <w:color w:val="auto"/>
          <w:sz w:val="16"/>
          <w:szCs w:val="16"/>
        </w:rPr>
        <w:t xml:space="preserve">  </w:t>
      </w:r>
      <w:r w:rsidRPr="00B73748">
        <w:rPr>
          <w:color w:val="00B0F0"/>
          <w:sz w:val="16"/>
          <w:szCs w:val="16"/>
        </w:rPr>
        <w:t>ΥΠΟΙΚ - ΓΛΚ - Γενική Διεύθυνση Θησαυροφυλακίου &amp;  Δημόσιου Λογιστικού-Στοιχεία Σεπτεμβρίου 2021</w:t>
      </w:r>
    </w:p>
    <w:p w14:paraId="02A88868" w14:textId="61C5B6D4" w:rsidR="00B73748" w:rsidRPr="00B73748" w:rsidRDefault="00B73748" w:rsidP="00664F4F">
      <w:pPr>
        <w:spacing w:after="160"/>
        <w:rPr>
          <w:color w:val="auto"/>
        </w:rPr>
      </w:pPr>
      <w:r w:rsidRPr="00B73748">
        <w:rPr>
          <w:color w:val="auto"/>
        </w:rPr>
        <w:t xml:space="preserve">Τα χρόνια εφαρμογής των προγραμμάτων οικονομικής προσαρμογής, καταβλήθηκαν σημαντικές προσπάθειες προκειμένου να εξυγιανθεί το χαρτοφυλάκιο των </w:t>
      </w:r>
      <w:r w:rsidR="00664F4F">
        <w:rPr>
          <w:color w:val="auto"/>
        </w:rPr>
        <w:t>δανειακών κεφαλαίων</w:t>
      </w:r>
      <w:r w:rsidRPr="00B73748">
        <w:rPr>
          <w:color w:val="auto"/>
        </w:rPr>
        <w:t xml:space="preserve"> που αντλήθηκαν από του</w:t>
      </w:r>
      <w:r w:rsidR="00791466">
        <w:rPr>
          <w:color w:val="auto"/>
        </w:rPr>
        <w:t>ς</w:t>
      </w:r>
      <w:r w:rsidRPr="00B73748">
        <w:rPr>
          <w:color w:val="auto"/>
        </w:rPr>
        <w:t xml:space="preserve"> φορείς εντός και εκτός της ΓΚ, με την εγγύηση του ΕΔ. Το 2018, θεσμοθετήθηκαν αυστηρότερα κριτήρια</w:t>
      </w:r>
      <w:r w:rsidRPr="00B73748">
        <w:rPr>
          <w:rFonts w:asciiTheme="minorHAnsi" w:hAnsiTheme="minorHAnsi"/>
          <w:color w:val="auto"/>
          <w:vertAlign w:val="superscript"/>
        </w:rPr>
        <w:footnoteReference w:id="21"/>
      </w:r>
      <w:r w:rsidRPr="00B73748">
        <w:rPr>
          <w:color w:val="auto"/>
        </w:rPr>
        <w:t xml:space="preserve"> για την παροχή νέων </w:t>
      </w:r>
      <w:r w:rsidRPr="00B73748">
        <w:rPr>
          <w:color w:val="auto"/>
        </w:rPr>
        <w:lastRenderedPageBreak/>
        <w:t>εγγυήσεων από το ΕΔ, προκειμένου να αποφεύγεται η καταχρηστική ενεργοποίηση αυτού του εργαλείου δημοσιονομικής πολιτικής</w:t>
      </w:r>
      <w:r w:rsidRPr="00B73748">
        <w:rPr>
          <w:rFonts w:asciiTheme="minorHAnsi" w:hAnsiTheme="minorHAnsi"/>
          <w:color w:val="auto"/>
          <w:vertAlign w:val="superscript"/>
        </w:rPr>
        <w:footnoteReference w:id="22"/>
      </w:r>
      <w:r w:rsidRPr="00B73748">
        <w:rPr>
          <w:color w:val="auto"/>
        </w:rPr>
        <w:t xml:space="preserve">. Έκτοτε, η πολιτική παροχής εγγυήσεων από το ελληνικό </w:t>
      </w:r>
      <w:r w:rsidR="00791466">
        <w:rPr>
          <w:color w:val="auto"/>
        </w:rPr>
        <w:t>Δ</w:t>
      </w:r>
      <w:r w:rsidRPr="00B73748">
        <w:rPr>
          <w:color w:val="auto"/>
        </w:rPr>
        <w:t>ημόσιο διαφοροποιήθηκε σημαντικά σε σχέση με το παρελθόν, καθότι δύναται να παρέχεται μόνο για κεφάλαια που εκταμιεύονταν από την Ευρωπαϊκή Τράπεζα Επενδύσεων (ΕΤΕπ), προοριζόμενα αποκλειστικά για επενδυτικούς</w:t>
      </w:r>
      <w:r w:rsidRPr="00B73748">
        <w:rPr>
          <w:rFonts w:asciiTheme="minorHAnsi" w:hAnsiTheme="minorHAnsi"/>
          <w:color w:val="auto"/>
        </w:rPr>
        <w:t xml:space="preserve"> </w:t>
      </w:r>
      <w:r w:rsidRPr="00B73748">
        <w:rPr>
          <w:color w:val="auto"/>
        </w:rPr>
        <w:t xml:space="preserve">σκοπούς. Αποτέλεσμα αυτών των ενεργειών, σε συνδυασμό με τις πληρωμές που πραγματοποιήθηκαν από το ΕΔ από καταπτώσεις εγγυήσεων με επιβάρυνση του ΚΠ, ήταν να συρρικνωθεί σταδιακά το ανεξόφλητο υπόλοιπο κατά την τελευταία δεκαετία, και να προκύπτει μια σαφώς πιο ελεγχόμενη κατάσταση όσον αφορά την δημοσιονομική διαχείριση τους. </w:t>
      </w:r>
      <w:r w:rsidR="004D2D3A">
        <w:rPr>
          <w:color w:val="auto"/>
        </w:rPr>
        <w:t>Εφεξής</w:t>
      </w:r>
      <w:r w:rsidRPr="00B73748">
        <w:rPr>
          <w:color w:val="auto"/>
        </w:rPr>
        <w:t>, οι</w:t>
      </w:r>
      <w:r w:rsidR="004D2D3A">
        <w:rPr>
          <w:color w:val="auto"/>
        </w:rPr>
        <w:t xml:space="preserve"> σχετικές</w:t>
      </w:r>
      <w:r w:rsidRPr="00B73748">
        <w:rPr>
          <w:color w:val="auto"/>
        </w:rPr>
        <w:t xml:space="preserve"> προσπάθειες αυτές εστιάζουν στην </w:t>
      </w:r>
      <w:r w:rsidRPr="00791466">
        <w:rPr>
          <w:color w:val="auto"/>
        </w:rPr>
        <w:t xml:space="preserve">εκκαθάριση του υπολοίπου των παρεχόμενων κρατικών εγγυήσεων που αφορά </w:t>
      </w:r>
      <w:r w:rsidR="00664F4F" w:rsidRPr="00791466">
        <w:rPr>
          <w:color w:val="auto"/>
        </w:rPr>
        <w:t>σ</w:t>
      </w:r>
      <w:r w:rsidRPr="00791466">
        <w:rPr>
          <w:color w:val="auto"/>
        </w:rPr>
        <w:t xml:space="preserve">τις ιδιωτικές επιχειρήσεις και φυσικά πρόσωπα το οποίο ανέρχεται σε 3.158 εκατ. ευρώ </w:t>
      </w:r>
      <w:r w:rsidR="008A190C" w:rsidRPr="00791466">
        <w:rPr>
          <w:color w:val="auto"/>
        </w:rPr>
        <w:t>(</w:t>
      </w:r>
      <w:r w:rsidR="008A190C" w:rsidRPr="00791466">
        <w:rPr>
          <w:color w:val="auto"/>
        </w:rPr>
        <w:fldChar w:fldCharType="begin"/>
      </w:r>
      <w:r w:rsidR="008A190C" w:rsidRPr="00791466">
        <w:rPr>
          <w:color w:val="auto"/>
        </w:rPr>
        <w:instrText xml:space="preserve"> REF _Ref88232462 \h </w:instrText>
      </w:r>
      <w:r w:rsidR="00791466" w:rsidRPr="00791466">
        <w:rPr>
          <w:color w:val="auto"/>
        </w:rPr>
        <w:instrText xml:space="preserve"> \* MERGEFORMAT </w:instrText>
      </w:r>
      <w:r w:rsidR="008A190C" w:rsidRPr="00791466">
        <w:rPr>
          <w:color w:val="auto"/>
        </w:rPr>
      </w:r>
      <w:r w:rsidR="008A190C" w:rsidRPr="00791466">
        <w:rPr>
          <w:color w:val="auto"/>
        </w:rPr>
        <w:fldChar w:fldCharType="separate"/>
      </w:r>
      <w:r w:rsidR="0038196B" w:rsidRPr="0038196B">
        <w:rPr>
          <w:iCs/>
          <w:color w:val="auto"/>
        </w:rPr>
        <w:t xml:space="preserve">Πίνακας </w:t>
      </w:r>
      <w:r w:rsidR="0038196B" w:rsidRPr="0038196B">
        <w:rPr>
          <w:iCs/>
          <w:noProof/>
          <w:color w:val="auto"/>
        </w:rPr>
        <w:t>13</w:t>
      </w:r>
      <w:r w:rsidR="008A190C" w:rsidRPr="00791466">
        <w:rPr>
          <w:color w:val="auto"/>
        </w:rPr>
        <w:fldChar w:fldCharType="end"/>
      </w:r>
      <w:r w:rsidR="008A190C" w:rsidRPr="00791466">
        <w:rPr>
          <w:color w:val="auto"/>
        </w:rPr>
        <w:t>)</w:t>
      </w:r>
      <w:r w:rsidRPr="00791466">
        <w:rPr>
          <w:color w:val="auto"/>
        </w:rPr>
        <w:t xml:space="preserve"> Στο πλαίσιο αυτό,  υλοποιείται ήδη σχέδιο δράσης που περιλαμβάνει την χρήση ψηφιακών δυνατοτήτων </w:t>
      </w:r>
      <w:r w:rsidRPr="00B73748">
        <w:rPr>
          <w:color w:val="auto"/>
        </w:rPr>
        <w:t>για την ταχύτερη επεξεργασία και πληρωμή των αιτημάτων κατάπτωσης εγγύησης που υποβάλουν τα πιστωτικά ιδρύματα. Παράλληλα</w:t>
      </w:r>
      <w:r w:rsidR="00791466">
        <w:rPr>
          <w:color w:val="auto"/>
        </w:rPr>
        <w:t xml:space="preserve">, </w:t>
      </w:r>
      <w:r w:rsidRPr="00B73748">
        <w:rPr>
          <w:color w:val="auto"/>
        </w:rPr>
        <w:t xml:space="preserve">επιδιώκεται η ελαχιστοποίηση της δημοσιονομικής επιβάρυνσης καθόσον, η υποχρέωση αυτή εξακολουθεί να βαρύνει τον πιστούχο, παρά την πληρωμή του ποσού από το ΕΔ, </w:t>
      </w:r>
      <w:r w:rsidR="004D2D3A">
        <w:rPr>
          <w:color w:val="auto"/>
        </w:rPr>
        <w:t>μετά από την</w:t>
      </w:r>
      <w:r w:rsidRPr="00B73748">
        <w:rPr>
          <w:color w:val="auto"/>
        </w:rPr>
        <w:t xml:space="preserve"> κατάπτωση της εγγύησης. </w:t>
      </w:r>
      <w:bookmarkStart w:id="145" w:name="_Toc11843879"/>
    </w:p>
    <w:p w14:paraId="1685B4DB" w14:textId="350E9527" w:rsidR="00B73748" w:rsidRPr="00B73748" w:rsidRDefault="008A190C" w:rsidP="00B73748">
      <w:pPr>
        <w:spacing w:after="60" w:line="240" w:lineRule="auto"/>
        <w:rPr>
          <w:color w:val="auto"/>
        </w:rPr>
      </w:pPr>
      <w:bookmarkStart w:id="146" w:name="_Ref88232462"/>
      <w:bookmarkStart w:id="147" w:name="_Toc89172858"/>
      <w:r w:rsidRPr="00FD791B">
        <w:rPr>
          <w:b/>
          <w:iCs/>
          <w:color w:val="808080" w:themeColor="background1" w:themeShade="80"/>
          <w:sz w:val="20"/>
          <w:szCs w:val="20"/>
        </w:rPr>
        <w:t xml:space="preserve">Πίνακας </w:t>
      </w:r>
      <w:r w:rsidRPr="00FD791B">
        <w:rPr>
          <w:b/>
          <w:iCs/>
          <w:color w:val="808080" w:themeColor="background1" w:themeShade="80"/>
          <w:sz w:val="20"/>
          <w:szCs w:val="20"/>
        </w:rPr>
        <w:fldChar w:fldCharType="begin"/>
      </w:r>
      <w:r w:rsidRPr="00FD791B">
        <w:rPr>
          <w:b/>
          <w:iCs/>
          <w:color w:val="808080" w:themeColor="background1" w:themeShade="80"/>
          <w:sz w:val="20"/>
          <w:szCs w:val="20"/>
        </w:rPr>
        <w:instrText xml:space="preserve"> SEQ Πίνακας \* ARABIC </w:instrText>
      </w:r>
      <w:r w:rsidRPr="00FD791B">
        <w:rPr>
          <w:b/>
          <w:iCs/>
          <w:color w:val="808080" w:themeColor="background1" w:themeShade="80"/>
          <w:sz w:val="20"/>
          <w:szCs w:val="20"/>
        </w:rPr>
        <w:fldChar w:fldCharType="separate"/>
      </w:r>
      <w:r w:rsidR="0038196B">
        <w:rPr>
          <w:b/>
          <w:iCs/>
          <w:noProof/>
          <w:color w:val="808080" w:themeColor="background1" w:themeShade="80"/>
          <w:sz w:val="20"/>
          <w:szCs w:val="20"/>
        </w:rPr>
        <w:t>13</w:t>
      </w:r>
      <w:r w:rsidRPr="00FD791B">
        <w:rPr>
          <w:b/>
          <w:iCs/>
          <w:color w:val="808080" w:themeColor="background1" w:themeShade="80"/>
          <w:sz w:val="20"/>
          <w:szCs w:val="20"/>
        </w:rPr>
        <w:fldChar w:fldCharType="end"/>
      </w:r>
      <w:bookmarkEnd w:id="146"/>
      <w:r w:rsidRPr="00FD791B">
        <w:rPr>
          <w:b/>
          <w:iCs/>
          <w:color w:val="808080" w:themeColor="background1" w:themeShade="80"/>
          <w:sz w:val="20"/>
          <w:szCs w:val="20"/>
        </w:rPr>
        <w:t>:</w:t>
      </w:r>
      <w:r w:rsidRPr="00FD791B">
        <w:rPr>
          <w:b/>
          <w:iCs/>
          <w:color w:val="808080" w:themeColor="background1" w:themeShade="80"/>
        </w:rPr>
        <w:t xml:space="preserve"> </w:t>
      </w:r>
      <w:r w:rsidRPr="00FD791B">
        <w:rPr>
          <w:color w:val="00A3E0"/>
          <w:sz w:val="20"/>
          <w:szCs w:val="20"/>
        </w:rPr>
        <w:t xml:space="preserve">Ταμειακά </w:t>
      </w:r>
      <w:r w:rsidR="00B73748" w:rsidRPr="00B73748">
        <w:rPr>
          <w:color w:val="00A3E0"/>
          <w:sz w:val="20"/>
          <w:szCs w:val="20"/>
        </w:rPr>
        <w:t>Ανεξόφλητα εγγυημένα υπόλοιπα φορέων εντός και εκτός ΓΚ στις 30/09/20</w:t>
      </w:r>
      <w:bookmarkEnd w:id="145"/>
      <w:r w:rsidR="00B73748" w:rsidRPr="00B73748">
        <w:rPr>
          <w:color w:val="00A3E0"/>
          <w:sz w:val="20"/>
          <w:szCs w:val="20"/>
        </w:rPr>
        <w:t>21</w:t>
      </w:r>
      <w:bookmarkEnd w:id="147"/>
    </w:p>
    <w:tbl>
      <w:tblPr>
        <w:tblW w:w="8302" w:type="dxa"/>
        <w:tblInd w:w="-23" w:type="dxa"/>
        <w:tblCellMar>
          <w:left w:w="0" w:type="dxa"/>
          <w:right w:w="0" w:type="dxa"/>
        </w:tblCellMar>
        <w:tblLook w:val="04A0" w:firstRow="1" w:lastRow="0" w:firstColumn="1" w:lastColumn="0" w:noHBand="0" w:noVBand="1"/>
      </w:tblPr>
      <w:tblGrid>
        <w:gridCol w:w="2491"/>
        <w:gridCol w:w="1759"/>
        <w:gridCol w:w="3169"/>
        <w:gridCol w:w="883"/>
      </w:tblGrid>
      <w:tr w:rsidR="00B73748" w:rsidRPr="00B73748" w14:paraId="0C6CC3EC" w14:textId="77777777" w:rsidTr="00247B52">
        <w:trPr>
          <w:trHeight w:val="106"/>
        </w:trPr>
        <w:tc>
          <w:tcPr>
            <w:tcW w:w="4250" w:type="dxa"/>
            <w:gridSpan w:val="2"/>
            <w:tcBorders>
              <w:top w:val="single" w:sz="12" w:space="0" w:color="auto"/>
              <w:left w:val="nil"/>
              <w:bottom w:val="single" w:sz="12" w:space="0" w:color="auto"/>
              <w:right w:val="nil"/>
            </w:tcBorders>
            <w:shd w:val="clear" w:color="auto" w:fill="C1EFFF"/>
            <w:noWrap/>
            <w:tcMar>
              <w:top w:w="15" w:type="dxa"/>
              <w:left w:w="15" w:type="dxa"/>
              <w:bottom w:w="0" w:type="dxa"/>
              <w:right w:w="15" w:type="dxa"/>
            </w:tcMar>
            <w:vAlign w:val="bottom"/>
            <w:hideMark/>
          </w:tcPr>
          <w:p w14:paraId="2277FC72" w14:textId="77777777" w:rsidR="00B73748" w:rsidRPr="00B73748" w:rsidRDefault="00B73748" w:rsidP="00B73748">
            <w:pPr>
              <w:spacing w:after="0" w:line="240" w:lineRule="auto"/>
              <w:jc w:val="center"/>
              <w:rPr>
                <w:rFonts w:cs="Calibri"/>
                <w:b/>
                <w:bCs/>
                <w:color w:val="000000"/>
                <w:sz w:val="18"/>
                <w:szCs w:val="18"/>
              </w:rPr>
            </w:pPr>
            <w:r w:rsidRPr="00B73748">
              <w:rPr>
                <w:rFonts w:cs="Calibri"/>
                <w:b/>
                <w:bCs/>
                <w:color w:val="000000"/>
                <w:sz w:val="18"/>
                <w:szCs w:val="18"/>
              </w:rPr>
              <w:t>ΦΟΡΕΙΣ ΕΝΤΟΣ ΓΚ</w:t>
            </w:r>
          </w:p>
        </w:tc>
        <w:tc>
          <w:tcPr>
            <w:tcW w:w="4052" w:type="dxa"/>
            <w:gridSpan w:val="2"/>
            <w:tcBorders>
              <w:top w:val="single" w:sz="12" w:space="0" w:color="auto"/>
              <w:left w:val="nil"/>
              <w:bottom w:val="single" w:sz="12" w:space="0" w:color="auto"/>
              <w:right w:val="nil"/>
            </w:tcBorders>
            <w:shd w:val="clear" w:color="auto" w:fill="C1EFFF"/>
            <w:noWrap/>
            <w:tcMar>
              <w:top w:w="15" w:type="dxa"/>
              <w:left w:w="15" w:type="dxa"/>
              <w:bottom w:w="0" w:type="dxa"/>
              <w:right w:w="15" w:type="dxa"/>
            </w:tcMar>
            <w:vAlign w:val="bottom"/>
            <w:hideMark/>
          </w:tcPr>
          <w:p w14:paraId="701C6572" w14:textId="77777777" w:rsidR="00B73748" w:rsidRPr="00B73748" w:rsidRDefault="00B73748" w:rsidP="00B73748">
            <w:pPr>
              <w:spacing w:after="0" w:line="240" w:lineRule="auto"/>
              <w:jc w:val="center"/>
              <w:rPr>
                <w:rFonts w:cs="Calibri"/>
                <w:b/>
                <w:bCs/>
                <w:color w:val="000000"/>
                <w:sz w:val="18"/>
                <w:szCs w:val="18"/>
              </w:rPr>
            </w:pPr>
            <w:r w:rsidRPr="00B73748">
              <w:rPr>
                <w:rFonts w:cs="Calibri"/>
                <w:b/>
                <w:bCs/>
                <w:color w:val="000000"/>
                <w:sz w:val="18"/>
                <w:szCs w:val="18"/>
              </w:rPr>
              <w:t>ΦΟΡΕΙΣ ΕΚΤΟΣ ΓΚ</w:t>
            </w:r>
          </w:p>
        </w:tc>
      </w:tr>
      <w:tr w:rsidR="00B73748" w:rsidRPr="00B73748" w14:paraId="358F4C04" w14:textId="77777777" w:rsidTr="00247B52">
        <w:trPr>
          <w:trHeight w:val="100"/>
        </w:trPr>
        <w:tc>
          <w:tcPr>
            <w:tcW w:w="2491" w:type="dxa"/>
            <w:tcBorders>
              <w:top w:val="single" w:sz="12" w:space="0" w:color="auto"/>
              <w:left w:val="nil"/>
              <w:bottom w:val="nil"/>
              <w:right w:val="nil"/>
            </w:tcBorders>
            <w:noWrap/>
            <w:tcMar>
              <w:top w:w="15" w:type="dxa"/>
              <w:left w:w="15" w:type="dxa"/>
              <w:bottom w:w="0" w:type="dxa"/>
              <w:right w:w="15" w:type="dxa"/>
            </w:tcMar>
            <w:vAlign w:val="bottom"/>
            <w:hideMark/>
          </w:tcPr>
          <w:p w14:paraId="43A4F1CD" w14:textId="77777777" w:rsidR="00B73748" w:rsidRPr="00B73748" w:rsidRDefault="00B73748" w:rsidP="00B73748">
            <w:pPr>
              <w:spacing w:after="0" w:line="240" w:lineRule="auto"/>
              <w:jc w:val="left"/>
              <w:rPr>
                <w:rFonts w:cs="Times New Roman"/>
                <w:b/>
                <w:bCs/>
                <w:color w:val="000000"/>
                <w:sz w:val="18"/>
                <w:szCs w:val="18"/>
              </w:rPr>
            </w:pPr>
            <w:r w:rsidRPr="00B73748">
              <w:rPr>
                <w:b/>
                <w:bCs/>
                <w:color w:val="000000"/>
                <w:sz w:val="18"/>
                <w:szCs w:val="18"/>
              </w:rPr>
              <w:t>Κρατικές Επιχειρήσεις</w:t>
            </w:r>
          </w:p>
        </w:tc>
        <w:tc>
          <w:tcPr>
            <w:tcW w:w="1758" w:type="dxa"/>
            <w:tcBorders>
              <w:top w:val="single" w:sz="12" w:space="0" w:color="auto"/>
              <w:left w:val="nil"/>
              <w:bottom w:val="nil"/>
              <w:right w:val="nil"/>
            </w:tcBorders>
            <w:noWrap/>
            <w:tcMar>
              <w:top w:w="15" w:type="dxa"/>
              <w:left w:w="15" w:type="dxa"/>
              <w:bottom w:w="0" w:type="dxa"/>
              <w:right w:w="15" w:type="dxa"/>
            </w:tcMar>
            <w:vAlign w:val="bottom"/>
            <w:hideMark/>
          </w:tcPr>
          <w:p w14:paraId="29DD20BD" w14:textId="77777777" w:rsidR="00B73748" w:rsidRPr="00B73748" w:rsidRDefault="00B73748" w:rsidP="00B73748">
            <w:pPr>
              <w:spacing w:after="0" w:line="240" w:lineRule="auto"/>
              <w:jc w:val="right"/>
              <w:rPr>
                <w:b/>
                <w:bCs/>
                <w:color w:val="000000"/>
                <w:sz w:val="18"/>
                <w:szCs w:val="18"/>
              </w:rPr>
            </w:pPr>
            <w:r w:rsidRPr="00B73748">
              <w:rPr>
                <w:b/>
                <w:bCs/>
                <w:color w:val="000000"/>
                <w:sz w:val="18"/>
                <w:szCs w:val="18"/>
              </w:rPr>
              <w:t> </w:t>
            </w:r>
          </w:p>
        </w:tc>
        <w:tc>
          <w:tcPr>
            <w:tcW w:w="3169" w:type="dxa"/>
            <w:tcBorders>
              <w:top w:val="single" w:sz="12" w:space="0" w:color="auto"/>
              <w:left w:val="nil"/>
              <w:bottom w:val="nil"/>
              <w:right w:val="nil"/>
            </w:tcBorders>
            <w:noWrap/>
            <w:tcMar>
              <w:top w:w="15" w:type="dxa"/>
              <w:left w:w="15" w:type="dxa"/>
              <w:bottom w:w="0" w:type="dxa"/>
              <w:right w:w="15" w:type="dxa"/>
            </w:tcMar>
            <w:vAlign w:val="bottom"/>
            <w:hideMark/>
          </w:tcPr>
          <w:p w14:paraId="233DAF47" w14:textId="77777777" w:rsidR="00B73748" w:rsidRPr="00B73748" w:rsidRDefault="00B73748" w:rsidP="00B73748">
            <w:pPr>
              <w:spacing w:after="0" w:line="240" w:lineRule="auto"/>
              <w:ind w:firstLine="91"/>
              <w:jc w:val="left"/>
              <w:rPr>
                <w:b/>
                <w:bCs/>
                <w:color w:val="000000"/>
                <w:sz w:val="18"/>
                <w:szCs w:val="18"/>
              </w:rPr>
            </w:pPr>
            <w:r w:rsidRPr="00B73748">
              <w:rPr>
                <w:b/>
                <w:bCs/>
                <w:color w:val="000000"/>
                <w:sz w:val="18"/>
                <w:szCs w:val="18"/>
              </w:rPr>
              <w:t>Δημόσιες Επιχειρήσεις ( ΔΕΚΟ)</w:t>
            </w:r>
          </w:p>
        </w:tc>
        <w:tc>
          <w:tcPr>
            <w:tcW w:w="883" w:type="dxa"/>
            <w:tcBorders>
              <w:top w:val="single" w:sz="12" w:space="0" w:color="auto"/>
              <w:left w:val="nil"/>
              <w:bottom w:val="nil"/>
              <w:right w:val="nil"/>
            </w:tcBorders>
            <w:shd w:val="clear" w:color="auto" w:fill="FFFFFF"/>
            <w:noWrap/>
            <w:tcMar>
              <w:top w:w="15" w:type="dxa"/>
              <w:left w:w="15" w:type="dxa"/>
              <w:bottom w:w="0" w:type="dxa"/>
              <w:right w:w="15" w:type="dxa"/>
            </w:tcMar>
            <w:vAlign w:val="bottom"/>
            <w:hideMark/>
          </w:tcPr>
          <w:p w14:paraId="107A0E9D" w14:textId="77777777" w:rsidR="00B73748" w:rsidRPr="00B73748" w:rsidRDefault="00B73748" w:rsidP="00B73748">
            <w:pPr>
              <w:spacing w:after="0" w:line="240" w:lineRule="auto"/>
              <w:jc w:val="right"/>
              <w:rPr>
                <w:b/>
                <w:bCs/>
                <w:color w:val="000000"/>
                <w:sz w:val="18"/>
                <w:szCs w:val="18"/>
              </w:rPr>
            </w:pPr>
            <w:r w:rsidRPr="00B73748">
              <w:rPr>
                <w:b/>
                <w:bCs/>
                <w:color w:val="000000"/>
                <w:sz w:val="18"/>
                <w:szCs w:val="18"/>
              </w:rPr>
              <w:t> </w:t>
            </w:r>
          </w:p>
        </w:tc>
      </w:tr>
      <w:tr w:rsidR="00B73748" w:rsidRPr="00B73748" w14:paraId="363C03E5" w14:textId="77777777" w:rsidTr="00247B52">
        <w:trPr>
          <w:trHeight w:val="100"/>
        </w:trPr>
        <w:tc>
          <w:tcPr>
            <w:tcW w:w="2491" w:type="dxa"/>
            <w:noWrap/>
            <w:tcMar>
              <w:top w:w="15" w:type="dxa"/>
              <w:left w:w="180" w:type="dxa"/>
              <w:bottom w:w="0" w:type="dxa"/>
              <w:right w:w="15" w:type="dxa"/>
            </w:tcMar>
            <w:vAlign w:val="bottom"/>
            <w:hideMark/>
          </w:tcPr>
          <w:p w14:paraId="55640B05" w14:textId="77777777" w:rsidR="00B73748" w:rsidRPr="00B73748" w:rsidRDefault="00B73748" w:rsidP="00B73748">
            <w:pPr>
              <w:spacing w:after="0" w:line="240" w:lineRule="auto"/>
              <w:ind w:firstLineChars="100" w:firstLine="180"/>
              <w:jc w:val="left"/>
              <w:rPr>
                <w:color w:val="000000"/>
                <w:sz w:val="18"/>
                <w:szCs w:val="18"/>
              </w:rPr>
            </w:pPr>
            <w:r w:rsidRPr="00B73748">
              <w:rPr>
                <w:color w:val="000000"/>
                <w:sz w:val="18"/>
                <w:szCs w:val="18"/>
              </w:rPr>
              <w:t>ΕΑΣ</w:t>
            </w:r>
          </w:p>
        </w:tc>
        <w:tc>
          <w:tcPr>
            <w:tcW w:w="1758" w:type="dxa"/>
            <w:noWrap/>
            <w:tcMar>
              <w:top w:w="15" w:type="dxa"/>
              <w:left w:w="15" w:type="dxa"/>
              <w:bottom w:w="0" w:type="dxa"/>
              <w:right w:w="15" w:type="dxa"/>
            </w:tcMar>
            <w:vAlign w:val="bottom"/>
            <w:hideMark/>
          </w:tcPr>
          <w:p w14:paraId="7A07A949" w14:textId="77777777" w:rsidR="00B73748" w:rsidRPr="00B73748" w:rsidRDefault="00B73748" w:rsidP="00B73748">
            <w:pPr>
              <w:spacing w:after="0" w:line="240" w:lineRule="auto"/>
              <w:jc w:val="right"/>
              <w:rPr>
                <w:color w:val="000000"/>
                <w:sz w:val="18"/>
                <w:szCs w:val="18"/>
              </w:rPr>
            </w:pPr>
            <w:r w:rsidRPr="00B73748">
              <w:rPr>
                <w:color w:val="000000"/>
                <w:sz w:val="18"/>
                <w:szCs w:val="18"/>
              </w:rPr>
              <w:t xml:space="preserve">106,59   </w:t>
            </w:r>
          </w:p>
        </w:tc>
        <w:tc>
          <w:tcPr>
            <w:tcW w:w="3169" w:type="dxa"/>
            <w:noWrap/>
            <w:tcMar>
              <w:top w:w="15" w:type="dxa"/>
              <w:left w:w="180" w:type="dxa"/>
              <w:bottom w:w="0" w:type="dxa"/>
              <w:right w:w="15" w:type="dxa"/>
            </w:tcMar>
            <w:vAlign w:val="bottom"/>
          </w:tcPr>
          <w:p w14:paraId="12F659FF" w14:textId="77777777" w:rsidR="00B73748" w:rsidRPr="00B73748" w:rsidRDefault="00B73748" w:rsidP="00B73748">
            <w:pPr>
              <w:spacing w:after="0" w:line="240" w:lineRule="auto"/>
              <w:ind w:left="-182" w:firstLineChars="191" w:firstLine="344"/>
              <w:jc w:val="left"/>
              <w:rPr>
                <w:color w:val="000000"/>
                <w:sz w:val="18"/>
                <w:szCs w:val="18"/>
              </w:rPr>
            </w:pPr>
          </w:p>
        </w:tc>
        <w:tc>
          <w:tcPr>
            <w:tcW w:w="883" w:type="dxa"/>
            <w:noWrap/>
            <w:tcMar>
              <w:top w:w="15" w:type="dxa"/>
              <w:left w:w="15" w:type="dxa"/>
              <w:bottom w:w="0" w:type="dxa"/>
              <w:right w:w="15" w:type="dxa"/>
            </w:tcMar>
            <w:vAlign w:val="bottom"/>
          </w:tcPr>
          <w:p w14:paraId="0FE74483" w14:textId="77777777" w:rsidR="00B73748" w:rsidRPr="00B73748" w:rsidRDefault="00B73748" w:rsidP="00B73748">
            <w:pPr>
              <w:spacing w:after="0" w:line="240" w:lineRule="auto"/>
              <w:jc w:val="right"/>
              <w:rPr>
                <w:color w:val="000000"/>
                <w:sz w:val="18"/>
                <w:szCs w:val="18"/>
              </w:rPr>
            </w:pPr>
          </w:p>
        </w:tc>
      </w:tr>
      <w:tr w:rsidR="00B73748" w:rsidRPr="00B73748" w14:paraId="2096CD33" w14:textId="77777777" w:rsidTr="00247B52">
        <w:trPr>
          <w:trHeight w:val="100"/>
        </w:trPr>
        <w:tc>
          <w:tcPr>
            <w:tcW w:w="2491" w:type="dxa"/>
            <w:noWrap/>
            <w:tcMar>
              <w:top w:w="15" w:type="dxa"/>
              <w:left w:w="180" w:type="dxa"/>
              <w:bottom w:w="0" w:type="dxa"/>
              <w:right w:w="15" w:type="dxa"/>
            </w:tcMar>
            <w:vAlign w:val="bottom"/>
            <w:hideMark/>
          </w:tcPr>
          <w:p w14:paraId="376E4BC6" w14:textId="77777777" w:rsidR="00B73748" w:rsidRPr="00B73748" w:rsidRDefault="00B73748" w:rsidP="00B73748">
            <w:pPr>
              <w:spacing w:after="0" w:line="240" w:lineRule="auto"/>
              <w:ind w:firstLineChars="100" w:firstLine="180"/>
              <w:jc w:val="left"/>
              <w:rPr>
                <w:color w:val="000000"/>
                <w:sz w:val="18"/>
                <w:szCs w:val="18"/>
              </w:rPr>
            </w:pPr>
            <w:r w:rsidRPr="00B73748">
              <w:rPr>
                <w:color w:val="000000"/>
                <w:sz w:val="18"/>
                <w:szCs w:val="18"/>
              </w:rPr>
              <w:t>EAB</w:t>
            </w:r>
          </w:p>
        </w:tc>
        <w:tc>
          <w:tcPr>
            <w:tcW w:w="1758" w:type="dxa"/>
            <w:shd w:val="clear" w:color="auto" w:fill="FFFFFF" w:themeFill="background1"/>
            <w:noWrap/>
            <w:tcMar>
              <w:top w:w="15" w:type="dxa"/>
              <w:left w:w="15" w:type="dxa"/>
              <w:bottom w:w="0" w:type="dxa"/>
              <w:right w:w="15" w:type="dxa"/>
            </w:tcMar>
            <w:vAlign w:val="bottom"/>
            <w:hideMark/>
          </w:tcPr>
          <w:p w14:paraId="1D5DADC5" w14:textId="77777777" w:rsidR="00B73748" w:rsidRPr="00B73748" w:rsidRDefault="00B73748" w:rsidP="00B73748">
            <w:pPr>
              <w:spacing w:after="0" w:line="240" w:lineRule="auto"/>
              <w:jc w:val="right"/>
              <w:rPr>
                <w:color w:val="000000"/>
                <w:sz w:val="18"/>
                <w:szCs w:val="18"/>
              </w:rPr>
            </w:pPr>
            <w:r w:rsidRPr="00B73748">
              <w:rPr>
                <w:color w:val="000000"/>
                <w:sz w:val="18"/>
                <w:szCs w:val="18"/>
              </w:rPr>
              <w:t>00</w:t>
            </w:r>
          </w:p>
        </w:tc>
        <w:tc>
          <w:tcPr>
            <w:tcW w:w="3169" w:type="dxa"/>
            <w:noWrap/>
            <w:tcMar>
              <w:top w:w="15" w:type="dxa"/>
              <w:left w:w="180" w:type="dxa"/>
              <w:bottom w:w="0" w:type="dxa"/>
              <w:right w:w="15" w:type="dxa"/>
            </w:tcMar>
            <w:vAlign w:val="bottom"/>
            <w:hideMark/>
          </w:tcPr>
          <w:p w14:paraId="2DE012F1" w14:textId="77777777" w:rsidR="00B73748" w:rsidRPr="00B73748" w:rsidRDefault="00B73748" w:rsidP="00B73748">
            <w:pPr>
              <w:spacing w:after="0" w:line="240" w:lineRule="auto"/>
              <w:ind w:firstLineChars="100" w:firstLine="180"/>
              <w:jc w:val="left"/>
              <w:rPr>
                <w:color w:val="000000"/>
                <w:sz w:val="18"/>
                <w:szCs w:val="18"/>
              </w:rPr>
            </w:pPr>
            <w:r w:rsidRPr="00B73748">
              <w:rPr>
                <w:color w:val="000000"/>
                <w:sz w:val="18"/>
                <w:szCs w:val="18"/>
              </w:rPr>
              <w:t>ΔΙΕΘΝΗΣ ΑΕΡΟΛΙΜΕΝΑΣ</w:t>
            </w:r>
          </w:p>
        </w:tc>
        <w:tc>
          <w:tcPr>
            <w:tcW w:w="883" w:type="dxa"/>
            <w:noWrap/>
            <w:tcMar>
              <w:top w:w="15" w:type="dxa"/>
              <w:left w:w="15" w:type="dxa"/>
              <w:bottom w:w="0" w:type="dxa"/>
              <w:right w:w="15" w:type="dxa"/>
            </w:tcMar>
            <w:vAlign w:val="bottom"/>
            <w:hideMark/>
          </w:tcPr>
          <w:p w14:paraId="0843801F" w14:textId="77777777" w:rsidR="00B73748" w:rsidRPr="00B73748" w:rsidRDefault="00B73748" w:rsidP="00B73748">
            <w:pPr>
              <w:spacing w:after="0" w:line="240" w:lineRule="auto"/>
              <w:jc w:val="right"/>
              <w:rPr>
                <w:color w:val="000000"/>
                <w:sz w:val="18"/>
                <w:szCs w:val="18"/>
              </w:rPr>
            </w:pPr>
            <w:r w:rsidRPr="00B73748">
              <w:rPr>
                <w:color w:val="000000"/>
                <w:sz w:val="18"/>
                <w:szCs w:val="18"/>
              </w:rPr>
              <w:t xml:space="preserve">90,91   </w:t>
            </w:r>
          </w:p>
        </w:tc>
      </w:tr>
      <w:tr w:rsidR="00B73748" w:rsidRPr="00B73748" w14:paraId="101F2863" w14:textId="77777777" w:rsidTr="00247B52">
        <w:trPr>
          <w:trHeight w:val="100"/>
        </w:trPr>
        <w:tc>
          <w:tcPr>
            <w:tcW w:w="2491" w:type="dxa"/>
            <w:noWrap/>
            <w:tcMar>
              <w:top w:w="15" w:type="dxa"/>
              <w:left w:w="180" w:type="dxa"/>
              <w:bottom w:w="0" w:type="dxa"/>
              <w:right w:w="15" w:type="dxa"/>
            </w:tcMar>
            <w:vAlign w:val="bottom"/>
            <w:hideMark/>
          </w:tcPr>
          <w:p w14:paraId="544AF03F" w14:textId="77777777" w:rsidR="00B73748" w:rsidRPr="00B73748" w:rsidRDefault="00B73748" w:rsidP="00B73748">
            <w:pPr>
              <w:spacing w:after="0" w:line="240" w:lineRule="auto"/>
              <w:ind w:firstLineChars="100" w:firstLine="180"/>
              <w:jc w:val="left"/>
              <w:rPr>
                <w:color w:val="000000"/>
                <w:sz w:val="18"/>
                <w:szCs w:val="18"/>
              </w:rPr>
            </w:pPr>
            <w:r w:rsidRPr="00B73748">
              <w:rPr>
                <w:color w:val="000000"/>
                <w:sz w:val="18"/>
                <w:szCs w:val="18"/>
              </w:rPr>
              <w:t>ΟΣΕ</w:t>
            </w:r>
          </w:p>
        </w:tc>
        <w:tc>
          <w:tcPr>
            <w:tcW w:w="1758" w:type="dxa"/>
            <w:noWrap/>
            <w:tcMar>
              <w:top w:w="15" w:type="dxa"/>
              <w:left w:w="15" w:type="dxa"/>
              <w:bottom w:w="0" w:type="dxa"/>
              <w:right w:w="15" w:type="dxa"/>
            </w:tcMar>
            <w:vAlign w:val="bottom"/>
            <w:hideMark/>
          </w:tcPr>
          <w:p w14:paraId="59EF8F1B" w14:textId="77777777" w:rsidR="00B73748" w:rsidRPr="00B73748" w:rsidRDefault="00B73748" w:rsidP="00B73748">
            <w:pPr>
              <w:spacing w:after="0" w:line="240" w:lineRule="auto"/>
              <w:jc w:val="right"/>
              <w:rPr>
                <w:color w:val="000000"/>
                <w:sz w:val="18"/>
                <w:szCs w:val="18"/>
              </w:rPr>
            </w:pPr>
            <w:r w:rsidRPr="00B73748">
              <w:rPr>
                <w:color w:val="000000"/>
                <w:sz w:val="18"/>
                <w:szCs w:val="18"/>
              </w:rPr>
              <w:t xml:space="preserve">800,49   </w:t>
            </w:r>
          </w:p>
        </w:tc>
        <w:tc>
          <w:tcPr>
            <w:tcW w:w="3169" w:type="dxa"/>
            <w:noWrap/>
            <w:tcMar>
              <w:top w:w="15" w:type="dxa"/>
              <w:left w:w="180" w:type="dxa"/>
              <w:bottom w:w="0" w:type="dxa"/>
              <w:right w:w="15" w:type="dxa"/>
            </w:tcMar>
            <w:vAlign w:val="bottom"/>
            <w:hideMark/>
          </w:tcPr>
          <w:p w14:paraId="5651E011" w14:textId="77777777" w:rsidR="00B73748" w:rsidRPr="00B73748" w:rsidRDefault="00B73748" w:rsidP="00B73748">
            <w:pPr>
              <w:spacing w:after="0" w:line="240" w:lineRule="auto"/>
              <w:ind w:firstLineChars="100" w:firstLine="180"/>
              <w:jc w:val="left"/>
              <w:rPr>
                <w:color w:val="000000"/>
                <w:sz w:val="18"/>
                <w:szCs w:val="18"/>
              </w:rPr>
            </w:pPr>
            <w:r w:rsidRPr="00B73748">
              <w:rPr>
                <w:color w:val="000000"/>
                <w:sz w:val="18"/>
                <w:szCs w:val="18"/>
              </w:rPr>
              <w:t>ΔΕΗ</w:t>
            </w:r>
          </w:p>
        </w:tc>
        <w:tc>
          <w:tcPr>
            <w:tcW w:w="883" w:type="dxa"/>
            <w:noWrap/>
            <w:tcMar>
              <w:top w:w="15" w:type="dxa"/>
              <w:left w:w="15" w:type="dxa"/>
              <w:bottom w:w="0" w:type="dxa"/>
              <w:right w:w="15" w:type="dxa"/>
            </w:tcMar>
            <w:vAlign w:val="bottom"/>
            <w:hideMark/>
          </w:tcPr>
          <w:p w14:paraId="1E0DBD2D" w14:textId="77777777" w:rsidR="00B73748" w:rsidRPr="00B73748" w:rsidRDefault="00B73748" w:rsidP="00B73748">
            <w:pPr>
              <w:spacing w:after="0" w:line="240" w:lineRule="auto"/>
              <w:jc w:val="right"/>
              <w:rPr>
                <w:color w:val="000000"/>
                <w:sz w:val="18"/>
                <w:szCs w:val="18"/>
              </w:rPr>
            </w:pPr>
            <w:r w:rsidRPr="00B73748">
              <w:rPr>
                <w:color w:val="000000"/>
                <w:sz w:val="18"/>
                <w:szCs w:val="18"/>
              </w:rPr>
              <w:t xml:space="preserve">1.749,01   </w:t>
            </w:r>
          </w:p>
        </w:tc>
      </w:tr>
      <w:tr w:rsidR="00B73748" w:rsidRPr="00B73748" w14:paraId="20920C6A" w14:textId="77777777" w:rsidTr="00247B52">
        <w:trPr>
          <w:trHeight w:val="100"/>
        </w:trPr>
        <w:tc>
          <w:tcPr>
            <w:tcW w:w="2491" w:type="dxa"/>
            <w:noWrap/>
            <w:tcMar>
              <w:top w:w="15" w:type="dxa"/>
              <w:left w:w="180" w:type="dxa"/>
              <w:bottom w:w="0" w:type="dxa"/>
              <w:right w:w="15" w:type="dxa"/>
            </w:tcMar>
            <w:vAlign w:val="bottom"/>
            <w:hideMark/>
          </w:tcPr>
          <w:p w14:paraId="165D2AEB" w14:textId="77777777" w:rsidR="00B73748" w:rsidRPr="00B73748" w:rsidRDefault="00B73748" w:rsidP="00B73748">
            <w:pPr>
              <w:spacing w:after="0" w:line="240" w:lineRule="auto"/>
              <w:ind w:firstLineChars="100" w:firstLine="180"/>
              <w:jc w:val="left"/>
              <w:rPr>
                <w:color w:val="000000"/>
                <w:sz w:val="18"/>
                <w:szCs w:val="18"/>
              </w:rPr>
            </w:pPr>
            <w:r w:rsidRPr="00B73748">
              <w:rPr>
                <w:color w:val="000000"/>
                <w:sz w:val="18"/>
                <w:szCs w:val="18"/>
              </w:rPr>
              <w:t>ΑΤΤΙΚΟ ΜΕΤΡΟ</w:t>
            </w:r>
          </w:p>
        </w:tc>
        <w:tc>
          <w:tcPr>
            <w:tcW w:w="1758" w:type="dxa"/>
            <w:noWrap/>
            <w:tcMar>
              <w:top w:w="15" w:type="dxa"/>
              <w:left w:w="15" w:type="dxa"/>
              <w:bottom w:w="0" w:type="dxa"/>
              <w:right w:w="15" w:type="dxa"/>
            </w:tcMar>
            <w:vAlign w:val="bottom"/>
            <w:hideMark/>
          </w:tcPr>
          <w:p w14:paraId="0F4441C1" w14:textId="77777777" w:rsidR="00B73748" w:rsidRPr="00B73748" w:rsidRDefault="00B73748" w:rsidP="00B73748">
            <w:pPr>
              <w:spacing w:after="0" w:line="240" w:lineRule="auto"/>
              <w:jc w:val="right"/>
              <w:rPr>
                <w:color w:val="000000"/>
                <w:sz w:val="18"/>
                <w:szCs w:val="18"/>
              </w:rPr>
            </w:pPr>
            <w:r w:rsidRPr="00B73748">
              <w:rPr>
                <w:color w:val="000000"/>
                <w:sz w:val="18"/>
                <w:szCs w:val="18"/>
              </w:rPr>
              <w:t xml:space="preserve">1.774,9   </w:t>
            </w:r>
          </w:p>
        </w:tc>
        <w:tc>
          <w:tcPr>
            <w:tcW w:w="3169" w:type="dxa"/>
            <w:noWrap/>
            <w:tcMar>
              <w:top w:w="15" w:type="dxa"/>
              <w:left w:w="180" w:type="dxa"/>
              <w:bottom w:w="0" w:type="dxa"/>
              <w:right w:w="15" w:type="dxa"/>
            </w:tcMar>
            <w:vAlign w:val="bottom"/>
            <w:hideMark/>
          </w:tcPr>
          <w:p w14:paraId="489B4E6C" w14:textId="77777777" w:rsidR="00B73748" w:rsidRPr="00B73748" w:rsidRDefault="00B73748" w:rsidP="00B73748">
            <w:pPr>
              <w:spacing w:after="0" w:line="240" w:lineRule="auto"/>
              <w:ind w:firstLineChars="100" w:firstLine="180"/>
              <w:jc w:val="left"/>
              <w:rPr>
                <w:color w:val="000000"/>
                <w:sz w:val="18"/>
                <w:szCs w:val="18"/>
              </w:rPr>
            </w:pPr>
            <w:r w:rsidRPr="00B73748">
              <w:rPr>
                <w:color w:val="000000"/>
                <w:sz w:val="18"/>
                <w:szCs w:val="18"/>
              </w:rPr>
              <w:t>ΑΔΜΗΕ</w:t>
            </w:r>
          </w:p>
        </w:tc>
        <w:tc>
          <w:tcPr>
            <w:tcW w:w="883" w:type="dxa"/>
            <w:noWrap/>
            <w:tcMar>
              <w:top w:w="15" w:type="dxa"/>
              <w:left w:w="15" w:type="dxa"/>
              <w:bottom w:w="0" w:type="dxa"/>
              <w:right w:w="15" w:type="dxa"/>
            </w:tcMar>
            <w:vAlign w:val="bottom"/>
            <w:hideMark/>
          </w:tcPr>
          <w:p w14:paraId="091C5FC0" w14:textId="77777777" w:rsidR="00B73748" w:rsidRPr="00B73748" w:rsidRDefault="00B73748" w:rsidP="00B73748">
            <w:pPr>
              <w:spacing w:after="0" w:line="240" w:lineRule="auto"/>
              <w:jc w:val="right"/>
              <w:rPr>
                <w:color w:val="000000"/>
                <w:sz w:val="18"/>
                <w:szCs w:val="18"/>
              </w:rPr>
            </w:pPr>
            <w:r w:rsidRPr="00B73748">
              <w:rPr>
                <w:color w:val="000000"/>
                <w:sz w:val="18"/>
                <w:szCs w:val="18"/>
              </w:rPr>
              <w:t xml:space="preserve">440,20   </w:t>
            </w:r>
          </w:p>
        </w:tc>
      </w:tr>
      <w:tr w:rsidR="00B73748" w:rsidRPr="00B73748" w14:paraId="7971827D" w14:textId="77777777" w:rsidTr="00247B52">
        <w:trPr>
          <w:trHeight w:val="100"/>
        </w:trPr>
        <w:tc>
          <w:tcPr>
            <w:tcW w:w="2491" w:type="dxa"/>
            <w:tcBorders>
              <w:top w:val="nil"/>
              <w:left w:val="nil"/>
              <w:bottom w:val="single" w:sz="12" w:space="0" w:color="auto"/>
              <w:right w:val="nil"/>
            </w:tcBorders>
            <w:noWrap/>
            <w:tcMar>
              <w:top w:w="15" w:type="dxa"/>
              <w:left w:w="180" w:type="dxa"/>
              <w:bottom w:w="0" w:type="dxa"/>
              <w:right w:w="15" w:type="dxa"/>
            </w:tcMar>
            <w:vAlign w:val="bottom"/>
            <w:hideMark/>
          </w:tcPr>
          <w:p w14:paraId="1DF2F2CF" w14:textId="77777777" w:rsidR="00B73748" w:rsidRPr="00B73748" w:rsidRDefault="00B73748" w:rsidP="00B73748">
            <w:pPr>
              <w:spacing w:after="0" w:line="240" w:lineRule="auto"/>
              <w:jc w:val="left"/>
              <w:rPr>
                <w:b/>
                <w:bCs/>
                <w:color w:val="000000"/>
                <w:sz w:val="18"/>
                <w:szCs w:val="18"/>
              </w:rPr>
            </w:pPr>
            <w:r w:rsidRPr="00B73748">
              <w:rPr>
                <w:b/>
                <w:bCs/>
                <w:color w:val="000000"/>
                <w:sz w:val="18"/>
                <w:szCs w:val="18"/>
              </w:rPr>
              <w:t xml:space="preserve">Υποσύνολο </w:t>
            </w:r>
          </w:p>
        </w:tc>
        <w:tc>
          <w:tcPr>
            <w:tcW w:w="1758" w:type="dxa"/>
            <w:tcBorders>
              <w:top w:val="nil"/>
              <w:left w:val="nil"/>
              <w:bottom w:val="single" w:sz="12" w:space="0" w:color="auto"/>
              <w:right w:val="nil"/>
            </w:tcBorders>
            <w:noWrap/>
            <w:tcMar>
              <w:top w:w="15" w:type="dxa"/>
              <w:left w:w="15" w:type="dxa"/>
              <w:bottom w:w="0" w:type="dxa"/>
              <w:right w:w="15" w:type="dxa"/>
            </w:tcMar>
            <w:vAlign w:val="bottom"/>
            <w:hideMark/>
          </w:tcPr>
          <w:p w14:paraId="0C59C0CD" w14:textId="77777777" w:rsidR="00B73748" w:rsidRPr="00B73748" w:rsidRDefault="00B73748" w:rsidP="00B73748">
            <w:pPr>
              <w:spacing w:after="0" w:line="240" w:lineRule="auto"/>
              <w:jc w:val="right"/>
              <w:rPr>
                <w:b/>
                <w:bCs/>
                <w:color w:val="000000"/>
                <w:sz w:val="18"/>
                <w:szCs w:val="18"/>
              </w:rPr>
            </w:pPr>
            <w:r w:rsidRPr="00B73748">
              <w:rPr>
                <w:b/>
                <w:bCs/>
                <w:color w:val="000000"/>
                <w:sz w:val="18"/>
                <w:szCs w:val="18"/>
              </w:rPr>
              <w:t xml:space="preserve">2.681,98   </w:t>
            </w:r>
          </w:p>
        </w:tc>
        <w:tc>
          <w:tcPr>
            <w:tcW w:w="3169" w:type="dxa"/>
            <w:noWrap/>
            <w:tcMar>
              <w:top w:w="15" w:type="dxa"/>
              <w:left w:w="180" w:type="dxa"/>
              <w:bottom w:w="0" w:type="dxa"/>
              <w:right w:w="15" w:type="dxa"/>
            </w:tcMar>
            <w:vAlign w:val="bottom"/>
            <w:hideMark/>
          </w:tcPr>
          <w:p w14:paraId="6A462487" w14:textId="77777777" w:rsidR="00B73748" w:rsidRPr="00B73748" w:rsidRDefault="00B73748" w:rsidP="00B73748">
            <w:pPr>
              <w:spacing w:after="0" w:line="240" w:lineRule="auto"/>
              <w:ind w:firstLineChars="100" w:firstLine="180"/>
              <w:jc w:val="left"/>
              <w:rPr>
                <w:color w:val="000000"/>
                <w:sz w:val="18"/>
                <w:szCs w:val="18"/>
              </w:rPr>
            </w:pPr>
            <w:r w:rsidRPr="00B73748">
              <w:rPr>
                <w:color w:val="000000"/>
                <w:sz w:val="18"/>
                <w:szCs w:val="18"/>
              </w:rPr>
              <w:t>ΔΕΣΦΑ</w:t>
            </w:r>
          </w:p>
        </w:tc>
        <w:tc>
          <w:tcPr>
            <w:tcW w:w="883" w:type="dxa"/>
            <w:noWrap/>
            <w:tcMar>
              <w:top w:w="15" w:type="dxa"/>
              <w:left w:w="15" w:type="dxa"/>
              <w:bottom w:w="0" w:type="dxa"/>
              <w:right w:w="15" w:type="dxa"/>
            </w:tcMar>
            <w:vAlign w:val="bottom"/>
            <w:hideMark/>
          </w:tcPr>
          <w:p w14:paraId="1FF447C1" w14:textId="77777777" w:rsidR="00B73748" w:rsidRPr="00B73748" w:rsidRDefault="00B73748" w:rsidP="00B73748">
            <w:pPr>
              <w:spacing w:after="0" w:line="240" w:lineRule="auto"/>
              <w:jc w:val="right"/>
              <w:rPr>
                <w:color w:val="000000"/>
                <w:sz w:val="18"/>
                <w:szCs w:val="18"/>
              </w:rPr>
            </w:pPr>
            <w:r w:rsidRPr="00B73748">
              <w:rPr>
                <w:color w:val="000000"/>
                <w:sz w:val="18"/>
                <w:szCs w:val="18"/>
              </w:rPr>
              <w:t xml:space="preserve">142,35   </w:t>
            </w:r>
          </w:p>
        </w:tc>
      </w:tr>
      <w:tr w:rsidR="00B73748" w:rsidRPr="00B73748" w14:paraId="19FE3628" w14:textId="77777777" w:rsidTr="00247B52">
        <w:trPr>
          <w:trHeight w:val="100"/>
        </w:trPr>
        <w:tc>
          <w:tcPr>
            <w:tcW w:w="2491" w:type="dxa"/>
            <w:tcBorders>
              <w:top w:val="single" w:sz="12" w:space="0" w:color="auto"/>
              <w:left w:val="nil"/>
              <w:bottom w:val="nil"/>
              <w:right w:val="nil"/>
            </w:tcBorders>
            <w:noWrap/>
            <w:tcMar>
              <w:top w:w="15" w:type="dxa"/>
              <w:left w:w="15" w:type="dxa"/>
              <w:bottom w:w="0" w:type="dxa"/>
              <w:right w:w="15" w:type="dxa"/>
            </w:tcMar>
            <w:vAlign w:val="bottom"/>
            <w:hideMark/>
          </w:tcPr>
          <w:p w14:paraId="12A7EB47" w14:textId="77777777" w:rsidR="00B73748" w:rsidRPr="00B73748" w:rsidRDefault="00B73748" w:rsidP="00B73748">
            <w:pPr>
              <w:spacing w:after="0" w:line="240" w:lineRule="auto"/>
              <w:jc w:val="left"/>
              <w:rPr>
                <w:b/>
                <w:bCs/>
                <w:color w:val="000000"/>
                <w:sz w:val="18"/>
                <w:szCs w:val="18"/>
              </w:rPr>
            </w:pPr>
            <w:r w:rsidRPr="00B73748">
              <w:rPr>
                <w:b/>
                <w:bCs/>
                <w:color w:val="000000"/>
                <w:sz w:val="18"/>
                <w:szCs w:val="18"/>
              </w:rPr>
              <w:t>Δημόσιοι Οργανισμοί</w:t>
            </w:r>
          </w:p>
        </w:tc>
        <w:tc>
          <w:tcPr>
            <w:tcW w:w="1758" w:type="dxa"/>
            <w:tcBorders>
              <w:top w:val="single" w:sz="12" w:space="0" w:color="auto"/>
              <w:left w:val="nil"/>
              <w:bottom w:val="nil"/>
              <w:right w:val="nil"/>
            </w:tcBorders>
            <w:noWrap/>
            <w:tcMar>
              <w:top w:w="15" w:type="dxa"/>
              <w:left w:w="15" w:type="dxa"/>
              <w:bottom w:w="0" w:type="dxa"/>
              <w:right w:w="15" w:type="dxa"/>
            </w:tcMar>
            <w:vAlign w:val="bottom"/>
            <w:hideMark/>
          </w:tcPr>
          <w:p w14:paraId="4EF9ABA1" w14:textId="77777777" w:rsidR="00B73748" w:rsidRPr="00B73748" w:rsidRDefault="00B73748" w:rsidP="00B73748">
            <w:pPr>
              <w:spacing w:after="0" w:line="240" w:lineRule="auto"/>
              <w:jc w:val="right"/>
              <w:rPr>
                <w:color w:val="000000"/>
                <w:sz w:val="18"/>
                <w:szCs w:val="18"/>
              </w:rPr>
            </w:pPr>
            <w:r w:rsidRPr="00B73748">
              <w:rPr>
                <w:color w:val="000000"/>
                <w:sz w:val="18"/>
                <w:szCs w:val="18"/>
              </w:rPr>
              <w:t> </w:t>
            </w:r>
          </w:p>
        </w:tc>
        <w:tc>
          <w:tcPr>
            <w:tcW w:w="3169" w:type="dxa"/>
            <w:noWrap/>
            <w:tcMar>
              <w:top w:w="15" w:type="dxa"/>
              <w:left w:w="180" w:type="dxa"/>
              <w:bottom w:w="0" w:type="dxa"/>
              <w:right w:w="15" w:type="dxa"/>
            </w:tcMar>
            <w:vAlign w:val="bottom"/>
            <w:hideMark/>
          </w:tcPr>
          <w:p w14:paraId="5B3A191A" w14:textId="77777777" w:rsidR="00B73748" w:rsidRPr="00B73748" w:rsidRDefault="00B73748" w:rsidP="00B73748">
            <w:pPr>
              <w:spacing w:after="0" w:line="240" w:lineRule="auto"/>
              <w:ind w:firstLineChars="100" w:firstLine="180"/>
              <w:jc w:val="left"/>
              <w:rPr>
                <w:color w:val="000000"/>
                <w:sz w:val="18"/>
                <w:szCs w:val="18"/>
              </w:rPr>
            </w:pPr>
            <w:r w:rsidRPr="00B73748">
              <w:rPr>
                <w:color w:val="000000"/>
                <w:sz w:val="18"/>
                <w:szCs w:val="18"/>
              </w:rPr>
              <w:t>ΔΕΗΑΝ</w:t>
            </w:r>
          </w:p>
        </w:tc>
        <w:tc>
          <w:tcPr>
            <w:tcW w:w="883" w:type="dxa"/>
            <w:noWrap/>
            <w:tcMar>
              <w:top w:w="15" w:type="dxa"/>
              <w:left w:w="15" w:type="dxa"/>
              <w:bottom w:w="0" w:type="dxa"/>
              <w:right w:w="15" w:type="dxa"/>
            </w:tcMar>
            <w:vAlign w:val="bottom"/>
            <w:hideMark/>
          </w:tcPr>
          <w:p w14:paraId="5EE1DD93" w14:textId="77777777" w:rsidR="00B73748" w:rsidRPr="00B73748" w:rsidRDefault="00B73748" w:rsidP="00B73748">
            <w:pPr>
              <w:spacing w:after="0" w:line="240" w:lineRule="auto"/>
              <w:jc w:val="right"/>
              <w:rPr>
                <w:color w:val="000000"/>
                <w:sz w:val="18"/>
                <w:szCs w:val="18"/>
              </w:rPr>
            </w:pPr>
            <w:r w:rsidRPr="00B73748">
              <w:rPr>
                <w:color w:val="000000"/>
                <w:sz w:val="18"/>
                <w:szCs w:val="18"/>
              </w:rPr>
              <w:t>85</w:t>
            </w:r>
          </w:p>
        </w:tc>
      </w:tr>
      <w:tr w:rsidR="00B73748" w:rsidRPr="00B73748" w14:paraId="00562688" w14:textId="77777777" w:rsidTr="00247B52">
        <w:trPr>
          <w:trHeight w:val="100"/>
        </w:trPr>
        <w:tc>
          <w:tcPr>
            <w:tcW w:w="2491" w:type="dxa"/>
            <w:noWrap/>
            <w:tcMar>
              <w:top w:w="15" w:type="dxa"/>
              <w:left w:w="180" w:type="dxa"/>
              <w:bottom w:w="0" w:type="dxa"/>
              <w:right w:w="15" w:type="dxa"/>
            </w:tcMar>
            <w:vAlign w:val="bottom"/>
            <w:hideMark/>
          </w:tcPr>
          <w:p w14:paraId="487069A2" w14:textId="77777777" w:rsidR="00B73748" w:rsidRPr="00B73748" w:rsidRDefault="00B73748" w:rsidP="00B73748">
            <w:pPr>
              <w:spacing w:after="0" w:line="240" w:lineRule="auto"/>
              <w:ind w:firstLineChars="100" w:firstLine="180"/>
              <w:jc w:val="left"/>
              <w:rPr>
                <w:color w:val="000000"/>
                <w:sz w:val="18"/>
                <w:szCs w:val="18"/>
              </w:rPr>
            </w:pPr>
            <w:r w:rsidRPr="00B73748">
              <w:rPr>
                <w:color w:val="000000"/>
                <w:sz w:val="18"/>
                <w:szCs w:val="18"/>
              </w:rPr>
              <w:t>ΕΘΝΙΚΗ ΒΙΒΛΙΟΘΗΚΗ</w:t>
            </w:r>
          </w:p>
        </w:tc>
        <w:tc>
          <w:tcPr>
            <w:tcW w:w="1758" w:type="dxa"/>
            <w:noWrap/>
            <w:tcMar>
              <w:top w:w="15" w:type="dxa"/>
              <w:left w:w="15" w:type="dxa"/>
              <w:bottom w:w="0" w:type="dxa"/>
              <w:right w:w="15" w:type="dxa"/>
            </w:tcMar>
            <w:vAlign w:val="bottom"/>
            <w:hideMark/>
          </w:tcPr>
          <w:p w14:paraId="1B91422C" w14:textId="77777777" w:rsidR="00B73748" w:rsidRPr="00B73748" w:rsidRDefault="00B73748" w:rsidP="00B73748">
            <w:pPr>
              <w:spacing w:after="0" w:line="240" w:lineRule="auto"/>
              <w:jc w:val="right"/>
              <w:rPr>
                <w:color w:val="000000"/>
                <w:sz w:val="18"/>
                <w:szCs w:val="18"/>
              </w:rPr>
            </w:pPr>
            <w:r w:rsidRPr="00B73748">
              <w:rPr>
                <w:color w:val="000000"/>
                <w:sz w:val="18"/>
                <w:szCs w:val="18"/>
              </w:rPr>
              <w:t xml:space="preserve">3,97   </w:t>
            </w:r>
          </w:p>
        </w:tc>
        <w:tc>
          <w:tcPr>
            <w:tcW w:w="3169" w:type="dxa"/>
            <w:noWrap/>
            <w:tcMar>
              <w:top w:w="15" w:type="dxa"/>
              <w:left w:w="180" w:type="dxa"/>
              <w:bottom w:w="0" w:type="dxa"/>
              <w:right w:w="15" w:type="dxa"/>
            </w:tcMar>
            <w:vAlign w:val="bottom"/>
          </w:tcPr>
          <w:p w14:paraId="2EA44F0D" w14:textId="77777777" w:rsidR="00B73748" w:rsidRPr="00B73748" w:rsidRDefault="00B73748" w:rsidP="00B73748">
            <w:pPr>
              <w:spacing w:after="0" w:line="240" w:lineRule="auto"/>
              <w:ind w:firstLineChars="100" w:firstLine="180"/>
              <w:jc w:val="left"/>
              <w:rPr>
                <w:color w:val="000000"/>
                <w:sz w:val="18"/>
                <w:szCs w:val="18"/>
              </w:rPr>
            </w:pPr>
          </w:p>
        </w:tc>
        <w:tc>
          <w:tcPr>
            <w:tcW w:w="883" w:type="dxa"/>
            <w:noWrap/>
            <w:tcMar>
              <w:top w:w="15" w:type="dxa"/>
              <w:left w:w="15" w:type="dxa"/>
              <w:bottom w:w="0" w:type="dxa"/>
              <w:right w:w="15" w:type="dxa"/>
            </w:tcMar>
            <w:vAlign w:val="bottom"/>
          </w:tcPr>
          <w:p w14:paraId="707980FC" w14:textId="77777777" w:rsidR="00B73748" w:rsidRPr="00B73748" w:rsidRDefault="00B73748" w:rsidP="00B73748">
            <w:pPr>
              <w:spacing w:after="0" w:line="240" w:lineRule="auto"/>
              <w:jc w:val="right"/>
              <w:rPr>
                <w:color w:val="000000"/>
                <w:sz w:val="18"/>
                <w:szCs w:val="18"/>
              </w:rPr>
            </w:pPr>
          </w:p>
        </w:tc>
      </w:tr>
      <w:tr w:rsidR="00B73748" w:rsidRPr="00B73748" w14:paraId="2E72A0E3" w14:textId="77777777" w:rsidTr="00247B52">
        <w:trPr>
          <w:trHeight w:val="100"/>
        </w:trPr>
        <w:tc>
          <w:tcPr>
            <w:tcW w:w="2491" w:type="dxa"/>
            <w:noWrap/>
            <w:tcMar>
              <w:top w:w="15" w:type="dxa"/>
              <w:left w:w="180" w:type="dxa"/>
              <w:bottom w:w="0" w:type="dxa"/>
              <w:right w:w="15" w:type="dxa"/>
            </w:tcMar>
            <w:vAlign w:val="bottom"/>
            <w:hideMark/>
          </w:tcPr>
          <w:p w14:paraId="0410E0F0" w14:textId="77777777" w:rsidR="00B73748" w:rsidRPr="00B73748" w:rsidRDefault="00B73748" w:rsidP="00B73748">
            <w:pPr>
              <w:spacing w:after="0" w:line="240" w:lineRule="auto"/>
              <w:ind w:firstLineChars="100" w:firstLine="180"/>
              <w:jc w:val="left"/>
              <w:rPr>
                <w:color w:val="000000"/>
                <w:sz w:val="18"/>
                <w:szCs w:val="18"/>
              </w:rPr>
            </w:pPr>
            <w:r w:rsidRPr="00B73748">
              <w:rPr>
                <w:color w:val="000000"/>
                <w:sz w:val="18"/>
                <w:szCs w:val="18"/>
              </w:rPr>
              <w:t>ΕΤΑΔ</w:t>
            </w:r>
          </w:p>
        </w:tc>
        <w:tc>
          <w:tcPr>
            <w:tcW w:w="1758" w:type="dxa"/>
            <w:noWrap/>
            <w:tcMar>
              <w:top w:w="15" w:type="dxa"/>
              <w:left w:w="15" w:type="dxa"/>
              <w:bottom w:w="0" w:type="dxa"/>
              <w:right w:w="15" w:type="dxa"/>
            </w:tcMar>
            <w:vAlign w:val="bottom"/>
            <w:hideMark/>
          </w:tcPr>
          <w:p w14:paraId="16920D24" w14:textId="77777777" w:rsidR="00B73748" w:rsidRPr="00B73748" w:rsidRDefault="00B73748" w:rsidP="00B73748">
            <w:pPr>
              <w:spacing w:after="0" w:line="240" w:lineRule="auto"/>
              <w:jc w:val="right"/>
              <w:rPr>
                <w:color w:val="000000"/>
                <w:sz w:val="18"/>
                <w:szCs w:val="18"/>
              </w:rPr>
            </w:pPr>
            <w:r w:rsidRPr="00B73748">
              <w:rPr>
                <w:color w:val="000000"/>
                <w:sz w:val="18"/>
                <w:szCs w:val="18"/>
              </w:rPr>
              <w:t xml:space="preserve">48,76   </w:t>
            </w:r>
          </w:p>
        </w:tc>
        <w:tc>
          <w:tcPr>
            <w:tcW w:w="3169" w:type="dxa"/>
            <w:tcBorders>
              <w:top w:val="nil"/>
              <w:left w:val="nil"/>
              <w:bottom w:val="single" w:sz="12" w:space="0" w:color="auto"/>
              <w:right w:val="nil"/>
            </w:tcBorders>
            <w:noWrap/>
            <w:tcMar>
              <w:top w:w="15" w:type="dxa"/>
              <w:left w:w="180" w:type="dxa"/>
              <w:bottom w:w="0" w:type="dxa"/>
              <w:right w:w="15" w:type="dxa"/>
            </w:tcMar>
            <w:vAlign w:val="bottom"/>
            <w:hideMark/>
          </w:tcPr>
          <w:p w14:paraId="7C0ED788" w14:textId="77777777" w:rsidR="00B73748" w:rsidRPr="00B73748" w:rsidRDefault="00B73748" w:rsidP="00B73748">
            <w:pPr>
              <w:spacing w:after="0" w:line="240" w:lineRule="auto"/>
              <w:jc w:val="left"/>
              <w:rPr>
                <w:b/>
                <w:bCs/>
                <w:color w:val="000000"/>
                <w:sz w:val="18"/>
                <w:szCs w:val="18"/>
              </w:rPr>
            </w:pPr>
            <w:r w:rsidRPr="00B73748">
              <w:rPr>
                <w:b/>
                <w:bCs/>
                <w:color w:val="000000"/>
                <w:sz w:val="18"/>
                <w:szCs w:val="18"/>
              </w:rPr>
              <w:t xml:space="preserve">Υποσύνολο </w:t>
            </w:r>
          </w:p>
        </w:tc>
        <w:tc>
          <w:tcPr>
            <w:tcW w:w="883" w:type="dxa"/>
            <w:tcBorders>
              <w:top w:val="nil"/>
              <w:left w:val="nil"/>
              <w:bottom w:val="single" w:sz="12" w:space="0" w:color="auto"/>
              <w:right w:val="nil"/>
            </w:tcBorders>
            <w:noWrap/>
            <w:tcMar>
              <w:top w:w="15" w:type="dxa"/>
              <w:left w:w="15" w:type="dxa"/>
              <w:bottom w:w="0" w:type="dxa"/>
              <w:right w:w="15" w:type="dxa"/>
            </w:tcMar>
            <w:vAlign w:val="bottom"/>
            <w:hideMark/>
          </w:tcPr>
          <w:p w14:paraId="606F71EE" w14:textId="77777777" w:rsidR="00B73748" w:rsidRPr="00B73748" w:rsidRDefault="00B73748" w:rsidP="00B73748">
            <w:pPr>
              <w:spacing w:after="0" w:line="240" w:lineRule="auto"/>
              <w:jc w:val="right"/>
              <w:rPr>
                <w:b/>
                <w:bCs/>
                <w:color w:val="000000"/>
                <w:sz w:val="18"/>
                <w:szCs w:val="18"/>
              </w:rPr>
            </w:pPr>
            <w:r w:rsidRPr="00B73748">
              <w:rPr>
                <w:b/>
                <w:bCs/>
                <w:color w:val="000000"/>
                <w:sz w:val="18"/>
                <w:szCs w:val="18"/>
              </w:rPr>
              <w:t xml:space="preserve">2.507,47   </w:t>
            </w:r>
          </w:p>
        </w:tc>
      </w:tr>
      <w:tr w:rsidR="00B73748" w:rsidRPr="00B73748" w14:paraId="10D3CBB9" w14:textId="77777777" w:rsidTr="00247B52">
        <w:trPr>
          <w:trHeight w:val="175"/>
        </w:trPr>
        <w:tc>
          <w:tcPr>
            <w:tcW w:w="2491" w:type="dxa"/>
            <w:noWrap/>
            <w:tcMar>
              <w:top w:w="15" w:type="dxa"/>
              <w:left w:w="180" w:type="dxa"/>
              <w:bottom w:w="0" w:type="dxa"/>
              <w:right w:w="15" w:type="dxa"/>
            </w:tcMar>
            <w:vAlign w:val="bottom"/>
            <w:hideMark/>
          </w:tcPr>
          <w:p w14:paraId="7E92EDBE" w14:textId="77777777" w:rsidR="00B73748" w:rsidRPr="00B73748" w:rsidRDefault="00B73748" w:rsidP="00B73748">
            <w:pPr>
              <w:spacing w:after="0" w:line="240" w:lineRule="auto"/>
              <w:ind w:firstLineChars="100" w:firstLine="180"/>
              <w:jc w:val="left"/>
              <w:rPr>
                <w:color w:val="000000"/>
                <w:sz w:val="18"/>
                <w:szCs w:val="18"/>
              </w:rPr>
            </w:pPr>
            <w:r w:rsidRPr="00B73748">
              <w:rPr>
                <w:color w:val="000000"/>
                <w:sz w:val="18"/>
                <w:szCs w:val="18"/>
              </w:rPr>
              <w:t>KTYP  (OSK)</w:t>
            </w:r>
          </w:p>
        </w:tc>
        <w:tc>
          <w:tcPr>
            <w:tcW w:w="1758" w:type="dxa"/>
            <w:noWrap/>
            <w:tcMar>
              <w:top w:w="15" w:type="dxa"/>
              <w:left w:w="15" w:type="dxa"/>
              <w:bottom w:w="0" w:type="dxa"/>
              <w:right w:w="15" w:type="dxa"/>
            </w:tcMar>
            <w:vAlign w:val="bottom"/>
            <w:hideMark/>
          </w:tcPr>
          <w:p w14:paraId="65B78496" w14:textId="77777777" w:rsidR="00B73748" w:rsidRPr="00B73748" w:rsidRDefault="00B73748" w:rsidP="00B73748">
            <w:pPr>
              <w:spacing w:after="0" w:line="240" w:lineRule="auto"/>
              <w:jc w:val="right"/>
              <w:rPr>
                <w:color w:val="000000"/>
                <w:sz w:val="18"/>
                <w:szCs w:val="18"/>
              </w:rPr>
            </w:pPr>
            <w:r w:rsidRPr="00B73748">
              <w:rPr>
                <w:color w:val="000000"/>
                <w:sz w:val="18"/>
                <w:szCs w:val="18"/>
              </w:rPr>
              <w:t>302,52</w:t>
            </w:r>
          </w:p>
        </w:tc>
        <w:tc>
          <w:tcPr>
            <w:tcW w:w="3169" w:type="dxa"/>
            <w:tcBorders>
              <w:top w:val="single" w:sz="12" w:space="0" w:color="auto"/>
              <w:left w:val="nil"/>
              <w:bottom w:val="nil"/>
              <w:right w:val="nil"/>
            </w:tcBorders>
            <w:tcMar>
              <w:top w:w="15" w:type="dxa"/>
              <w:left w:w="15" w:type="dxa"/>
              <w:bottom w:w="0" w:type="dxa"/>
              <w:right w:w="15" w:type="dxa"/>
            </w:tcMar>
            <w:vAlign w:val="center"/>
            <w:hideMark/>
          </w:tcPr>
          <w:p w14:paraId="4C66645B" w14:textId="77777777" w:rsidR="00B73748" w:rsidRPr="00B73748" w:rsidRDefault="00B73748" w:rsidP="00B73748">
            <w:pPr>
              <w:spacing w:after="0" w:line="240" w:lineRule="auto"/>
              <w:ind w:left="375" w:hanging="284"/>
              <w:jc w:val="left"/>
              <w:rPr>
                <w:b/>
                <w:bCs/>
                <w:color w:val="000000"/>
                <w:sz w:val="18"/>
                <w:szCs w:val="18"/>
              </w:rPr>
            </w:pPr>
            <w:r w:rsidRPr="00B73748">
              <w:rPr>
                <w:b/>
                <w:bCs/>
                <w:color w:val="000000"/>
                <w:sz w:val="18"/>
                <w:szCs w:val="18"/>
              </w:rPr>
              <w:t>Εγγυήσεις Φυσικών Προσώπων &amp; Επιχειρήσεων</w:t>
            </w:r>
          </w:p>
        </w:tc>
        <w:tc>
          <w:tcPr>
            <w:tcW w:w="883" w:type="dxa"/>
            <w:tcBorders>
              <w:top w:val="single" w:sz="12" w:space="0" w:color="auto"/>
              <w:left w:val="nil"/>
              <w:bottom w:val="nil"/>
              <w:right w:val="nil"/>
            </w:tcBorders>
            <w:noWrap/>
            <w:tcMar>
              <w:top w:w="15" w:type="dxa"/>
              <w:left w:w="15" w:type="dxa"/>
              <w:bottom w:w="0" w:type="dxa"/>
              <w:right w:w="15" w:type="dxa"/>
            </w:tcMar>
            <w:vAlign w:val="bottom"/>
            <w:hideMark/>
          </w:tcPr>
          <w:p w14:paraId="0F24C630" w14:textId="77777777" w:rsidR="00B73748" w:rsidRPr="00B73748" w:rsidRDefault="00B73748" w:rsidP="00B73748">
            <w:pPr>
              <w:spacing w:after="0" w:line="240" w:lineRule="auto"/>
              <w:jc w:val="right"/>
              <w:rPr>
                <w:color w:val="000000"/>
                <w:sz w:val="18"/>
                <w:szCs w:val="18"/>
              </w:rPr>
            </w:pPr>
            <w:r w:rsidRPr="00B73748">
              <w:rPr>
                <w:color w:val="000000"/>
                <w:sz w:val="18"/>
                <w:szCs w:val="18"/>
              </w:rPr>
              <w:t> </w:t>
            </w:r>
          </w:p>
        </w:tc>
      </w:tr>
      <w:tr w:rsidR="00B73748" w:rsidRPr="00B73748" w14:paraId="1F0D0FA0" w14:textId="77777777" w:rsidTr="00247B52">
        <w:trPr>
          <w:trHeight w:val="100"/>
        </w:trPr>
        <w:tc>
          <w:tcPr>
            <w:tcW w:w="2491" w:type="dxa"/>
            <w:noWrap/>
            <w:tcMar>
              <w:top w:w="15" w:type="dxa"/>
              <w:left w:w="180" w:type="dxa"/>
              <w:bottom w:w="0" w:type="dxa"/>
              <w:right w:w="15" w:type="dxa"/>
            </w:tcMar>
            <w:vAlign w:val="bottom"/>
            <w:hideMark/>
          </w:tcPr>
          <w:p w14:paraId="283B3919" w14:textId="77777777" w:rsidR="00B73748" w:rsidRPr="00B73748" w:rsidRDefault="00B73748" w:rsidP="00B73748">
            <w:pPr>
              <w:spacing w:after="0" w:line="240" w:lineRule="auto"/>
              <w:ind w:firstLineChars="100" w:firstLine="180"/>
              <w:jc w:val="left"/>
              <w:rPr>
                <w:color w:val="000000"/>
                <w:sz w:val="18"/>
                <w:szCs w:val="18"/>
              </w:rPr>
            </w:pPr>
            <w:r w:rsidRPr="00B73748">
              <w:rPr>
                <w:color w:val="000000"/>
                <w:sz w:val="18"/>
                <w:szCs w:val="18"/>
              </w:rPr>
              <w:t>ΤΠ&amp;Δ</w:t>
            </w:r>
          </w:p>
        </w:tc>
        <w:tc>
          <w:tcPr>
            <w:tcW w:w="1758" w:type="dxa"/>
            <w:noWrap/>
            <w:tcMar>
              <w:top w:w="15" w:type="dxa"/>
              <w:left w:w="15" w:type="dxa"/>
              <w:bottom w:w="0" w:type="dxa"/>
              <w:right w:w="15" w:type="dxa"/>
            </w:tcMar>
            <w:vAlign w:val="bottom"/>
            <w:hideMark/>
          </w:tcPr>
          <w:p w14:paraId="030A331A" w14:textId="77777777" w:rsidR="00B73748" w:rsidRPr="00B73748" w:rsidRDefault="00B73748" w:rsidP="00B73748">
            <w:pPr>
              <w:spacing w:after="0" w:line="240" w:lineRule="auto"/>
              <w:jc w:val="right"/>
              <w:rPr>
                <w:color w:val="000000"/>
                <w:sz w:val="18"/>
                <w:szCs w:val="18"/>
              </w:rPr>
            </w:pPr>
            <w:r w:rsidRPr="00B73748">
              <w:rPr>
                <w:color w:val="000000"/>
                <w:sz w:val="18"/>
                <w:szCs w:val="18"/>
              </w:rPr>
              <w:t xml:space="preserve">93,98   </w:t>
            </w:r>
          </w:p>
        </w:tc>
        <w:tc>
          <w:tcPr>
            <w:tcW w:w="3169" w:type="dxa"/>
            <w:tcMar>
              <w:top w:w="15" w:type="dxa"/>
              <w:left w:w="180" w:type="dxa"/>
              <w:bottom w:w="0" w:type="dxa"/>
              <w:right w:w="15" w:type="dxa"/>
            </w:tcMar>
            <w:vAlign w:val="bottom"/>
            <w:hideMark/>
          </w:tcPr>
          <w:p w14:paraId="395716B5" w14:textId="77777777" w:rsidR="00B73748" w:rsidRPr="00B73748" w:rsidRDefault="00B73748" w:rsidP="00B73748">
            <w:pPr>
              <w:spacing w:after="0" w:line="240" w:lineRule="auto"/>
              <w:ind w:hanging="74"/>
              <w:jc w:val="left"/>
              <w:rPr>
                <w:color w:val="000000"/>
                <w:sz w:val="18"/>
                <w:szCs w:val="18"/>
              </w:rPr>
            </w:pPr>
            <w:r w:rsidRPr="00B73748">
              <w:rPr>
                <w:color w:val="000000"/>
                <w:sz w:val="18"/>
                <w:szCs w:val="18"/>
              </w:rPr>
              <w:t>ΙΔΙΩΤΙΚΕΣ ΕΠΙΧΕΙΡΗΣΕΙΣ</w:t>
            </w:r>
          </w:p>
        </w:tc>
        <w:tc>
          <w:tcPr>
            <w:tcW w:w="883" w:type="dxa"/>
            <w:noWrap/>
            <w:tcMar>
              <w:top w:w="15" w:type="dxa"/>
              <w:left w:w="15" w:type="dxa"/>
              <w:bottom w:w="0" w:type="dxa"/>
              <w:right w:w="15" w:type="dxa"/>
            </w:tcMar>
            <w:vAlign w:val="bottom"/>
            <w:hideMark/>
          </w:tcPr>
          <w:p w14:paraId="5D0EE250" w14:textId="77777777" w:rsidR="00B73748" w:rsidRPr="00B73748" w:rsidRDefault="00B73748" w:rsidP="00B73748">
            <w:pPr>
              <w:spacing w:after="0" w:line="240" w:lineRule="auto"/>
              <w:jc w:val="right"/>
              <w:rPr>
                <w:color w:val="000000"/>
                <w:sz w:val="18"/>
                <w:szCs w:val="18"/>
              </w:rPr>
            </w:pPr>
            <w:r w:rsidRPr="00B73748">
              <w:rPr>
                <w:color w:val="000000"/>
                <w:sz w:val="18"/>
                <w:szCs w:val="18"/>
              </w:rPr>
              <w:t xml:space="preserve">1.480,15   </w:t>
            </w:r>
          </w:p>
        </w:tc>
      </w:tr>
      <w:tr w:rsidR="00B73748" w:rsidRPr="00B73748" w14:paraId="7509C67F" w14:textId="77777777" w:rsidTr="00247B52">
        <w:trPr>
          <w:trHeight w:val="180"/>
        </w:trPr>
        <w:tc>
          <w:tcPr>
            <w:tcW w:w="2491" w:type="dxa"/>
            <w:noWrap/>
            <w:tcMar>
              <w:top w:w="15" w:type="dxa"/>
              <w:left w:w="180" w:type="dxa"/>
              <w:bottom w:w="0" w:type="dxa"/>
              <w:right w:w="15" w:type="dxa"/>
            </w:tcMar>
            <w:vAlign w:val="bottom"/>
          </w:tcPr>
          <w:p w14:paraId="531D2A91" w14:textId="77777777" w:rsidR="00B73748" w:rsidRPr="00B73748" w:rsidRDefault="00B73748" w:rsidP="00B73748">
            <w:pPr>
              <w:spacing w:after="0" w:line="240" w:lineRule="auto"/>
              <w:ind w:firstLineChars="100" w:firstLine="180"/>
              <w:jc w:val="left"/>
              <w:rPr>
                <w:color w:val="000000"/>
                <w:sz w:val="18"/>
                <w:szCs w:val="18"/>
              </w:rPr>
            </w:pPr>
          </w:p>
        </w:tc>
        <w:tc>
          <w:tcPr>
            <w:tcW w:w="1758" w:type="dxa"/>
            <w:noWrap/>
            <w:tcMar>
              <w:top w:w="15" w:type="dxa"/>
              <w:left w:w="15" w:type="dxa"/>
              <w:bottom w:w="0" w:type="dxa"/>
              <w:right w:w="15" w:type="dxa"/>
            </w:tcMar>
            <w:vAlign w:val="bottom"/>
          </w:tcPr>
          <w:p w14:paraId="20F6D46B" w14:textId="77777777" w:rsidR="00B73748" w:rsidRPr="00B73748" w:rsidRDefault="00B73748" w:rsidP="00B73748">
            <w:pPr>
              <w:spacing w:after="0" w:line="240" w:lineRule="auto"/>
              <w:jc w:val="right"/>
              <w:rPr>
                <w:color w:val="000000"/>
                <w:sz w:val="18"/>
                <w:szCs w:val="18"/>
              </w:rPr>
            </w:pPr>
          </w:p>
        </w:tc>
        <w:tc>
          <w:tcPr>
            <w:tcW w:w="3169" w:type="dxa"/>
            <w:tcMar>
              <w:top w:w="15" w:type="dxa"/>
              <w:left w:w="180" w:type="dxa"/>
              <w:bottom w:w="0" w:type="dxa"/>
              <w:right w:w="15" w:type="dxa"/>
            </w:tcMar>
            <w:vAlign w:val="bottom"/>
            <w:hideMark/>
          </w:tcPr>
          <w:p w14:paraId="383FDB3F" w14:textId="77777777" w:rsidR="00B73748" w:rsidRPr="00B73748" w:rsidRDefault="00B73748" w:rsidP="00B73748">
            <w:pPr>
              <w:spacing w:after="0" w:line="240" w:lineRule="auto"/>
              <w:ind w:leftChars="-33" w:left="-6" w:hangingChars="37" w:hanging="67"/>
              <w:jc w:val="left"/>
              <w:rPr>
                <w:color w:val="000000"/>
                <w:sz w:val="18"/>
                <w:szCs w:val="18"/>
              </w:rPr>
            </w:pPr>
            <w:r w:rsidRPr="00B73748">
              <w:rPr>
                <w:color w:val="000000"/>
                <w:sz w:val="18"/>
                <w:szCs w:val="18"/>
              </w:rPr>
              <w:t>ΠΛΗΓΕΝΤΕΣ ΦΥΣΙΚΩΝ ΚΑΤΑΣΤΡΟΦΩΝ</w:t>
            </w:r>
          </w:p>
        </w:tc>
        <w:tc>
          <w:tcPr>
            <w:tcW w:w="883" w:type="dxa"/>
            <w:noWrap/>
            <w:tcMar>
              <w:top w:w="15" w:type="dxa"/>
              <w:left w:w="15" w:type="dxa"/>
              <w:bottom w:w="0" w:type="dxa"/>
              <w:right w:w="15" w:type="dxa"/>
            </w:tcMar>
            <w:vAlign w:val="bottom"/>
            <w:hideMark/>
          </w:tcPr>
          <w:p w14:paraId="04CAD994" w14:textId="77777777" w:rsidR="00B73748" w:rsidRPr="00B73748" w:rsidRDefault="00B73748" w:rsidP="00B73748">
            <w:pPr>
              <w:spacing w:after="0" w:line="240" w:lineRule="auto"/>
              <w:jc w:val="right"/>
              <w:rPr>
                <w:color w:val="000000"/>
                <w:sz w:val="18"/>
                <w:szCs w:val="18"/>
              </w:rPr>
            </w:pPr>
            <w:r w:rsidRPr="00B73748">
              <w:rPr>
                <w:color w:val="000000"/>
                <w:sz w:val="18"/>
                <w:szCs w:val="18"/>
              </w:rPr>
              <w:t>1.678,53</w:t>
            </w:r>
          </w:p>
        </w:tc>
      </w:tr>
      <w:tr w:rsidR="00B73748" w:rsidRPr="00B73748" w14:paraId="574E3B4D" w14:textId="77777777" w:rsidTr="00247B52">
        <w:trPr>
          <w:trHeight w:val="100"/>
        </w:trPr>
        <w:tc>
          <w:tcPr>
            <w:tcW w:w="2491" w:type="dxa"/>
            <w:tcBorders>
              <w:top w:val="nil"/>
              <w:left w:val="nil"/>
              <w:bottom w:val="single" w:sz="12" w:space="0" w:color="auto"/>
              <w:right w:val="nil"/>
            </w:tcBorders>
            <w:noWrap/>
            <w:tcMar>
              <w:top w:w="15" w:type="dxa"/>
              <w:left w:w="180" w:type="dxa"/>
              <w:bottom w:w="0" w:type="dxa"/>
              <w:right w:w="15" w:type="dxa"/>
            </w:tcMar>
            <w:vAlign w:val="bottom"/>
            <w:hideMark/>
          </w:tcPr>
          <w:p w14:paraId="1310FE22" w14:textId="77777777" w:rsidR="00B73748" w:rsidRPr="00B73748" w:rsidRDefault="00B73748" w:rsidP="00B73748">
            <w:pPr>
              <w:spacing w:after="0" w:line="240" w:lineRule="auto"/>
              <w:jc w:val="left"/>
              <w:rPr>
                <w:b/>
                <w:bCs/>
                <w:color w:val="000000"/>
                <w:sz w:val="18"/>
                <w:szCs w:val="18"/>
              </w:rPr>
            </w:pPr>
            <w:r w:rsidRPr="00B73748">
              <w:rPr>
                <w:b/>
                <w:bCs/>
                <w:color w:val="000000"/>
                <w:sz w:val="18"/>
                <w:szCs w:val="18"/>
              </w:rPr>
              <w:t xml:space="preserve">Υποσύνολο </w:t>
            </w:r>
          </w:p>
        </w:tc>
        <w:tc>
          <w:tcPr>
            <w:tcW w:w="1758" w:type="dxa"/>
            <w:tcBorders>
              <w:top w:val="nil"/>
              <w:left w:val="nil"/>
              <w:bottom w:val="single" w:sz="12" w:space="0" w:color="auto"/>
              <w:right w:val="nil"/>
            </w:tcBorders>
            <w:noWrap/>
            <w:tcMar>
              <w:top w:w="15" w:type="dxa"/>
              <w:left w:w="15" w:type="dxa"/>
              <w:bottom w:w="0" w:type="dxa"/>
              <w:right w:w="15" w:type="dxa"/>
            </w:tcMar>
            <w:vAlign w:val="bottom"/>
            <w:hideMark/>
          </w:tcPr>
          <w:p w14:paraId="0DF22BE8" w14:textId="77777777" w:rsidR="00B73748" w:rsidRPr="00B73748" w:rsidRDefault="00B73748" w:rsidP="00B73748">
            <w:pPr>
              <w:spacing w:after="0" w:line="240" w:lineRule="auto"/>
              <w:jc w:val="right"/>
              <w:rPr>
                <w:b/>
                <w:bCs/>
                <w:color w:val="000000"/>
                <w:sz w:val="18"/>
                <w:szCs w:val="18"/>
              </w:rPr>
            </w:pPr>
            <w:r w:rsidRPr="00B73748">
              <w:rPr>
                <w:b/>
                <w:bCs/>
                <w:color w:val="000000"/>
                <w:sz w:val="18"/>
                <w:szCs w:val="18"/>
              </w:rPr>
              <w:t xml:space="preserve">449,23   </w:t>
            </w:r>
          </w:p>
        </w:tc>
        <w:tc>
          <w:tcPr>
            <w:tcW w:w="3169" w:type="dxa"/>
            <w:tcBorders>
              <w:top w:val="nil"/>
              <w:left w:val="nil"/>
              <w:bottom w:val="single" w:sz="12" w:space="0" w:color="auto"/>
              <w:right w:val="nil"/>
            </w:tcBorders>
            <w:noWrap/>
            <w:tcMar>
              <w:top w:w="15" w:type="dxa"/>
              <w:left w:w="180" w:type="dxa"/>
              <w:bottom w:w="0" w:type="dxa"/>
              <w:right w:w="15" w:type="dxa"/>
            </w:tcMar>
            <w:vAlign w:val="bottom"/>
            <w:hideMark/>
          </w:tcPr>
          <w:p w14:paraId="1E8B16AF" w14:textId="77777777" w:rsidR="00B73748" w:rsidRPr="00B73748" w:rsidRDefault="00B73748" w:rsidP="00B73748">
            <w:pPr>
              <w:spacing w:after="0" w:line="240" w:lineRule="auto"/>
              <w:jc w:val="left"/>
              <w:rPr>
                <w:b/>
                <w:bCs/>
                <w:color w:val="000000"/>
                <w:sz w:val="18"/>
                <w:szCs w:val="18"/>
              </w:rPr>
            </w:pPr>
            <w:r w:rsidRPr="00B73748">
              <w:rPr>
                <w:b/>
                <w:bCs/>
                <w:color w:val="000000"/>
                <w:sz w:val="18"/>
                <w:szCs w:val="18"/>
              </w:rPr>
              <w:t>Υποσύνολο</w:t>
            </w:r>
          </w:p>
        </w:tc>
        <w:tc>
          <w:tcPr>
            <w:tcW w:w="883" w:type="dxa"/>
            <w:tcBorders>
              <w:top w:val="nil"/>
              <w:left w:val="nil"/>
              <w:bottom w:val="single" w:sz="12" w:space="0" w:color="auto"/>
              <w:right w:val="nil"/>
            </w:tcBorders>
            <w:noWrap/>
            <w:tcMar>
              <w:top w:w="15" w:type="dxa"/>
              <w:left w:w="15" w:type="dxa"/>
              <w:bottom w:w="0" w:type="dxa"/>
              <w:right w:w="15" w:type="dxa"/>
            </w:tcMar>
            <w:vAlign w:val="bottom"/>
            <w:hideMark/>
          </w:tcPr>
          <w:p w14:paraId="58F20247" w14:textId="77777777" w:rsidR="00B73748" w:rsidRPr="00B73748" w:rsidRDefault="00B73748" w:rsidP="00B73748">
            <w:pPr>
              <w:spacing w:after="0" w:line="240" w:lineRule="auto"/>
              <w:jc w:val="right"/>
              <w:rPr>
                <w:b/>
                <w:bCs/>
                <w:color w:val="000000"/>
                <w:sz w:val="18"/>
                <w:szCs w:val="18"/>
              </w:rPr>
            </w:pPr>
            <w:r w:rsidRPr="00B73748">
              <w:rPr>
                <w:b/>
                <w:bCs/>
                <w:color w:val="000000"/>
                <w:sz w:val="18"/>
                <w:szCs w:val="18"/>
              </w:rPr>
              <w:t xml:space="preserve">3.158,68   </w:t>
            </w:r>
          </w:p>
        </w:tc>
      </w:tr>
      <w:tr w:rsidR="00B73748" w:rsidRPr="00B73748" w14:paraId="4BDC102D" w14:textId="77777777" w:rsidTr="00247B52">
        <w:trPr>
          <w:trHeight w:val="100"/>
        </w:trPr>
        <w:tc>
          <w:tcPr>
            <w:tcW w:w="2491" w:type="dxa"/>
            <w:tcBorders>
              <w:top w:val="single" w:sz="12" w:space="0" w:color="auto"/>
              <w:left w:val="nil"/>
              <w:bottom w:val="nil"/>
              <w:right w:val="nil"/>
            </w:tcBorders>
            <w:noWrap/>
            <w:tcMar>
              <w:top w:w="15" w:type="dxa"/>
              <w:left w:w="15" w:type="dxa"/>
              <w:bottom w:w="0" w:type="dxa"/>
              <w:right w:w="15" w:type="dxa"/>
            </w:tcMar>
            <w:vAlign w:val="bottom"/>
            <w:hideMark/>
          </w:tcPr>
          <w:p w14:paraId="6F45ED2F" w14:textId="77777777" w:rsidR="00B73748" w:rsidRPr="00B73748" w:rsidRDefault="00B73748" w:rsidP="00B73748">
            <w:pPr>
              <w:spacing w:after="0" w:line="240" w:lineRule="auto"/>
              <w:jc w:val="left"/>
              <w:rPr>
                <w:b/>
                <w:bCs/>
                <w:color w:val="000000"/>
                <w:sz w:val="18"/>
                <w:szCs w:val="18"/>
              </w:rPr>
            </w:pPr>
            <w:r w:rsidRPr="00B73748">
              <w:rPr>
                <w:b/>
                <w:bCs/>
                <w:color w:val="000000"/>
                <w:sz w:val="18"/>
                <w:szCs w:val="18"/>
              </w:rPr>
              <w:t>ΟΤΑ</w:t>
            </w:r>
          </w:p>
        </w:tc>
        <w:tc>
          <w:tcPr>
            <w:tcW w:w="1758" w:type="dxa"/>
            <w:tcBorders>
              <w:top w:val="single" w:sz="12" w:space="0" w:color="auto"/>
              <w:left w:val="nil"/>
              <w:bottom w:val="nil"/>
              <w:right w:val="nil"/>
            </w:tcBorders>
            <w:noWrap/>
            <w:tcMar>
              <w:top w:w="15" w:type="dxa"/>
              <w:left w:w="15" w:type="dxa"/>
              <w:bottom w:w="0" w:type="dxa"/>
              <w:right w:w="15" w:type="dxa"/>
            </w:tcMar>
            <w:vAlign w:val="bottom"/>
            <w:hideMark/>
          </w:tcPr>
          <w:p w14:paraId="68A919B6" w14:textId="77777777" w:rsidR="00B73748" w:rsidRPr="00B73748" w:rsidRDefault="00B73748" w:rsidP="00B73748">
            <w:pPr>
              <w:spacing w:after="0" w:line="240" w:lineRule="auto"/>
              <w:jc w:val="right"/>
              <w:rPr>
                <w:color w:val="000000"/>
                <w:sz w:val="18"/>
                <w:szCs w:val="18"/>
              </w:rPr>
            </w:pPr>
            <w:r w:rsidRPr="00B73748">
              <w:rPr>
                <w:color w:val="000000"/>
                <w:sz w:val="18"/>
                <w:szCs w:val="18"/>
              </w:rPr>
              <w:t> </w:t>
            </w:r>
          </w:p>
        </w:tc>
        <w:tc>
          <w:tcPr>
            <w:tcW w:w="3169" w:type="dxa"/>
            <w:tcBorders>
              <w:top w:val="single" w:sz="12" w:space="0" w:color="auto"/>
              <w:left w:val="nil"/>
              <w:bottom w:val="nil"/>
              <w:right w:val="nil"/>
            </w:tcBorders>
            <w:noWrap/>
            <w:tcMar>
              <w:top w:w="15" w:type="dxa"/>
              <w:left w:w="15" w:type="dxa"/>
              <w:bottom w:w="0" w:type="dxa"/>
              <w:right w:w="15" w:type="dxa"/>
            </w:tcMar>
            <w:vAlign w:val="bottom"/>
            <w:hideMark/>
          </w:tcPr>
          <w:p w14:paraId="3A4C3BDA" w14:textId="77777777" w:rsidR="00B73748" w:rsidRPr="00B73748" w:rsidRDefault="00B73748" w:rsidP="00B73748">
            <w:pPr>
              <w:spacing w:after="160" w:line="259" w:lineRule="auto"/>
              <w:jc w:val="left"/>
              <w:rPr>
                <w:color w:val="000000"/>
                <w:sz w:val="18"/>
                <w:szCs w:val="18"/>
              </w:rPr>
            </w:pPr>
          </w:p>
        </w:tc>
        <w:tc>
          <w:tcPr>
            <w:tcW w:w="883" w:type="dxa"/>
            <w:tcBorders>
              <w:top w:val="single" w:sz="12" w:space="0" w:color="auto"/>
              <w:left w:val="nil"/>
              <w:bottom w:val="nil"/>
              <w:right w:val="nil"/>
            </w:tcBorders>
            <w:noWrap/>
            <w:tcMar>
              <w:top w:w="15" w:type="dxa"/>
              <w:left w:w="15" w:type="dxa"/>
              <w:bottom w:w="0" w:type="dxa"/>
              <w:right w:w="15" w:type="dxa"/>
            </w:tcMar>
            <w:vAlign w:val="bottom"/>
            <w:hideMark/>
          </w:tcPr>
          <w:p w14:paraId="19A0E0C8" w14:textId="77777777" w:rsidR="00B73748" w:rsidRPr="00B73748" w:rsidRDefault="00B73748" w:rsidP="00B73748">
            <w:pPr>
              <w:spacing w:after="0" w:line="259" w:lineRule="auto"/>
              <w:jc w:val="left"/>
              <w:rPr>
                <w:rFonts w:asciiTheme="minorHAnsi" w:hAnsiTheme="minorHAnsi"/>
                <w:color w:val="auto"/>
                <w:sz w:val="20"/>
                <w:szCs w:val="20"/>
                <w:lang w:eastAsia="el-GR"/>
              </w:rPr>
            </w:pPr>
          </w:p>
        </w:tc>
      </w:tr>
      <w:tr w:rsidR="00B73748" w:rsidRPr="00B73748" w14:paraId="57AA456E" w14:textId="77777777" w:rsidTr="00247B52">
        <w:trPr>
          <w:trHeight w:val="100"/>
        </w:trPr>
        <w:tc>
          <w:tcPr>
            <w:tcW w:w="2491" w:type="dxa"/>
            <w:noWrap/>
            <w:tcMar>
              <w:top w:w="15" w:type="dxa"/>
              <w:left w:w="180" w:type="dxa"/>
              <w:bottom w:w="0" w:type="dxa"/>
              <w:right w:w="15" w:type="dxa"/>
            </w:tcMar>
            <w:vAlign w:val="bottom"/>
            <w:hideMark/>
          </w:tcPr>
          <w:p w14:paraId="54657F0A" w14:textId="77777777" w:rsidR="00B73748" w:rsidRPr="00B73748" w:rsidRDefault="00B73748" w:rsidP="00B73748">
            <w:pPr>
              <w:spacing w:after="0" w:line="240" w:lineRule="auto"/>
              <w:ind w:leftChars="-4" w:left="-9" w:firstLine="143"/>
              <w:jc w:val="left"/>
              <w:rPr>
                <w:color w:val="000000"/>
                <w:sz w:val="18"/>
                <w:szCs w:val="18"/>
              </w:rPr>
            </w:pPr>
            <w:r w:rsidRPr="00B73748">
              <w:rPr>
                <w:color w:val="000000"/>
                <w:sz w:val="18"/>
                <w:szCs w:val="18"/>
              </w:rPr>
              <w:t>ΔΗΜΟΣ ΑΘΗΝΑΙΩΝ</w:t>
            </w:r>
          </w:p>
        </w:tc>
        <w:tc>
          <w:tcPr>
            <w:tcW w:w="1758" w:type="dxa"/>
            <w:noWrap/>
            <w:tcMar>
              <w:top w:w="15" w:type="dxa"/>
              <w:left w:w="15" w:type="dxa"/>
              <w:bottom w:w="0" w:type="dxa"/>
              <w:right w:w="15" w:type="dxa"/>
            </w:tcMar>
            <w:vAlign w:val="bottom"/>
            <w:hideMark/>
          </w:tcPr>
          <w:p w14:paraId="54C783AA" w14:textId="77777777" w:rsidR="00B73748" w:rsidRPr="00B73748" w:rsidRDefault="00B73748" w:rsidP="00B73748">
            <w:pPr>
              <w:spacing w:after="0" w:line="240" w:lineRule="auto"/>
              <w:jc w:val="right"/>
              <w:rPr>
                <w:color w:val="000000"/>
                <w:sz w:val="18"/>
                <w:szCs w:val="18"/>
              </w:rPr>
            </w:pPr>
            <w:r w:rsidRPr="00B73748">
              <w:rPr>
                <w:color w:val="000000"/>
                <w:sz w:val="18"/>
                <w:szCs w:val="18"/>
              </w:rPr>
              <w:t xml:space="preserve">80,26   </w:t>
            </w:r>
          </w:p>
        </w:tc>
        <w:tc>
          <w:tcPr>
            <w:tcW w:w="3169" w:type="dxa"/>
            <w:noWrap/>
            <w:tcMar>
              <w:top w:w="15" w:type="dxa"/>
              <w:left w:w="15" w:type="dxa"/>
              <w:bottom w:w="0" w:type="dxa"/>
              <w:right w:w="15" w:type="dxa"/>
            </w:tcMar>
            <w:vAlign w:val="bottom"/>
            <w:hideMark/>
          </w:tcPr>
          <w:p w14:paraId="0512F338" w14:textId="77777777" w:rsidR="00B73748" w:rsidRPr="00B73748" w:rsidRDefault="00B73748" w:rsidP="00B73748">
            <w:pPr>
              <w:spacing w:after="160" w:line="259" w:lineRule="auto"/>
              <w:jc w:val="left"/>
              <w:rPr>
                <w:color w:val="000000"/>
                <w:sz w:val="18"/>
                <w:szCs w:val="18"/>
              </w:rPr>
            </w:pPr>
          </w:p>
        </w:tc>
        <w:tc>
          <w:tcPr>
            <w:tcW w:w="883" w:type="dxa"/>
            <w:noWrap/>
            <w:tcMar>
              <w:top w:w="15" w:type="dxa"/>
              <w:left w:w="15" w:type="dxa"/>
              <w:bottom w:w="0" w:type="dxa"/>
              <w:right w:w="15" w:type="dxa"/>
            </w:tcMar>
            <w:vAlign w:val="bottom"/>
            <w:hideMark/>
          </w:tcPr>
          <w:p w14:paraId="43095262" w14:textId="77777777" w:rsidR="00B73748" w:rsidRPr="00B73748" w:rsidRDefault="00B73748" w:rsidP="00B73748">
            <w:pPr>
              <w:spacing w:after="0" w:line="259" w:lineRule="auto"/>
              <w:jc w:val="left"/>
              <w:rPr>
                <w:rFonts w:asciiTheme="minorHAnsi" w:hAnsiTheme="minorHAnsi"/>
                <w:color w:val="auto"/>
                <w:sz w:val="20"/>
                <w:szCs w:val="20"/>
                <w:lang w:eastAsia="el-GR"/>
              </w:rPr>
            </w:pPr>
          </w:p>
        </w:tc>
      </w:tr>
      <w:tr w:rsidR="00B73748" w:rsidRPr="00B73748" w14:paraId="206D511E" w14:textId="77777777" w:rsidTr="00247B52">
        <w:trPr>
          <w:trHeight w:val="106"/>
        </w:trPr>
        <w:tc>
          <w:tcPr>
            <w:tcW w:w="2491" w:type="dxa"/>
            <w:noWrap/>
            <w:tcMar>
              <w:top w:w="15" w:type="dxa"/>
              <w:left w:w="180" w:type="dxa"/>
              <w:bottom w:w="0" w:type="dxa"/>
              <w:right w:w="15" w:type="dxa"/>
            </w:tcMar>
            <w:vAlign w:val="bottom"/>
            <w:hideMark/>
          </w:tcPr>
          <w:p w14:paraId="3A365FE8" w14:textId="77777777" w:rsidR="00B73748" w:rsidRPr="00B73748" w:rsidRDefault="00B73748" w:rsidP="00B73748">
            <w:pPr>
              <w:spacing w:after="0" w:line="240" w:lineRule="auto"/>
              <w:ind w:left="1" w:firstLine="133"/>
              <w:jc w:val="left"/>
              <w:rPr>
                <w:color w:val="000000"/>
                <w:sz w:val="18"/>
                <w:szCs w:val="18"/>
              </w:rPr>
            </w:pPr>
            <w:r w:rsidRPr="00B73748">
              <w:rPr>
                <w:color w:val="000000"/>
                <w:sz w:val="18"/>
                <w:szCs w:val="18"/>
              </w:rPr>
              <w:t xml:space="preserve">ΔΗΜΟΣ ΘΕΣΣΑΛΟΝΙΚΗΣ                         </w:t>
            </w:r>
          </w:p>
        </w:tc>
        <w:tc>
          <w:tcPr>
            <w:tcW w:w="1758" w:type="dxa"/>
            <w:noWrap/>
            <w:tcMar>
              <w:top w:w="15" w:type="dxa"/>
              <w:left w:w="15" w:type="dxa"/>
              <w:bottom w:w="0" w:type="dxa"/>
              <w:right w:w="15" w:type="dxa"/>
            </w:tcMar>
            <w:vAlign w:val="bottom"/>
            <w:hideMark/>
          </w:tcPr>
          <w:p w14:paraId="530A240B" w14:textId="77777777" w:rsidR="00B73748" w:rsidRPr="00B73748" w:rsidRDefault="00B73748" w:rsidP="00B73748">
            <w:pPr>
              <w:spacing w:after="0" w:line="240" w:lineRule="auto"/>
              <w:jc w:val="right"/>
              <w:rPr>
                <w:color w:val="000000"/>
                <w:sz w:val="18"/>
                <w:szCs w:val="18"/>
              </w:rPr>
            </w:pPr>
            <w:r w:rsidRPr="00B73748">
              <w:rPr>
                <w:color w:val="000000"/>
                <w:sz w:val="18"/>
                <w:szCs w:val="18"/>
              </w:rPr>
              <w:t>10</w:t>
            </w:r>
          </w:p>
        </w:tc>
        <w:tc>
          <w:tcPr>
            <w:tcW w:w="3169" w:type="dxa"/>
            <w:noWrap/>
            <w:tcMar>
              <w:top w:w="15" w:type="dxa"/>
              <w:left w:w="15" w:type="dxa"/>
              <w:bottom w:w="0" w:type="dxa"/>
              <w:right w:w="15" w:type="dxa"/>
            </w:tcMar>
            <w:vAlign w:val="bottom"/>
          </w:tcPr>
          <w:p w14:paraId="47158EE4" w14:textId="77777777" w:rsidR="00B73748" w:rsidRPr="00B73748" w:rsidRDefault="00B73748" w:rsidP="00B73748">
            <w:pPr>
              <w:spacing w:after="0" w:line="240" w:lineRule="auto"/>
              <w:jc w:val="right"/>
              <w:rPr>
                <w:color w:val="000000"/>
                <w:sz w:val="18"/>
                <w:szCs w:val="18"/>
              </w:rPr>
            </w:pPr>
          </w:p>
        </w:tc>
        <w:tc>
          <w:tcPr>
            <w:tcW w:w="883" w:type="dxa"/>
            <w:noWrap/>
            <w:tcMar>
              <w:top w:w="15" w:type="dxa"/>
              <w:left w:w="15" w:type="dxa"/>
              <w:bottom w:w="0" w:type="dxa"/>
              <w:right w:w="15" w:type="dxa"/>
            </w:tcMar>
            <w:vAlign w:val="bottom"/>
          </w:tcPr>
          <w:p w14:paraId="211792F4" w14:textId="77777777" w:rsidR="00B73748" w:rsidRPr="00B73748" w:rsidRDefault="00B73748" w:rsidP="00B73748">
            <w:pPr>
              <w:spacing w:after="0" w:line="240" w:lineRule="auto"/>
              <w:jc w:val="left"/>
              <w:rPr>
                <w:color w:val="auto"/>
                <w:sz w:val="18"/>
                <w:szCs w:val="18"/>
              </w:rPr>
            </w:pPr>
          </w:p>
        </w:tc>
      </w:tr>
      <w:tr w:rsidR="00B73748" w:rsidRPr="00B73748" w14:paraId="2E49C309" w14:textId="77777777" w:rsidTr="00247B52">
        <w:trPr>
          <w:trHeight w:val="106"/>
        </w:trPr>
        <w:tc>
          <w:tcPr>
            <w:tcW w:w="2491" w:type="dxa"/>
            <w:noWrap/>
            <w:tcMar>
              <w:top w:w="15" w:type="dxa"/>
              <w:left w:w="180" w:type="dxa"/>
              <w:bottom w:w="0" w:type="dxa"/>
              <w:right w:w="15" w:type="dxa"/>
            </w:tcMar>
            <w:vAlign w:val="bottom"/>
            <w:hideMark/>
          </w:tcPr>
          <w:p w14:paraId="1CCDA166" w14:textId="77777777" w:rsidR="00B73748" w:rsidRPr="00B73748" w:rsidRDefault="00B73748" w:rsidP="00B73748">
            <w:pPr>
              <w:spacing w:after="0" w:line="240" w:lineRule="auto"/>
              <w:ind w:firstLine="134"/>
              <w:jc w:val="left"/>
              <w:rPr>
                <w:color w:val="000000"/>
                <w:sz w:val="18"/>
                <w:szCs w:val="18"/>
              </w:rPr>
            </w:pPr>
            <w:r w:rsidRPr="00B73748">
              <w:rPr>
                <w:color w:val="000000"/>
                <w:sz w:val="18"/>
                <w:szCs w:val="18"/>
              </w:rPr>
              <w:t>ΔΗΜΟΣ ΗΡΑΚΛΕΙΟΥ</w:t>
            </w:r>
          </w:p>
        </w:tc>
        <w:tc>
          <w:tcPr>
            <w:tcW w:w="1758" w:type="dxa"/>
            <w:noWrap/>
            <w:tcMar>
              <w:top w:w="15" w:type="dxa"/>
              <w:left w:w="15" w:type="dxa"/>
              <w:bottom w:w="0" w:type="dxa"/>
              <w:right w:w="15" w:type="dxa"/>
            </w:tcMar>
            <w:vAlign w:val="bottom"/>
            <w:hideMark/>
          </w:tcPr>
          <w:p w14:paraId="17B5940F" w14:textId="77777777" w:rsidR="00B73748" w:rsidRPr="00B73748" w:rsidRDefault="00B73748" w:rsidP="00B73748">
            <w:pPr>
              <w:spacing w:after="0" w:line="240" w:lineRule="auto"/>
              <w:jc w:val="right"/>
              <w:rPr>
                <w:color w:val="000000"/>
                <w:sz w:val="18"/>
                <w:szCs w:val="18"/>
              </w:rPr>
            </w:pPr>
            <w:r w:rsidRPr="00B73748">
              <w:rPr>
                <w:color w:val="000000"/>
                <w:sz w:val="18"/>
                <w:szCs w:val="18"/>
              </w:rPr>
              <w:t xml:space="preserve">19,97   </w:t>
            </w:r>
          </w:p>
        </w:tc>
        <w:tc>
          <w:tcPr>
            <w:tcW w:w="3169" w:type="dxa"/>
            <w:noWrap/>
            <w:tcMar>
              <w:top w:w="15" w:type="dxa"/>
              <w:left w:w="15" w:type="dxa"/>
              <w:bottom w:w="0" w:type="dxa"/>
              <w:right w:w="15" w:type="dxa"/>
            </w:tcMar>
            <w:vAlign w:val="bottom"/>
            <w:hideMark/>
          </w:tcPr>
          <w:p w14:paraId="2BFDBA4C" w14:textId="77777777" w:rsidR="00B73748" w:rsidRPr="00B73748" w:rsidRDefault="00B73748" w:rsidP="00B73748">
            <w:pPr>
              <w:spacing w:after="160" w:line="259" w:lineRule="auto"/>
              <w:jc w:val="left"/>
              <w:rPr>
                <w:color w:val="000000"/>
                <w:sz w:val="18"/>
                <w:szCs w:val="18"/>
              </w:rPr>
            </w:pPr>
          </w:p>
        </w:tc>
        <w:tc>
          <w:tcPr>
            <w:tcW w:w="883" w:type="dxa"/>
            <w:noWrap/>
            <w:tcMar>
              <w:top w:w="15" w:type="dxa"/>
              <w:left w:w="15" w:type="dxa"/>
              <w:bottom w:w="0" w:type="dxa"/>
              <w:right w:w="15" w:type="dxa"/>
            </w:tcMar>
            <w:vAlign w:val="bottom"/>
            <w:hideMark/>
          </w:tcPr>
          <w:p w14:paraId="3FE0CDF3" w14:textId="77777777" w:rsidR="00B73748" w:rsidRPr="00B73748" w:rsidRDefault="00B73748" w:rsidP="00B73748">
            <w:pPr>
              <w:spacing w:after="0" w:line="259" w:lineRule="auto"/>
              <w:jc w:val="left"/>
              <w:rPr>
                <w:rFonts w:asciiTheme="minorHAnsi" w:hAnsiTheme="minorHAnsi"/>
                <w:color w:val="auto"/>
                <w:sz w:val="20"/>
                <w:szCs w:val="20"/>
                <w:lang w:eastAsia="el-GR"/>
              </w:rPr>
            </w:pPr>
          </w:p>
        </w:tc>
      </w:tr>
      <w:tr w:rsidR="00B73748" w:rsidRPr="00B73748" w14:paraId="5E74B763" w14:textId="77777777" w:rsidTr="00247B52">
        <w:trPr>
          <w:trHeight w:val="147"/>
        </w:trPr>
        <w:tc>
          <w:tcPr>
            <w:tcW w:w="4250" w:type="dxa"/>
            <w:gridSpan w:val="2"/>
            <w:tcBorders>
              <w:top w:val="nil"/>
              <w:left w:val="nil"/>
              <w:bottom w:val="single" w:sz="12" w:space="0" w:color="auto"/>
              <w:right w:val="nil"/>
            </w:tcBorders>
            <w:noWrap/>
            <w:tcMar>
              <w:top w:w="15" w:type="dxa"/>
              <w:left w:w="180" w:type="dxa"/>
              <w:bottom w:w="0" w:type="dxa"/>
              <w:right w:w="15" w:type="dxa"/>
            </w:tcMar>
            <w:vAlign w:val="bottom"/>
            <w:hideMark/>
          </w:tcPr>
          <w:p w14:paraId="5ECC0F5A" w14:textId="77777777" w:rsidR="00B73748" w:rsidRPr="00B73748" w:rsidRDefault="00B73748" w:rsidP="00B73748">
            <w:pPr>
              <w:spacing w:after="0" w:line="240" w:lineRule="auto"/>
              <w:rPr>
                <w:bCs/>
                <w:color w:val="000000"/>
                <w:sz w:val="18"/>
                <w:szCs w:val="18"/>
                <w:lang w:val="en-US"/>
              </w:rPr>
            </w:pPr>
            <w:r w:rsidRPr="00B73748">
              <w:rPr>
                <w:bCs/>
                <w:color w:val="000000"/>
                <w:sz w:val="18"/>
                <w:szCs w:val="18"/>
              </w:rPr>
              <w:t xml:space="preserve">  ΔΗΜΟΣ ΚΟΖΑΝΗΣ                                            8,65</w:t>
            </w:r>
          </w:p>
          <w:p w14:paraId="5575DCCA" w14:textId="77777777" w:rsidR="00B73748" w:rsidRPr="00B73748" w:rsidRDefault="00B73748" w:rsidP="00B73748">
            <w:pPr>
              <w:spacing w:after="0" w:line="240" w:lineRule="auto"/>
              <w:ind w:right="-11"/>
              <w:jc w:val="left"/>
              <w:rPr>
                <w:b/>
                <w:bCs/>
                <w:color w:val="000000"/>
                <w:sz w:val="18"/>
                <w:szCs w:val="18"/>
              </w:rPr>
            </w:pPr>
            <w:r w:rsidRPr="00B73748">
              <w:rPr>
                <w:b/>
                <w:bCs/>
                <w:color w:val="000000"/>
                <w:sz w:val="18"/>
                <w:szCs w:val="18"/>
              </w:rPr>
              <w:t xml:space="preserve">Υποσύνολο                                              118,88   </w:t>
            </w:r>
          </w:p>
        </w:tc>
        <w:tc>
          <w:tcPr>
            <w:tcW w:w="3169" w:type="dxa"/>
            <w:noWrap/>
            <w:tcMar>
              <w:top w:w="15" w:type="dxa"/>
              <w:left w:w="15" w:type="dxa"/>
              <w:bottom w:w="0" w:type="dxa"/>
              <w:right w:w="15" w:type="dxa"/>
            </w:tcMar>
            <w:vAlign w:val="bottom"/>
            <w:hideMark/>
          </w:tcPr>
          <w:p w14:paraId="25A41D35" w14:textId="77777777" w:rsidR="00B73748" w:rsidRPr="00B73748" w:rsidRDefault="00B73748" w:rsidP="00B73748">
            <w:pPr>
              <w:spacing w:after="160" w:line="259" w:lineRule="auto"/>
              <w:jc w:val="left"/>
              <w:rPr>
                <w:b/>
                <w:bCs/>
                <w:color w:val="000000"/>
                <w:sz w:val="18"/>
                <w:szCs w:val="18"/>
              </w:rPr>
            </w:pPr>
          </w:p>
        </w:tc>
        <w:tc>
          <w:tcPr>
            <w:tcW w:w="883" w:type="dxa"/>
            <w:noWrap/>
            <w:tcMar>
              <w:top w:w="15" w:type="dxa"/>
              <w:left w:w="15" w:type="dxa"/>
              <w:bottom w:w="0" w:type="dxa"/>
              <w:right w:w="15" w:type="dxa"/>
            </w:tcMar>
            <w:vAlign w:val="bottom"/>
            <w:hideMark/>
          </w:tcPr>
          <w:p w14:paraId="24013C58" w14:textId="77777777" w:rsidR="00B73748" w:rsidRPr="00B73748" w:rsidRDefault="00B73748" w:rsidP="00B73748">
            <w:pPr>
              <w:spacing w:after="0" w:line="259" w:lineRule="auto"/>
              <w:jc w:val="left"/>
              <w:rPr>
                <w:rFonts w:asciiTheme="minorHAnsi" w:hAnsiTheme="minorHAnsi"/>
                <w:color w:val="auto"/>
                <w:sz w:val="20"/>
                <w:szCs w:val="20"/>
                <w:lang w:eastAsia="el-GR"/>
              </w:rPr>
            </w:pPr>
          </w:p>
        </w:tc>
      </w:tr>
      <w:tr w:rsidR="00B73748" w:rsidRPr="00B73748" w14:paraId="2C138D5F" w14:textId="77777777" w:rsidTr="00247B52">
        <w:trPr>
          <w:trHeight w:val="85"/>
        </w:trPr>
        <w:tc>
          <w:tcPr>
            <w:tcW w:w="2491" w:type="dxa"/>
            <w:tcBorders>
              <w:top w:val="single" w:sz="12" w:space="0" w:color="auto"/>
              <w:left w:val="nil"/>
              <w:bottom w:val="single" w:sz="12" w:space="0" w:color="auto"/>
              <w:right w:val="nil"/>
            </w:tcBorders>
            <w:noWrap/>
            <w:tcMar>
              <w:top w:w="15" w:type="dxa"/>
              <w:left w:w="15" w:type="dxa"/>
              <w:bottom w:w="0" w:type="dxa"/>
              <w:right w:w="15" w:type="dxa"/>
            </w:tcMar>
            <w:vAlign w:val="bottom"/>
            <w:hideMark/>
          </w:tcPr>
          <w:p w14:paraId="3EAC2C61" w14:textId="77777777" w:rsidR="00B73748" w:rsidRPr="00B73748" w:rsidRDefault="00B73748" w:rsidP="00B73748">
            <w:pPr>
              <w:spacing w:after="0" w:line="240" w:lineRule="auto"/>
              <w:jc w:val="left"/>
              <w:rPr>
                <w:b/>
                <w:bCs/>
                <w:color w:val="000000"/>
                <w:sz w:val="18"/>
                <w:szCs w:val="18"/>
                <w:u w:val="single"/>
              </w:rPr>
            </w:pPr>
            <w:r w:rsidRPr="00B73748">
              <w:rPr>
                <w:b/>
                <w:bCs/>
                <w:color w:val="000000"/>
                <w:sz w:val="18"/>
                <w:szCs w:val="18"/>
                <w:u w:val="single"/>
              </w:rPr>
              <w:t>Σύνολο ταξινομημένων</w:t>
            </w:r>
          </w:p>
        </w:tc>
        <w:tc>
          <w:tcPr>
            <w:tcW w:w="1758" w:type="dxa"/>
            <w:tcBorders>
              <w:top w:val="single" w:sz="12" w:space="0" w:color="auto"/>
              <w:left w:val="nil"/>
              <w:bottom w:val="single" w:sz="12" w:space="0" w:color="auto"/>
              <w:right w:val="nil"/>
            </w:tcBorders>
            <w:noWrap/>
            <w:tcMar>
              <w:top w:w="15" w:type="dxa"/>
              <w:left w:w="15" w:type="dxa"/>
              <w:bottom w:w="0" w:type="dxa"/>
              <w:right w:w="15" w:type="dxa"/>
            </w:tcMar>
            <w:vAlign w:val="bottom"/>
            <w:hideMark/>
          </w:tcPr>
          <w:p w14:paraId="6E2F4FCA" w14:textId="77777777" w:rsidR="00B73748" w:rsidRPr="00B73748" w:rsidRDefault="00B73748" w:rsidP="00B73748">
            <w:pPr>
              <w:spacing w:after="0" w:line="240" w:lineRule="auto"/>
              <w:jc w:val="right"/>
              <w:rPr>
                <w:b/>
                <w:bCs/>
                <w:color w:val="000000"/>
                <w:sz w:val="18"/>
                <w:szCs w:val="18"/>
                <w:u w:val="single"/>
              </w:rPr>
            </w:pPr>
            <w:r w:rsidRPr="00B73748">
              <w:rPr>
                <w:b/>
                <w:bCs/>
                <w:color w:val="000000"/>
                <w:sz w:val="18"/>
                <w:szCs w:val="18"/>
                <w:u w:val="single"/>
              </w:rPr>
              <w:t xml:space="preserve">3.250,09   </w:t>
            </w:r>
          </w:p>
        </w:tc>
        <w:tc>
          <w:tcPr>
            <w:tcW w:w="3169" w:type="dxa"/>
            <w:tcBorders>
              <w:top w:val="nil"/>
              <w:left w:val="nil"/>
              <w:bottom w:val="single" w:sz="12" w:space="0" w:color="auto"/>
              <w:right w:val="nil"/>
            </w:tcBorders>
            <w:noWrap/>
            <w:tcMar>
              <w:top w:w="15" w:type="dxa"/>
              <w:left w:w="15" w:type="dxa"/>
              <w:bottom w:w="0" w:type="dxa"/>
              <w:right w:w="15" w:type="dxa"/>
            </w:tcMar>
            <w:vAlign w:val="bottom"/>
            <w:hideMark/>
          </w:tcPr>
          <w:p w14:paraId="2814EE52" w14:textId="77777777" w:rsidR="00B73748" w:rsidRPr="00B73748" w:rsidRDefault="00B73748" w:rsidP="00B73748">
            <w:pPr>
              <w:spacing w:after="0" w:line="240" w:lineRule="auto"/>
              <w:jc w:val="left"/>
              <w:rPr>
                <w:b/>
                <w:bCs/>
                <w:color w:val="000000"/>
                <w:sz w:val="18"/>
                <w:szCs w:val="18"/>
                <w:u w:val="single"/>
              </w:rPr>
            </w:pPr>
            <w:r w:rsidRPr="00B73748">
              <w:rPr>
                <w:b/>
                <w:bCs/>
                <w:color w:val="000000"/>
                <w:sz w:val="18"/>
                <w:szCs w:val="18"/>
                <w:u w:val="single"/>
              </w:rPr>
              <w:t xml:space="preserve">  Σύνολο μη ταξινομημένων</w:t>
            </w:r>
          </w:p>
        </w:tc>
        <w:tc>
          <w:tcPr>
            <w:tcW w:w="883" w:type="dxa"/>
            <w:tcBorders>
              <w:top w:val="nil"/>
              <w:left w:val="nil"/>
              <w:bottom w:val="single" w:sz="12" w:space="0" w:color="auto"/>
              <w:right w:val="nil"/>
            </w:tcBorders>
            <w:noWrap/>
            <w:tcMar>
              <w:top w:w="15" w:type="dxa"/>
              <w:left w:w="15" w:type="dxa"/>
              <w:bottom w:w="0" w:type="dxa"/>
              <w:right w:w="15" w:type="dxa"/>
            </w:tcMar>
            <w:vAlign w:val="bottom"/>
            <w:hideMark/>
          </w:tcPr>
          <w:p w14:paraId="46079608" w14:textId="77777777" w:rsidR="00B73748" w:rsidRPr="00B73748" w:rsidRDefault="00B73748" w:rsidP="00B73748">
            <w:pPr>
              <w:spacing w:after="0" w:line="240" w:lineRule="auto"/>
              <w:jc w:val="right"/>
              <w:rPr>
                <w:b/>
                <w:bCs/>
                <w:color w:val="000000"/>
                <w:sz w:val="18"/>
                <w:szCs w:val="18"/>
                <w:u w:val="single"/>
              </w:rPr>
            </w:pPr>
            <w:r w:rsidRPr="00B73748">
              <w:rPr>
                <w:b/>
                <w:bCs/>
                <w:color w:val="000000"/>
                <w:sz w:val="18"/>
                <w:szCs w:val="18"/>
                <w:u w:val="single"/>
              </w:rPr>
              <w:t>5.666,15</w:t>
            </w:r>
          </w:p>
        </w:tc>
      </w:tr>
      <w:tr w:rsidR="00B73748" w:rsidRPr="00B73748" w14:paraId="39D0206E" w14:textId="77777777" w:rsidTr="00247B52">
        <w:trPr>
          <w:trHeight w:val="131"/>
        </w:trPr>
        <w:tc>
          <w:tcPr>
            <w:tcW w:w="7419" w:type="dxa"/>
            <w:gridSpan w:val="3"/>
            <w:tcBorders>
              <w:top w:val="single" w:sz="12" w:space="0" w:color="auto"/>
              <w:left w:val="nil"/>
              <w:bottom w:val="single" w:sz="12" w:space="0" w:color="auto"/>
              <w:right w:val="nil"/>
            </w:tcBorders>
            <w:noWrap/>
            <w:tcMar>
              <w:top w:w="15" w:type="dxa"/>
              <w:left w:w="15" w:type="dxa"/>
              <w:bottom w:w="0" w:type="dxa"/>
              <w:right w:w="15" w:type="dxa"/>
            </w:tcMar>
            <w:vAlign w:val="bottom"/>
            <w:hideMark/>
          </w:tcPr>
          <w:p w14:paraId="05232E89" w14:textId="77777777" w:rsidR="00B73748" w:rsidRPr="00B73748" w:rsidRDefault="00B73748" w:rsidP="00B73748">
            <w:pPr>
              <w:spacing w:after="0" w:line="240" w:lineRule="auto"/>
              <w:jc w:val="center"/>
              <w:rPr>
                <w:rFonts w:cs="Calibri"/>
                <w:b/>
                <w:bCs/>
                <w:color w:val="000000"/>
                <w:sz w:val="18"/>
                <w:szCs w:val="18"/>
              </w:rPr>
            </w:pPr>
            <w:r w:rsidRPr="00B73748">
              <w:rPr>
                <w:rFonts w:cs="Calibri"/>
                <w:b/>
                <w:bCs/>
                <w:color w:val="000000"/>
                <w:sz w:val="18"/>
                <w:szCs w:val="18"/>
              </w:rPr>
              <w:t xml:space="preserve">ΓΕΝΙΚΟ ΣΥΝΟΛΟ           </w:t>
            </w:r>
            <w:r w:rsidRPr="00B73748">
              <w:rPr>
                <w:rFonts w:cs="Calibri"/>
                <w:b/>
                <w:bCs/>
                <w:color w:val="000000"/>
                <w:sz w:val="18"/>
                <w:szCs w:val="18"/>
                <w:u w:val="double"/>
              </w:rPr>
              <w:t>8.916,24</w:t>
            </w:r>
            <w:r w:rsidRPr="00B73748">
              <w:rPr>
                <w:rFonts w:cs="Calibri"/>
                <w:b/>
                <w:bCs/>
                <w:color w:val="000000"/>
                <w:sz w:val="18"/>
                <w:szCs w:val="18"/>
                <w:u w:val="double"/>
                <w:vertAlign w:val="superscript"/>
              </w:rPr>
              <w:footnoteReference w:id="23"/>
            </w:r>
          </w:p>
        </w:tc>
        <w:tc>
          <w:tcPr>
            <w:tcW w:w="883" w:type="dxa"/>
            <w:tcBorders>
              <w:top w:val="single" w:sz="12" w:space="0" w:color="auto"/>
              <w:left w:val="nil"/>
              <w:bottom w:val="single" w:sz="12" w:space="0" w:color="auto"/>
              <w:right w:val="nil"/>
            </w:tcBorders>
            <w:noWrap/>
            <w:tcMar>
              <w:top w:w="15" w:type="dxa"/>
              <w:left w:w="15" w:type="dxa"/>
              <w:bottom w:w="0" w:type="dxa"/>
              <w:right w:w="15" w:type="dxa"/>
            </w:tcMar>
            <w:vAlign w:val="bottom"/>
            <w:hideMark/>
          </w:tcPr>
          <w:p w14:paraId="31BCFA03" w14:textId="77777777" w:rsidR="00B73748" w:rsidRPr="00B73748" w:rsidRDefault="00B73748" w:rsidP="00B73748">
            <w:pPr>
              <w:spacing w:after="160" w:line="259" w:lineRule="auto"/>
              <w:jc w:val="left"/>
              <w:rPr>
                <w:rFonts w:cs="Calibri"/>
                <w:b/>
                <w:bCs/>
                <w:color w:val="000000"/>
                <w:sz w:val="18"/>
                <w:szCs w:val="18"/>
              </w:rPr>
            </w:pPr>
          </w:p>
        </w:tc>
      </w:tr>
    </w:tbl>
    <w:p w14:paraId="0078DF8D" w14:textId="77777777" w:rsidR="00B73748" w:rsidRPr="00B73748" w:rsidRDefault="00B73748" w:rsidP="00B73748">
      <w:pPr>
        <w:spacing w:after="160" w:line="259" w:lineRule="auto"/>
        <w:rPr>
          <w:color w:val="auto"/>
        </w:rPr>
      </w:pPr>
      <w:r w:rsidRPr="00B73748">
        <w:rPr>
          <w:b/>
          <w:sz w:val="16"/>
          <w:szCs w:val="16"/>
        </w:rPr>
        <w:lastRenderedPageBreak/>
        <w:t>Πηγή:</w:t>
      </w:r>
      <w:r w:rsidRPr="00B73748">
        <w:rPr>
          <w:b/>
          <w:i/>
          <w:color w:val="auto"/>
          <w:sz w:val="16"/>
          <w:szCs w:val="16"/>
        </w:rPr>
        <w:t xml:space="preserve">  </w:t>
      </w:r>
      <w:r w:rsidRPr="00B73748">
        <w:rPr>
          <w:color w:val="00B0F0"/>
          <w:sz w:val="16"/>
          <w:szCs w:val="16"/>
        </w:rPr>
        <w:t>ΥΠΟΙΚ - ΓΛΚ - Γενική Διεύθυνση Θησαυροφυλακίου &amp;  Δημόσιου Λογιστικού</w:t>
      </w:r>
      <w:r w:rsidRPr="00B73748">
        <w:rPr>
          <w:i/>
          <w:color w:val="auto"/>
          <w:sz w:val="16"/>
          <w:szCs w:val="16"/>
        </w:rPr>
        <w:t xml:space="preserve">- </w:t>
      </w:r>
      <w:r w:rsidRPr="00B73748">
        <w:rPr>
          <w:color w:val="00B0F0"/>
          <w:sz w:val="16"/>
          <w:szCs w:val="16"/>
        </w:rPr>
        <w:t>Στοιχεία Σεπτεμβρίου 2021</w:t>
      </w:r>
    </w:p>
    <w:p w14:paraId="3830E415" w14:textId="77777777" w:rsidR="00B73748" w:rsidRDefault="00B73748" w:rsidP="00B73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auto"/>
        </w:rPr>
      </w:pPr>
    </w:p>
    <w:p w14:paraId="415883CF" w14:textId="77777777" w:rsidR="00B73748" w:rsidRDefault="00B73748" w:rsidP="00B73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auto"/>
        </w:rPr>
      </w:pPr>
    </w:p>
    <w:p w14:paraId="3824D18E" w14:textId="5F84B5C5" w:rsidR="00B73748" w:rsidRPr="00B73748" w:rsidRDefault="004D2D3A" w:rsidP="00664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rPr>
          <w:color w:val="auto"/>
        </w:rPr>
      </w:pPr>
      <w:r>
        <w:rPr>
          <w:color w:val="auto"/>
        </w:rPr>
        <w:t>Για αυτόν τον σκοπό</w:t>
      </w:r>
      <w:r w:rsidR="00B73748" w:rsidRPr="00B73748">
        <w:rPr>
          <w:color w:val="auto"/>
        </w:rPr>
        <w:t xml:space="preserve"> καθιερώθηκε η ηλεκτρονική διαδικασία καταπτώσεων</w:t>
      </w:r>
      <w:r w:rsidR="00B73748" w:rsidRPr="00B73748">
        <w:rPr>
          <w:rFonts w:asciiTheme="minorHAnsi" w:hAnsiTheme="minorHAnsi"/>
          <w:color w:val="auto"/>
          <w:vertAlign w:val="superscript"/>
        </w:rPr>
        <w:footnoteReference w:id="24"/>
      </w:r>
      <w:r w:rsidR="00B73748" w:rsidRPr="00B73748">
        <w:rPr>
          <w:color w:val="auto"/>
        </w:rPr>
        <w:t xml:space="preserve">, η οποία δίνει τη δυνατότητα σε φυσικά πρόσωπα και επιχειρήσεις να ρυθμίσουν σε έως και 120 δόσεις βεβαιωμένες οφειλές </w:t>
      </w:r>
      <w:r>
        <w:rPr>
          <w:color w:val="auto"/>
        </w:rPr>
        <w:t xml:space="preserve">από </w:t>
      </w:r>
      <w:r w:rsidR="00B73748" w:rsidRPr="00B73748">
        <w:rPr>
          <w:color w:val="auto"/>
        </w:rPr>
        <w:t>δάνεια, τα οποία χορηγήθηκαν έως και το 2012, με εγγύηση του Ελληνικού Δημοσίου, της Ελληνικής Αναπτυξιακής Τράπεζας (πρώην "Εθνικό Ταμείο Επιχειρηματικότητας και Ανάπτυξης ΑΕ") ή του Ταμείου Εγγυοδοσίας Μικρών και Πολύ Μικρών Επιχειρήσεων ΑΕ (ΤΕΜΠΜΕ), και τα οποία είχαν καταστεί ληξιπρόθεσμα στις τράπεζες έως τις 7.10.2019.</w:t>
      </w:r>
    </w:p>
    <w:p w14:paraId="39002FD9" w14:textId="556C5479" w:rsidR="00B73748" w:rsidRPr="00B73748" w:rsidRDefault="00B73748" w:rsidP="00B73748">
      <w:pPr>
        <w:autoSpaceDE w:val="0"/>
        <w:autoSpaceDN w:val="0"/>
        <w:adjustRightInd w:val="0"/>
        <w:spacing w:after="160"/>
        <w:rPr>
          <w:color w:val="auto"/>
        </w:rPr>
      </w:pPr>
      <w:r w:rsidRPr="00B73748">
        <w:rPr>
          <w:color w:val="auto"/>
        </w:rPr>
        <w:t xml:space="preserve">Ακόμη, στο πλαίσιο των προγραμμάτων ενίσχυσης της επιχειρηματικότητας </w:t>
      </w:r>
      <w:r w:rsidR="00664F4F">
        <w:rPr>
          <w:color w:val="auto"/>
        </w:rPr>
        <w:t>για μικρές και μεσαίες επειχειρήσεις</w:t>
      </w:r>
      <w:r w:rsidRPr="00B73748">
        <w:rPr>
          <w:color w:val="auto"/>
        </w:rPr>
        <w:t xml:space="preserve">, το ΕΔ έχει παράσχει εγγυήσεις για την δανειοδότηση των ελληνικών τραπεζών από την ΕΤΕπ συνολικού ύψους 1.911 εκατ. ευρώ, με το ανεξόφλητο υπόλοιπο να ανέρχεται σήμερα σε 1.477 εκατ. ευρώ περίπου. Επιπρόσθετα, </w:t>
      </w:r>
      <w:r w:rsidR="004D2D3A">
        <w:rPr>
          <w:color w:val="auto"/>
        </w:rPr>
        <w:t>εφαρμόστηκε</w:t>
      </w:r>
      <w:r w:rsidRPr="00B73748">
        <w:rPr>
          <w:color w:val="auto"/>
        </w:rPr>
        <w:t xml:space="preserve"> το </w:t>
      </w:r>
      <w:r w:rsidR="004D2D3A">
        <w:rPr>
          <w:color w:val="auto"/>
        </w:rPr>
        <w:t>σύστημα</w:t>
      </w:r>
      <w:r w:rsidRPr="00B73748">
        <w:rPr>
          <w:color w:val="auto"/>
        </w:rPr>
        <w:t xml:space="preserve"> παροχής εγγυήσεων τ</w:t>
      </w:r>
      <w:r w:rsidR="00791466">
        <w:rPr>
          <w:color w:val="auto"/>
        </w:rPr>
        <w:t>ου ελληνικού Δ</w:t>
      </w:r>
      <w:r w:rsidRPr="00B73748">
        <w:rPr>
          <w:color w:val="auto"/>
        </w:rPr>
        <w:t>ημοσίου με την ονομασία «ΗΡΑΚΛΗΣ»</w:t>
      </w:r>
      <w:r w:rsidRPr="00B73748">
        <w:rPr>
          <w:color w:val="auto"/>
          <w:vertAlign w:val="superscript"/>
        </w:rPr>
        <w:footnoteReference w:id="25"/>
      </w:r>
      <w:r w:rsidRPr="00B73748">
        <w:rPr>
          <w:color w:val="auto"/>
        </w:rPr>
        <w:t>, προκείμενου να καλυφθεί η έκδοση ομολογιών υψηλής διαβάθμισης που θα προκύψουν από τις τιτλοποιήσεις μη εξυπηρετούμενων δανείων (ΜΕΔ) των ελληνικών πιστωτικών ιδρυμάτων. Αρχικά προβλέπονταν να παρασχεθούν συνολικές εγγυήσεις μέχρι του ποσού των 12 δισ. ευρώ και για χρονικό διάστημα 18 μηνών, ωστόσο έπειτα από παράταση που εγκρίθηκε τον Απρίλιο του 2021 από την ΕΕ, η υλοποίηση του προγράμματος επεκτάθηκε για 18 μήνες</w:t>
      </w:r>
      <w:r w:rsidR="004D2D3A" w:rsidRPr="004D2D3A">
        <w:rPr>
          <w:color w:val="auto"/>
        </w:rPr>
        <w:t xml:space="preserve"> </w:t>
      </w:r>
      <w:r w:rsidR="004D2D3A" w:rsidRPr="00B73748">
        <w:rPr>
          <w:color w:val="auto"/>
        </w:rPr>
        <w:t>επιπλέον</w:t>
      </w:r>
      <w:r w:rsidRPr="00B73748">
        <w:rPr>
          <w:color w:val="auto"/>
        </w:rPr>
        <w:t xml:space="preserve">, με το ΕΔ να δύναται να παράσχει </w:t>
      </w:r>
      <w:r w:rsidR="004D2D3A">
        <w:rPr>
          <w:color w:val="auto"/>
        </w:rPr>
        <w:t xml:space="preserve">πρόσθετες </w:t>
      </w:r>
      <w:r w:rsidRPr="00B73748">
        <w:rPr>
          <w:color w:val="auto"/>
        </w:rPr>
        <w:t>εγγυήσεις 12 δι</w:t>
      </w:r>
      <w:r w:rsidR="0047674D">
        <w:rPr>
          <w:color w:val="auto"/>
        </w:rPr>
        <w:t>σ</w:t>
      </w:r>
      <w:r w:rsidRPr="00B73748">
        <w:rPr>
          <w:color w:val="auto"/>
        </w:rPr>
        <w:t>. ευρώ. Έως σήμερα, το ΕΔ έχει παράσχει για τιτλοποιήσεις ΜΕΔ των πιστωτικών ιδρυμάτων συ</w:t>
      </w:r>
      <w:r w:rsidR="0047674D">
        <w:rPr>
          <w:color w:val="auto"/>
        </w:rPr>
        <w:t>νολικές εγγυήσεις ύψους 8,5  δισ.</w:t>
      </w:r>
      <w:r w:rsidRPr="00B73748">
        <w:rPr>
          <w:color w:val="auto"/>
        </w:rPr>
        <w:t xml:space="preserve"> ευρώ περίπου. </w:t>
      </w:r>
    </w:p>
    <w:p w14:paraId="573865AE" w14:textId="77777777" w:rsidR="00B73748" w:rsidRPr="00B73748" w:rsidRDefault="00B73748" w:rsidP="0047674D">
      <w:pPr>
        <w:spacing w:after="160"/>
        <w:rPr>
          <w:color w:val="auto"/>
        </w:rPr>
      </w:pPr>
      <w:r w:rsidRPr="00B73748">
        <w:rPr>
          <w:color w:val="auto"/>
        </w:rPr>
        <w:t>Τέλος για την αντιμετώπιση της υγειονομικής κρίσης και της συνακόλουθης ύφεσης που προκλήθηκε στην ελληνική και ευρωπαϊκή οικονομία το 2020, επεκτάθηκε η παροχή κρατικών εγγυήσεων προκειμένου να ληφθούν μέτρα μετριασμού των επιπτώσεων της πανδημίας στις οικονομίες των κρατών- μελών της ΕΕ. Στο πλαίσιο αυτό, το ελληνικό Δημόσιο παρείχε κρατικές εγγυήσεις για την υλοποίηση σχεδίων που ελήφθησαν σε ευρωπαϊκό επίπεδο και αφορούσαν την εγχώρια οικονομική δραστηριότητα. Συγκεκριμένα:</w:t>
      </w:r>
    </w:p>
    <w:p w14:paraId="29A1B9DA" w14:textId="77777777" w:rsidR="00B73748" w:rsidRPr="00B73748" w:rsidRDefault="00B73748" w:rsidP="0047674D">
      <w:pPr>
        <w:numPr>
          <w:ilvl w:val="0"/>
          <w:numId w:val="37"/>
        </w:numPr>
        <w:spacing w:after="160"/>
        <w:contextualSpacing/>
        <w:jc w:val="left"/>
        <w:rPr>
          <w:color w:val="auto"/>
        </w:rPr>
      </w:pPr>
      <w:r w:rsidRPr="00B73748">
        <w:rPr>
          <w:color w:val="auto"/>
        </w:rPr>
        <w:t>Παρείχε εγγύηση προς το Ευρωπαϊκό Ταμείο Επενδύσεων (ΕΤαΕ) μέχρι του ποσού των 353 εκατ. ευρώ περίπου, για την παροχή δανειακών κεφαλαίων από το Πανευρωπαϊκό Ταμείο Εγγυήσεων (Pan-European Guarantee Fund») σε μικρομεσαίες και μεσαίου μεγέθους επιχειρήσεις για την αντιμετώπιση των οικονομικών συνεπειών της πανδημίας</w:t>
      </w:r>
      <w:r w:rsidRPr="00B73748">
        <w:rPr>
          <w:color w:val="auto"/>
          <w:vertAlign w:val="superscript"/>
        </w:rPr>
        <w:footnoteReference w:id="26"/>
      </w:r>
      <w:r w:rsidRPr="00B73748">
        <w:rPr>
          <w:color w:val="auto"/>
        </w:rPr>
        <w:t xml:space="preserve"> .</w:t>
      </w:r>
    </w:p>
    <w:p w14:paraId="3C639A6A" w14:textId="5E0FDC50" w:rsidR="00B73748" w:rsidRDefault="00B73748" w:rsidP="0047674D">
      <w:pPr>
        <w:numPr>
          <w:ilvl w:val="0"/>
          <w:numId w:val="37"/>
        </w:numPr>
        <w:spacing w:after="160"/>
        <w:contextualSpacing/>
        <w:jc w:val="left"/>
        <w:rPr>
          <w:color w:val="auto"/>
        </w:rPr>
      </w:pPr>
      <w:r w:rsidRPr="00B73748">
        <w:rPr>
          <w:color w:val="auto"/>
        </w:rPr>
        <w:lastRenderedPageBreak/>
        <w:t>Παρείχε εγγύηση προς την Ευρωπαϊκή Ένωση μέχρι του ποσού των 343 εκατ. ευρώ περίπου, στο πλαίσιο του προγράμματος στήριξης της απασχόλησης (SURE)</w:t>
      </w:r>
      <w:r w:rsidRPr="00B73748">
        <w:rPr>
          <w:color w:val="auto"/>
          <w:vertAlign w:val="superscript"/>
        </w:rPr>
        <w:footnoteReference w:id="27"/>
      </w:r>
      <w:r w:rsidRPr="00B73748">
        <w:rPr>
          <w:color w:val="auto"/>
        </w:rPr>
        <w:t>, λόγω της επιδημικής έκρηξης της νόσου.</w:t>
      </w:r>
    </w:p>
    <w:p w14:paraId="2183C36E" w14:textId="24A3A38D" w:rsidR="00B73748" w:rsidRPr="00B73748" w:rsidRDefault="00B73748" w:rsidP="0047674D">
      <w:pPr>
        <w:numPr>
          <w:ilvl w:val="0"/>
          <w:numId w:val="37"/>
        </w:numPr>
        <w:spacing w:after="160"/>
        <w:contextualSpacing/>
        <w:jc w:val="left"/>
        <w:rPr>
          <w:color w:val="auto"/>
        </w:rPr>
      </w:pPr>
      <w:r w:rsidRPr="00B73748">
        <w:rPr>
          <w:color w:val="auto"/>
        </w:rPr>
        <w:t>Παρείχε εγγυήσεις ύψους 2 δισ. ευρώ περίπου για την σύσταση του Ταμείου Εγγυοδοσίας επιχειρήσεων COVID-19</w:t>
      </w:r>
      <w:r w:rsidRPr="00B73748">
        <w:rPr>
          <w:color w:val="auto"/>
          <w:vertAlign w:val="superscript"/>
        </w:rPr>
        <w:footnoteReference w:id="28"/>
      </w:r>
      <w:r w:rsidRPr="00B73748">
        <w:rPr>
          <w:color w:val="auto"/>
        </w:rPr>
        <w:t xml:space="preserve"> της Ελληνικής Αναπτυξιακής Τράπεζας, για την ενίσχυση της ρευστότητάς των επιχειρήσεων που πλήττονται από τα υγειονομικά μέτρα κατά της πανδημίας με δάνεια κεφαλαίου κίνησης, μέσω εγγυοδοτικών προγραμμάτων, σε ενδιάμεσους χρηματοπιστωτικούς οργανισμούς (τράπεζες)</w:t>
      </w:r>
    </w:p>
    <w:p w14:paraId="04811BB1" w14:textId="77777777" w:rsidR="0097391A" w:rsidRDefault="0097391A" w:rsidP="0047674D">
      <w:pPr>
        <w:spacing w:after="160"/>
        <w:rPr>
          <w:color w:val="auto"/>
        </w:rPr>
      </w:pPr>
    </w:p>
    <w:p w14:paraId="5FE09857" w14:textId="77777777" w:rsidR="0097391A" w:rsidRPr="002B4888" w:rsidRDefault="0097391A" w:rsidP="002B4888">
      <w:pPr>
        <w:spacing w:after="160"/>
        <w:rPr>
          <w:color w:val="auto"/>
        </w:rPr>
      </w:pPr>
    </w:p>
    <w:p w14:paraId="199B3974" w14:textId="77777777" w:rsidR="000F4F90" w:rsidRPr="007C4299" w:rsidRDefault="000F4F90" w:rsidP="000908EA">
      <w:pPr>
        <w:spacing w:after="160"/>
        <w:rPr>
          <w:rFonts w:ascii="Calibri" w:eastAsia="Calibri" w:hAnsi="Calibri" w:cs="Calibri"/>
          <w:color w:val="00B0F0"/>
          <w:sz w:val="16"/>
          <w:szCs w:val="16"/>
        </w:rPr>
      </w:pPr>
    </w:p>
    <w:p w14:paraId="32749FB2" w14:textId="03631357" w:rsidR="002B4888" w:rsidRDefault="002B4888">
      <w:pPr>
        <w:spacing w:after="160" w:line="0" w:lineRule="auto"/>
        <w:jc w:val="left"/>
      </w:pPr>
      <w:r>
        <w:br w:type="page"/>
      </w:r>
    </w:p>
    <w:p w14:paraId="4051B1BE" w14:textId="46395A1B" w:rsidR="002F5A77" w:rsidRPr="0097391A" w:rsidRDefault="0097391A" w:rsidP="0097391A">
      <w:pPr>
        <w:pStyle w:val="a0"/>
        <w:numPr>
          <w:ilvl w:val="0"/>
          <w:numId w:val="3"/>
        </w:numPr>
        <w:rPr>
          <w:sz w:val="32"/>
          <w:szCs w:val="32"/>
        </w:rPr>
      </w:pPr>
      <w:bookmarkStart w:id="148" w:name="_Toc89172841"/>
      <w:r w:rsidRPr="0097391A">
        <w:rPr>
          <w:sz w:val="32"/>
          <w:szCs w:val="32"/>
        </w:rPr>
        <w:lastRenderedPageBreak/>
        <w:t>Δημόσιο Χρέος</w:t>
      </w:r>
      <w:bookmarkEnd w:id="148"/>
      <w:r w:rsidRPr="0097391A">
        <w:rPr>
          <w:sz w:val="32"/>
          <w:szCs w:val="32"/>
        </w:rPr>
        <w:t xml:space="preserve"> </w:t>
      </w:r>
    </w:p>
    <w:p w14:paraId="0481E321" w14:textId="4AD645B1" w:rsidR="00042D74" w:rsidRPr="0047674D" w:rsidRDefault="0047674D" w:rsidP="0047674D">
      <w:pPr>
        <w:numPr>
          <w:ilvl w:val="0"/>
          <w:numId w:val="21"/>
        </w:numPr>
        <w:spacing w:after="240"/>
        <w:ind w:left="714" w:hanging="357"/>
        <w:rPr>
          <w:rFonts w:eastAsia="Calibri" w:cs="Times New Roman"/>
          <w:b/>
          <w:i/>
          <w:color w:val="595959" w:themeColor="text1" w:themeTint="A6"/>
          <w:sz w:val="25"/>
          <w:szCs w:val="25"/>
        </w:rPr>
      </w:pPr>
      <w:r w:rsidRPr="0047674D">
        <w:rPr>
          <w:rFonts w:eastAsia="Calibri" w:cs="Times New Roman"/>
          <w:b/>
          <w:i/>
          <w:color w:val="595959" w:themeColor="text1" w:themeTint="A6"/>
          <w:sz w:val="25"/>
          <w:szCs w:val="25"/>
        </w:rPr>
        <w:t>Σε ιστορικό υψηλό επίπεδο το δημόσιο χρέος, το οποίο ξεπέρασε το 205% του ΑΕΠ.</w:t>
      </w:r>
    </w:p>
    <w:p w14:paraId="5851AD5B" w14:textId="6C3EC6AB" w:rsidR="0047674D" w:rsidRPr="0047674D" w:rsidRDefault="0047674D" w:rsidP="0047674D">
      <w:pPr>
        <w:numPr>
          <w:ilvl w:val="0"/>
          <w:numId w:val="21"/>
        </w:numPr>
        <w:spacing w:after="240"/>
        <w:ind w:left="714" w:hanging="357"/>
        <w:rPr>
          <w:rFonts w:eastAsia="Calibri" w:cs="Times New Roman"/>
          <w:b/>
          <w:i/>
          <w:color w:val="595959" w:themeColor="text1" w:themeTint="A6"/>
          <w:sz w:val="25"/>
          <w:szCs w:val="25"/>
        </w:rPr>
      </w:pPr>
      <w:r w:rsidRPr="0047674D">
        <w:rPr>
          <w:rFonts w:eastAsia="Calibri" w:cs="Times New Roman"/>
          <w:b/>
          <w:i/>
          <w:color w:val="595959" w:themeColor="text1" w:themeTint="A6"/>
          <w:sz w:val="25"/>
          <w:szCs w:val="25"/>
        </w:rPr>
        <w:t>Οι προβλεπόμενοι υψηλοί ρυθμοί μεγέθυνσης για το 2021 και 2022 αναμένεται να το αποκλιμακώσουν σημαντικά.</w:t>
      </w:r>
    </w:p>
    <w:p w14:paraId="3F58700E" w14:textId="38FDEC6F" w:rsidR="0047674D" w:rsidRDefault="0047674D" w:rsidP="00042D74">
      <w:pPr>
        <w:numPr>
          <w:ilvl w:val="0"/>
          <w:numId w:val="21"/>
        </w:numPr>
        <w:spacing w:after="160"/>
        <w:rPr>
          <w:rFonts w:eastAsia="Calibri" w:cs="Times New Roman"/>
          <w:b/>
          <w:i/>
          <w:color w:val="595959" w:themeColor="text1" w:themeTint="A6"/>
          <w:sz w:val="25"/>
          <w:szCs w:val="25"/>
        </w:rPr>
      </w:pPr>
      <w:r w:rsidRPr="0047674D">
        <w:rPr>
          <w:rFonts w:eastAsia="Calibri" w:cs="Times New Roman"/>
          <w:b/>
          <w:i/>
          <w:color w:val="595959" w:themeColor="text1" w:themeTint="A6"/>
          <w:sz w:val="25"/>
          <w:szCs w:val="25"/>
        </w:rPr>
        <w:t>Παραμένουν σε πολύ χαμηλό επίπεδο οι αποδόσεις των ελληνικών ομολόγων του Δημοσίου.</w:t>
      </w:r>
      <w:r>
        <w:rPr>
          <w:rFonts w:eastAsia="Calibri" w:cs="Times New Roman"/>
          <w:b/>
          <w:i/>
          <w:color w:val="595959" w:themeColor="text1" w:themeTint="A6"/>
          <w:sz w:val="25"/>
          <w:szCs w:val="25"/>
        </w:rPr>
        <w:t xml:space="preserve"> </w:t>
      </w:r>
    </w:p>
    <w:p w14:paraId="00642F53" w14:textId="704A7D4F" w:rsidR="0047674D" w:rsidRPr="0047674D" w:rsidRDefault="0047674D" w:rsidP="00042D74">
      <w:pPr>
        <w:numPr>
          <w:ilvl w:val="0"/>
          <w:numId w:val="21"/>
        </w:numPr>
        <w:spacing w:after="160"/>
        <w:rPr>
          <w:rFonts w:eastAsia="Calibri" w:cs="Times New Roman"/>
          <w:b/>
          <w:i/>
          <w:color w:val="595959" w:themeColor="text1" w:themeTint="A6"/>
          <w:sz w:val="25"/>
          <w:szCs w:val="25"/>
        </w:rPr>
      </w:pPr>
      <w:r>
        <w:rPr>
          <w:rFonts w:eastAsia="Calibri" w:cs="Times New Roman"/>
          <w:b/>
          <w:i/>
          <w:color w:val="595959" w:themeColor="text1" w:themeTint="A6"/>
          <w:sz w:val="25"/>
          <w:szCs w:val="25"/>
        </w:rPr>
        <w:t xml:space="preserve">Κατά τη διάρκεια του 2021 οι συνολικές εκδόσεις και επανεκδόσεις δημοσίου χρέους έφτασαν τα 14 δισ. ευρώ </w:t>
      </w:r>
    </w:p>
    <w:p w14:paraId="2EB9AF6F" w14:textId="65DCE688" w:rsidR="005C360F" w:rsidRDefault="005C360F">
      <w:pPr>
        <w:spacing w:after="160" w:line="0" w:lineRule="auto"/>
        <w:jc w:val="left"/>
        <w:rPr>
          <w:rFonts w:eastAsia="Calibri" w:cs="Times New Roman"/>
          <w:color w:val="auto"/>
        </w:rPr>
      </w:pPr>
      <w:bookmarkStart w:id="149" w:name="_Toc495497480"/>
    </w:p>
    <w:p w14:paraId="5C71DD7D" w14:textId="464B5B18" w:rsidR="005C360F" w:rsidRPr="0047674D" w:rsidRDefault="005C360F" w:rsidP="0047674D">
      <w:pPr>
        <w:autoSpaceDE w:val="0"/>
        <w:autoSpaceDN w:val="0"/>
        <w:adjustRightInd w:val="0"/>
        <w:spacing w:after="0"/>
        <w:rPr>
          <w:rFonts w:eastAsia="Calibri" w:cs="Trebuchet MS"/>
          <w:bCs/>
          <w:color w:val="000000"/>
        </w:rPr>
      </w:pPr>
      <w:r w:rsidRPr="0047674D">
        <w:rPr>
          <w:rFonts w:eastAsia="Calibri" w:cs="Trebuchet MS"/>
          <w:bCs/>
          <w:color w:val="000000"/>
        </w:rPr>
        <w:t xml:space="preserve">Η επιδημική κρίση δημιούργησε πρόσθετες χρηματοδοτικές ανάγκες για την κάλυψη του υψηλού ελλείμματος που προκλήθηκε τόσο από τις αυξημένες δαπάνες για την αντιμετώπιση της πανδημίας όσο και από την μείωση των εσόδων, λόγω σημαντικής κάμψης της οικονομικής δραστηριότητας. Συνέπεια αυτών, ήταν η </w:t>
      </w:r>
      <w:r w:rsidR="0047674D">
        <w:rPr>
          <w:rFonts w:eastAsia="Calibri" w:cs="Trebuchet MS"/>
          <w:bCs/>
          <w:color w:val="000000"/>
        </w:rPr>
        <w:t>αύξηση</w:t>
      </w:r>
      <w:r w:rsidRPr="0047674D">
        <w:rPr>
          <w:rFonts w:eastAsia="Calibri" w:cs="Trebuchet MS"/>
          <w:bCs/>
          <w:color w:val="000000"/>
        </w:rPr>
        <w:t xml:space="preserve"> του  λόγου δημοσίου χρέους/ΑΕΠ κατά 25 περίπου ποσοστιαίες μονάδες το 2020, φτάνοντας σε ιστορικά υψηλά επίπεδα (205,6%). Το τρέχον έτος αναμένεται η αποκλιμάκωσή του, η οποία προβλέπεται να ενταθεί μεσοπρόθεσμα, </w:t>
      </w:r>
      <w:r w:rsidR="009F19EB">
        <w:rPr>
          <w:rFonts w:eastAsia="Calibri" w:cs="Trebuchet MS"/>
          <w:bCs/>
          <w:color w:val="000000"/>
        </w:rPr>
        <w:t xml:space="preserve">στη βάση </w:t>
      </w:r>
      <w:r w:rsidRPr="0047674D">
        <w:rPr>
          <w:rFonts w:eastAsia="Calibri" w:cs="Trebuchet MS"/>
          <w:bCs/>
          <w:color w:val="000000"/>
        </w:rPr>
        <w:t>των προβλέψεων για ισχυρούς ρυθμούς μεγέθυνσης της ελληνικής οικονομίας την περίοδο 2022-2025.</w:t>
      </w:r>
    </w:p>
    <w:p w14:paraId="174ADB1B" w14:textId="77777777" w:rsidR="005C360F" w:rsidRPr="005C360F" w:rsidRDefault="005C360F" w:rsidP="005C360F">
      <w:pPr>
        <w:autoSpaceDE w:val="0"/>
        <w:autoSpaceDN w:val="0"/>
        <w:adjustRightInd w:val="0"/>
        <w:spacing w:after="0" w:line="360" w:lineRule="auto"/>
        <w:rPr>
          <w:rFonts w:eastAsia="Calibri" w:cs="Trebuchet MS"/>
          <w:bCs/>
          <w:color w:val="000000"/>
        </w:rPr>
      </w:pPr>
    </w:p>
    <w:p w14:paraId="5FE4EDB7" w14:textId="7E425E08" w:rsidR="005C360F" w:rsidRPr="008A190C" w:rsidRDefault="005C360F" w:rsidP="0047674D">
      <w:pPr>
        <w:autoSpaceDE w:val="0"/>
        <w:autoSpaceDN w:val="0"/>
        <w:adjustRightInd w:val="0"/>
        <w:spacing w:after="0" w:line="240" w:lineRule="auto"/>
        <w:rPr>
          <w:rFonts w:cs="Trebuchet MS"/>
          <w:bCs/>
          <w:color w:val="00B0F0"/>
          <w:sz w:val="20"/>
          <w:szCs w:val="20"/>
        </w:rPr>
      </w:pPr>
      <w:bookmarkStart w:id="150" w:name="_Toc89172893"/>
      <w:r w:rsidRPr="00F87DDD">
        <w:rPr>
          <w:b/>
          <w:bCs/>
        </w:rPr>
        <w:t xml:space="preserve">Διάγραμμα </w:t>
      </w:r>
      <w:r w:rsidRPr="00F87DDD">
        <w:rPr>
          <w:b/>
          <w:bCs/>
        </w:rPr>
        <w:fldChar w:fldCharType="begin"/>
      </w:r>
      <w:r w:rsidRPr="00F87DDD">
        <w:rPr>
          <w:b/>
          <w:bCs/>
        </w:rPr>
        <w:instrText xml:space="preserve"> SEQ Διάγραμμα \* ARABIC </w:instrText>
      </w:r>
      <w:r w:rsidRPr="00F87DDD">
        <w:rPr>
          <w:b/>
          <w:bCs/>
        </w:rPr>
        <w:fldChar w:fldCharType="separate"/>
      </w:r>
      <w:r w:rsidR="0038196B">
        <w:rPr>
          <w:b/>
          <w:bCs/>
          <w:noProof/>
        </w:rPr>
        <w:t>31</w:t>
      </w:r>
      <w:r w:rsidRPr="00F87DDD">
        <w:rPr>
          <w:b/>
          <w:bCs/>
        </w:rPr>
        <w:fldChar w:fldCharType="end"/>
      </w:r>
      <w:r w:rsidRPr="00F87DDD">
        <w:rPr>
          <w:b/>
          <w:bCs/>
          <w:sz w:val="20"/>
          <w:szCs w:val="20"/>
        </w:rPr>
        <w:t>:</w:t>
      </w:r>
      <w:r w:rsidRPr="00F87DDD">
        <w:rPr>
          <w:b/>
          <w:sz w:val="20"/>
          <w:szCs w:val="20"/>
        </w:rPr>
        <w:t xml:space="preserve"> </w:t>
      </w:r>
      <w:r w:rsidRPr="008A190C">
        <w:rPr>
          <w:rFonts w:cs="Trebuchet MS"/>
          <w:bCs/>
          <w:color w:val="00B0F0"/>
        </w:rPr>
        <w:t>Εξέλιξη χρέους της ΓΚ ως ποσοστό στο ΑΕΠ 2010-2020 &amp; εκτιμήσεις για 2021-2025</w:t>
      </w:r>
      <w:bookmarkEnd w:id="150"/>
    </w:p>
    <w:p w14:paraId="157C2B74" w14:textId="0A1F9F78" w:rsidR="005C360F" w:rsidRPr="005C360F" w:rsidRDefault="005C360F" w:rsidP="005C360F">
      <w:pPr>
        <w:autoSpaceDE w:val="0"/>
        <w:autoSpaceDN w:val="0"/>
        <w:adjustRightInd w:val="0"/>
        <w:spacing w:after="0"/>
        <w:ind w:left="-142"/>
        <w:jc w:val="left"/>
        <w:rPr>
          <w:rFonts w:cs="Trebuchet MS"/>
          <w:b/>
          <w:bCs/>
          <w:color w:val="00B0F0"/>
          <w:sz w:val="20"/>
          <w:szCs w:val="20"/>
        </w:rPr>
      </w:pPr>
      <w:r w:rsidRPr="005C360F">
        <w:rPr>
          <w:rFonts w:eastAsia="Calibri" w:cs="Trebuchet MS"/>
          <w:noProof/>
          <w:color w:val="000000"/>
          <w:sz w:val="24"/>
          <w:szCs w:val="24"/>
          <w:lang w:eastAsia="el-GR"/>
        </w:rPr>
        <w:drawing>
          <wp:inline distT="0" distB="0" distL="0" distR="0" wp14:anchorId="79C12EF6" wp14:editId="3C5C6D91">
            <wp:extent cx="5582920" cy="3686175"/>
            <wp:effectExtent l="0" t="0" r="17780" b="9525"/>
            <wp:docPr id="27" name="Γράφημα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021C1C9" w14:textId="77777777" w:rsidR="0047674D" w:rsidRDefault="005C360F" w:rsidP="005C360F">
      <w:pPr>
        <w:autoSpaceDE w:val="0"/>
        <w:autoSpaceDN w:val="0"/>
        <w:adjustRightInd w:val="0"/>
        <w:spacing w:after="0"/>
        <w:rPr>
          <w:rFonts w:eastAsia="Calibri" w:cs="Calibri"/>
          <w:color w:val="00B0F0"/>
          <w:sz w:val="16"/>
          <w:szCs w:val="16"/>
        </w:rPr>
      </w:pPr>
      <w:r w:rsidRPr="009F19EB">
        <w:rPr>
          <w:rFonts w:eastAsia="Calibri" w:cstheme="minorHAnsi"/>
          <w:b/>
          <w:bCs/>
          <w:color w:val="7F7F7F" w:themeColor="text1" w:themeTint="80"/>
          <w:sz w:val="16"/>
          <w:szCs w:val="16"/>
        </w:rPr>
        <w:t>Πηγές:</w:t>
      </w:r>
      <w:r w:rsidRPr="005C360F">
        <w:rPr>
          <w:rFonts w:eastAsia="Calibri" w:cstheme="minorHAnsi"/>
          <w:bCs/>
          <w:color w:val="auto"/>
          <w:sz w:val="16"/>
          <w:szCs w:val="16"/>
        </w:rPr>
        <w:t xml:space="preserve"> </w:t>
      </w:r>
      <w:r w:rsidRPr="005C360F">
        <w:rPr>
          <w:rFonts w:eastAsia="Calibri" w:cstheme="minorHAnsi"/>
          <w:bCs/>
          <w:color w:val="00B0F0"/>
          <w:sz w:val="16"/>
          <w:szCs w:val="16"/>
        </w:rPr>
        <w:t xml:space="preserve">1) Προσχέδιο ΚΠ 2022 2) </w:t>
      </w:r>
      <w:r w:rsidRPr="005C360F">
        <w:rPr>
          <w:rFonts w:eastAsia="Calibri" w:cs="Calibri"/>
          <w:color w:val="00B0F0"/>
          <w:sz w:val="16"/>
          <w:szCs w:val="16"/>
        </w:rPr>
        <w:t>ΜΠΔΣ 2022-2025</w:t>
      </w:r>
      <w:r w:rsidR="0047674D">
        <w:rPr>
          <w:rFonts w:eastAsia="Calibri" w:cs="Calibri"/>
          <w:color w:val="00B0F0"/>
          <w:sz w:val="16"/>
          <w:szCs w:val="16"/>
        </w:rPr>
        <w:t xml:space="preserve"> </w:t>
      </w:r>
    </w:p>
    <w:p w14:paraId="0C9215E2" w14:textId="0E5E3B9D" w:rsidR="005C360F" w:rsidRPr="0047674D" w:rsidRDefault="005C360F" w:rsidP="005C360F">
      <w:pPr>
        <w:autoSpaceDE w:val="0"/>
        <w:autoSpaceDN w:val="0"/>
        <w:adjustRightInd w:val="0"/>
        <w:spacing w:after="0"/>
        <w:rPr>
          <w:rFonts w:eastAsia="Calibri" w:cstheme="minorHAnsi"/>
          <w:b/>
          <w:bCs/>
          <w:color w:val="7F7F7F" w:themeColor="text1" w:themeTint="80"/>
          <w:sz w:val="16"/>
          <w:szCs w:val="16"/>
        </w:rPr>
      </w:pPr>
      <w:r w:rsidRPr="0047674D">
        <w:rPr>
          <w:rFonts w:eastAsia="Calibri" w:cstheme="minorHAnsi"/>
          <w:b/>
          <w:bCs/>
          <w:color w:val="7F7F7F" w:themeColor="text1" w:themeTint="80"/>
          <w:sz w:val="16"/>
          <w:szCs w:val="16"/>
        </w:rPr>
        <w:t xml:space="preserve">*αφορούν </w:t>
      </w:r>
      <w:r w:rsidR="0047674D" w:rsidRPr="0047674D">
        <w:rPr>
          <w:rFonts w:eastAsia="Calibri" w:cstheme="minorHAnsi"/>
          <w:b/>
          <w:bCs/>
          <w:color w:val="7F7F7F" w:themeColor="text1" w:themeTint="80"/>
          <w:sz w:val="16"/>
          <w:szCs w:val="16"/>
        </w:rPr>
        <w:t xml:space="preserve">σε </w:t>
      </w:r>
      <w:r w:rsidRPr="0047674D">
        <w:rPr>
          <w:rFonts w:eastAsia="Calibri" w:cstheme="minorHAnsi"/>
          <w:b/>
          <w:bCs/>
          <w:color w:val="7F7F7F" w:themeColor="text1" w:themeTint="80"/>
          <w:sz w:val="16"/>
          <w:szCs w:val="16"/>
        </w:rPr>
        <w:t>προβλέψεις</w:t>
      </w:r>
      <w:r w:rsidR="0047674D" w:rsidRPr="0047674D">
        <w:rPr>
          <w:rFonts w:eastAsia="Calibri" w:cstheme="minorHAnsi"/>
          <w:b/>
          <w:bCs/>
          <w:color w:val="7F7F7F" w:themeColor="text1" w:themeTint="80"/>
          <w:sz w:val="16"/>
          <w:szCs w:val="16"/>
        </w:rPr>
        <w:t>)</w:t>
      </w:r>
    </w:p>
    <w:p w14:paraId="47F5275E" w14:textId="1639129B" w:rsidR="005C360F" w:rsidRDefault="005C360F" w:rsidP="005C360F">
      <w:pPr>
        <w:autoSpaceDE w:val="0"/>
        <w:autoSpaceDN w:val="0"/>
        <w:adjustRightInd w:val="0"/>
        <w:spacing w:after="160"/>
        <w:rPr>
          <w:rFonts w:eastAsia="Calibri" w:cs="Trebuchet MS"/>
          <w:bCs/>
          <w:color w:val="000000"/>
        </w:rPr>
      </w:pPr>
      <w:r w:rsidRPr="0047674D">
        <w:rPr>
          <w:rFonts w:eastAsia="Calibri" w:cs="Trebuchet MS"/>
          <w:bCs/>
          <w:color w:val="000000"/>
        </w:rPr>
        <w:lastRenderedPageBreak/>
        <w:t>Τα τελευταία χρόνια η εφαρμογή των βραχυπρόθεσμων και μεσοπρόθεσμων μέτρων ελάφρυνσης του ελληνικού χρέους</w:t>
      </w:r>
      <w:r w:rsidRPr="0047674D">
        <w:rPr>
          <w:rFonts w:eastAsia="Calibri" w:cs="Trebuchet MS"/>
          <w:color w:val="000000"/>
          <w:vertAlign w:val="superscript"/>
        </w:rPr>
        <w:footnoteReference w:id="29"/>
      </w:r>
      <w:r w:rsidRPr="0047674D">
        <w:rPr>
          <w:rFonts w:eastAsia="Calibri" w:cs="Trebuchet MS"/>
          <w:bCs/>
          <w:color w:val="000000"/>
          <w:vertAlign w:val="superscript"/>
        </w:rPr>
        <w:t xml:space="preserve"> </w:t>
      </w:r>
      <w:r w:rsidRPr="0047674D">
        <w:rPr>
          <w:rFonts w:eastAsia="Calibri" w:cs="Trebuchet MS"/>
          <w:bCs/>
          <w:color w:val="000000"/>
        </w:rPr>
        <w:t>συνοδεύτηκε από ένα ευνοϊκό περιβάλλον σταθερών χαμηλών επιτοκίων και πληθωρισμού στην Ευρωπαϊκή οικονομία. Η αποδοχή των ελληνικών ομολόγων από την ΕΚΤ, στο έκτακτο πρόγραμμα αγοράς στοιχείων ενεργητικού</w:t>
      </w:r>
      <w:r w:rsidRPr="0047674D" w:rsidDel="00464166">
        <w:rPr>
          <w:rFonts w:eastAsia="Calibri" w:cs="Trebuchet MS"/>
          <w:bCs/>
          <w:color w:val="000000"/>
        </w:rPr>
        <w:t xml:space="preserve"> </w:t>
      </w:r>
      <w:r w:rsidRPr="0047674D">
        <w:rPr>
          <w:rFonts w:eastAsia="Calibri" w:cs="Trebuchet MS"/>
          <w:bCs/>
          <w:color w:val="000000"/>
        </w:rPr>
        <w:t>(</w:t>
      </w:r>
      <w:hyperlink r:id="rId45" w:history="1">
        <w:r w:rsidRPr="0047674D">
          <w:rPr>
            <w:rFonts w:eastAsia="Calibri" w:cs="Trebuchet MS"/>
            <w:bCs/>
            <w:color w:val="000000"/>
          </w:rPr>
          <w:t>Pandemic Emergency Purchase Programme -PEPP)</w:t>
        </w:r>
      </w:hyperlink>
      <w:r w:rsidRPr="0047674D">
        <w:rPr>
          <w:rFonts w:eastAsia="Calibri" w:cs="Trebuchet MS"/>
          <w:bCs/>
          <w:color w:val="000000"/>
        </w:rPr>
        <w:t xml:space="preserve"> για την αντιμετώπιση της πανδημικής κρίσης, διαμόρφωσε εκ’ νέου ευνοϊκές συνθήκες διαχείρισης του ελληνικού Δημοσίου χρέους</w:t>
      </w:r>
      <w:r w:rsidRPr="0047674D">
        <w:rPr>
          <w:rFonts w:eastAsia="Calibri" w:cs="Trebuchet MS"/>
          <w:bCs/>
          <w:color w:val="000000"/>
          <w:vertAlign w:val="superscript"/>
        </w:rPr>
        <w:footnoteReference w:id="30"/>
      </w:r>
      <w:r w:rsidRPr="0047674D">
        <w:rPr>
          <w:rFonts w:eastAsia="Calibri" w:cs="Trebuchet MS"/>
          <w:bCs/>
          <w:color w:val="000000"/>
        </w:rPr>
        <w:t xml:space="preserve">, παρά την σημαντική αύξηση του λόγου χρέους προς ΑΕΠ το 2020. Ωστόσο, παρά τις θετικές αυτές εξελίξεις, η επίτευξη βιώσιμης και υψηλής μεγέθυνσης της ελληνικής οικονομίας, αποτελεί τη βασική </w:t>
      </w:r>
      <w:r w:rsidR="0027772F">
        <w:rPr>
          <w:rFonts w:eastAsia="Calibri" w:cs="Trebuchet MS"/>
          <w:bCs/>
          <w:color w:val="000000"/>
        </w:rPr>
        <w:t>προϋπόθεση</w:t>
      </w:r>
      <w:r w:rsidRPr="0047674D">
        <w:rPr>
          <w:rFonts w:eastAsia="Calibri" w:cs="Trebuchet MS"/>
          <w:bCs/>
          <w:color w:val="000000"/>
        </w:rPr>
        <w:t xml:space="preserve"> της διατηρησιμότητάς του, σε μέσο-μακροπρόθεσμο ορίζοντα. Οι μακροπρόθεσμοι κίνδυνοι εξακολουθούν να υφίστανται και αυτό συναρτάται σημαντικά αλλά όχι αποκλειστικά </w:t>
      </w:r>
      <w:r w:rsidR="0027772F">
        <w:rPr>
          <w:rFonts w:eastAsia="Calibri" w:cs="Trebuchet MS"/>
          <w:bCs/>
          <w:color w:val="000000"/>
        </w:rPr>
        <w:t>με</w:t>
      </w:r>
      <w:r w:rsidRPr="0047674D">
        <w:rPr>
          <w:rFonts w:eastAsia="Calibri" w:cs="Trebuchet MS"/>
          <w:bCs/>
          <w:color w:val="000000"/>
        </w:rPr>
        <w:t xml:space="preserve"> την εξέλιξη της πανδημίας.</w:t>
      </w:r>
      <w:r w:rsidR="00B73748" w:rsidRPr="0047674D">
        <w:rPr>
          <w:rFonts w:eastAsia="Calibri" w:cs="Trebuchet MS"/>
          <w:bCs/>
          <w:color w:val="000000"/>
        </w:rPr>
        <w:t xml:space="preserve"> </w:t>
      </w:r>
      <w:r w:rsidRPr="0047674D">
        <w:rPr>
          <w:rFonts w:eastAsia="Calibri" w:cs="Trebuchet MS"/>
          <w:bCs/>
          <w:color w:val="000000"/>
        </w:rPr>
        <w:t>Ιδιαίτερη βαρύτητα θα διαδραματίσουν οι νέοι δημοσιονομικοί κανόνες που θα ισχύσουν μετά την λήξη ισχύος της γενικής ρήτρας διαφυγής του Συμφώνου Σταθερότητας και Ανάπτυξης (ΣΣΑ), καθώς και η υποστηρικτική νομισματική πολιτική της Ευρωπαϊκής Κεντρικής Τράπεζας (ΕΚΤ), μετά την λήξη του έκτακτου προγράμματος αγοράς στοιχείων ενεργητικού λόγω πανδημίας (PEPP).</w:t>
      </w:r>
    </w:p>
    <w:p w14:paraId="6649365B" w14:textId="77777777" w:rsidR="0047674D" w:rsidRDefault="0047674D" w:rsidP="005C360F">
      <w:pPr>
        <w:autoSpaceDE w:val="0"/>
        <w:autoSpaceDN w:val="0"/>
        <w:adjustRightInd w:val="0"/>
        <w:spacing w:after="160"/>
        <w:rPr>
          <w:rFonts w:eastAsia="Calibri" w:cs="Trebuchet MS"/>
          <w:bCs/>
          <w:color w:val="000000"/>
        </w:rPr>
      </w:pPr>
    </w:p>
    <w:p w14:paraId="2D4CCEAB" w14:textId="5FAE35DE" w:rsidR="0047674D" w:rsidRPr="005C360F" w:rsidRDefault="0047674D" w:rsidP="0047674D">
      <w:pPr>
        <w:spacing w:after="0" w:line="240" w:lineRule="auto"/>
        <w:rPr>
          <w:rFonts w:ascii="Calibri" w:eastAsia="Calibri" w:hAnsi="Calibri" w:cs="Times New Roman"/>
          <w:bCs/>
          <w:color w:val="auto"/>
        </w:rPr>
      </w:pPr>
      <w:bookmarkStart w:id="151" w:name="_Ref88070878"/>
      <w:bookmarkStart w:id="152" w:name="_Ref8996616"/>
      <w:bookmarkStart w:id="153" w:name="_Toc40495870"/>
      <w:bookmarkStart w:id="154" w:name="_Toc42277444"/>
      <w:bookmarkStart w:id="155" w:name="_Toc89172894"/>
      <w:r w:rsidRPr="00F87DDD">
        <w:rPr>
          <w:b/>
          <w:bCs/>
        </w:rPr>
        <w:t xml:space="preserve">Διάγραμμα </w:t>
      </w:r>
      <w:r w:rsidRPr="00F87DDD">
        <w:rPr>
          <w:b/>
          <w:bCs/>
        </w:rPr>
        <w:fldChar w:fldCharType="begin"/>
      </w:r>
      <w:r w:rsidRPr="00F87DDD">
        <w:rPr>
          <w:b/>
          <w:bCs/>
        </w:rPr>
        <w:instrText xml:space="preserve"> SEQ Διάγραμμα \* ARABIC </w:instrText>
      </w:r>
      <w:r w:rsidRPr="00F87DDD">
        <w:rPr>
          <w:b/>
          <w:bCs/>
        </w:rPr>
        <w:fldChar w:fldCharType="separate"/>
      </w:r>
      <w:r w:rsidR="0038196B">
        <w:rPr>
          <w:b/>
          <w:bCs/>
          <w:noProof/>
        </w:rPr>
        <w:t>32</w:t>
      </w:r>
      <w:r w:rsidRPr="00F87DDD">
        <w:rPr>
          <w:b/>
          <w:bCs/>
        </w:rPr>
        <w:fldChar w:fldCharType="end"/>
      </w:r>
      <w:bookmarkEnd w:id="151"/>
      <w:r w:rsidRPr="00F87DDD">
        <w:rPr>
          <w:b/>
          <w:bCs/>
          <w:sz w:val="20"/>
          <w:szCs w:val="20"/>
        </w:rPr>
        <w:t>:</w:t>
      </w:r>
      <w:r w:rsidRPr="00F87DDD">
        <w:rPr>
          <w:b/>
          <w:sz w:val="20"/>
          <w:szCs w:val="20"/>
        </w:rPr>
        <w:t xml:space="preserve"> </w:t>
      </w:r>
      <w:bookmarkEnd w:id="152"/>
      <w:bookmarkEnd w:id="153"/>
      <w:bookmarkEnd w:id="154"/>
      <w:r w:rsidRPr="008A190C">
        <w:rPr>
          <w:color w:val="00A3E0"/>
        </w:rPr>
        <w:t>Αποδόσεις δεκαετών ομολόγων</w:t>
      </w:r>
      <w:bookmarkEnd w:id="155"/>
      <w:r w:rsidRPr="005C360F">
        <w:rPr>
          <w:color w:val="00A3E0"/>
        </w:rPr>
        <w:t xml:space="preserve"> </w:t>
      </w:r>
    </w:p>
    <w:p w14:paraId="76A14FF5" w14:textId="77777777" w:rsidR="0047674D" w:rsidRPr="005C360F" w:rsidRDefault="0047674D" w:rsidP="0047674D">
      <w:pPr>
        <w:autoSpaceDE w:val="0"/>
        <w:autoSpaceDN w:val="0"/>
        <w:adjustRightInd w:val="0"/>
        <w:spacing w:after="0"/>
        <w:rPr>
          <w:rFonts w:eastAsia="Calibri" w:cs="Trebuchet MS"/>
          <w:bCs/>
          <w:color w:val="000000"/>
          <w:sz w:val="24"/>
          <w:szCs w:val="24"/>
        </w:rPr>
      </w:pPr>
      <w:r w:rsidRPr="005C360F">
        <w:rPr>
          <w:rFonts w:eastAsia="Calibri" w:cs="Trebuchet MS"/>
          <w:noProof/>
          <w:color w:val="000000"/>
          <w:sz w:val="24"/>
          <w:szCs w:val="24"/>
          <w:lang w:eastAsia="el-GR"/>
        </w:rPr>
        <w:drawing>
          <wp:inline distT="0" distB="0" distL="0" distR="0" wp14:anchorId="1D93BB26" wp14:editId="477F6451">
            <wp:extent cx="5657850" cy="2825115"/>
            <wp:effectExtent l="0" t="0" r="0" b="13335"/>
            <wp:docPr id="32" name="Γράφημα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585620A" w14:textId="77777777" w:rsidR="0047674D" w:rsidRPr="005C360F" w:rsidRDefault="0047674D" w:rsidP="0047674D">
      <w:pPr>
        <w:autoSpaceDE w:val="0"/>
        <w:autoSpaceDN w:val="0"/>
        <w:adjustRightInd w:val="0"/>
        <w:spacing w:after="0"/>
        <w:rPr>
          <w:rFonts w:eastAsia="Calibri" w:cstheme="minorHAnsi"/>
          <w:bCs/>
          <w:color w:val="111111"/>
          <w:sz w:val="16"/>
          <w:szCs w:val="16"/>
        </w:rPr>
      </w:pPr>
      <w:r w:rsidRPr="005C360F">
        <w:rPr>
          <w:rFonts w:eastAsia="Calibri" w:cstheme="minorHAnsi"/>
          <w:b/>
          <w:bCs/>
          <w:color w:val="767171" w:themeColor="background2" w:themeShade="80"/>
          <w:sz w:val="16"/>
          <w:szCs w:val="16"/>
        </w:rPr>
        <w:t>Πηγή :</w:t>
      </w:r>
      <w:r w:rsidRPr="005C360F">
        <w:rPr>
          <w:rFonts w:eastAsia="Calibri" w:cstheme="minorHAnsi"/>
          <w:b/>
          <w:bCs/>
          <w:color w:val="111111"/>
          <w:sz w:val="16"/>
          <w:szCs w:val="16"/>
        </w:rPr>
        <w:t xml:space="preserve"> </w:t>
      </w:r>
      <w:r w:rsidRPr="005C360F">
        <w:rPr>
          <w:rFonts w:eastAsia="Calibri" w:cstheme="minorHAnsi"/>
          <w:b/>
          <w:bCs/>
          <w:color w:val="00B0F0"/>
          <w:sz w:val="16"/>
          <w:szCs w:val="16"/>
          <w:lang w:val="en-US"/>
        </w:rPr>
        <w:t>Bloomberg</w:t>
      </w:r>
      <w:r w:rsidRPr="005C360F">
        <w:rPr>
          <w:rFonts w:eastAsia="Calibri" w:cstheme="minorHAnsi"/>
          <w:b/>
          <w:bCs/>
          <w:color w:val="00B0F0"/>
          <w:sz w:val="16"/>
          <w:szCs w:val="16"/>
        </w:rPr>
        <w:t xml:space="preserve">, </w:t>
      </w:r>
      <w:r w:rsidRPr="005C360F">
        <w:rPr>
          <w:rFonts w:eastAsia="Calibri" w:cstheme="minorHAnsi"/>
          <w:b/>
          <w:bCs/>
          <w:color w:val="00B0F0"/>
          <w:sz w:val="16"/>
          <w:szCs w:val="16"/>
          <w:lang w:val="en-US"/>
        </w:rPr>
        <w:t>Datastream</w:t>
      </w:r>
      <w:r w:rsidRPr="005C360F">
        <w:rPr>
          <w:rFonts w:eastAsia="Calibri" w:cstheme="minorHAnsi"/>
          <w:b/>
          <w:bCs/>
          <w:color w:val="00B0F0"/>
          <w:sz w:val="16"/>
          <w:szCs w:val="16"/>
        </w:rPr>
        <w:t>, βάση δεδομένων ΕΔΣ</w:t>
      </w:r>
    </w:p>
    <w:p w14:paraId="60DA2463" w14:textId="77777777" w:rsidR="0047674D" w:rsidRPr="0047674D" w:rsidRDefault="0047674D" w:rsidP="005C360F">
      <w:pPr>
        <w:autoSpaceDE w:val="0"/>
        <w:autoSpaceDN w:val="0"/>
        <w:adjustRightInd w:val="0"/>
        <w:spacing w:after="160"/>
        <w:rPr>
          <w:rFonts w:eastAsia="Calibri" w:cs="Trebuchet MS"/>
          <w:bCs/>
          <w:color w:val="000000"/>
        </w:rPr>
      </w:pPr>
    </w:p>
    <w:p w14:paraId="05229B6F" w14:textId="78CE3202" w:rsidR="005C360F" w:rsidRPr="0047674D" w:rsidRDefault="005C360F" w:rsidP="0047674D">
      <w:pPr>
        <w:autoSpaceDE w:val="0"/>
        <w:autoSpaceDN w:val="0"/>
        <w:adjustRightInd w:val="0"/>
        <w:spacing w:after="240"/>
        <w:rPr>
          <w:rFonts w:eastAsia="Calibri" w:cs="Trebuchet MS"/>
          <w:color w:val="000000"/>
        </w:rPr>
      </w:pPr>
      <w:r w:rsidRPr="0047674D">
        <w:rPr>
          <w:rFonts w:eastAsia="Calibri" w:cs="Trebuchet MS"/>
          <w:color w:val="000000"/>
        </w:rPr>
        <w:t>Οι αποδόσεις των ελληνικών ομολόγων ανεξάρτητα απ</w:t>
      </w:r>
      <w:r w:rsidR="0027772F">
        <w:rPr>
          <w:rFonts w:eastAsia="Calibri" w:cs="Trebuchet MS"/>
          <w:color w:val="000000"/>
        </w:rPr>
        <w:t>ό τον χρονικό ορίζοντα «ωρίμανσή</w:t>
      </w:r>
      <w:r w:rsidRPr="0047674D">
        <w:rPr>
          <w:rFonts w:eastAsia="Calibri" w:cs="Trebuchet MS"/>
          <w:color w:val="000000"/>
        </w:rPr>
        <w:t>ς» τους εξακολουθούν να βρίσκονται σε ιδιαίτερα χα</w:t>
      </w:r>
      <w:r w:rsidR="00791466">
        <w:rPr>
          <w:rFonts w:eastAsia="Calibri" w:cs="Trebuchet MS"/>
          <w:color w:val="000000"/>
        </w:rPr>
        <w:t xml:space="preserve">μηλά επίπεδα αν και τον Οκτώβριο </w:t>
      </w:r>
      <w:r w:rsidRPr="0047674D">
        <w:rPr>
          <w:rFonts w:eastAsia="Calibri" w:cs="Trebuchet MS"/>
          <w:color w:val="000000"/>
        </w:rPr>
        <w:t>παρατηρήθηκε μια μικρή αύξηση η οποία είχε συστημικό χαρακτήρα και επηρέασε όλες τις χώρες της Ε.Ε.</w:t>
      </w:r>
      <w:r w:rsidR="00B73748" w:rsidRPr="0047674D">
        <w:rPr>
          <w:rFonts w:eastAsia="Calibri" w:cs="Trebuchet MS"/>
          <w:color w:val="000000"/>
        </w:rPr>
        <w:t xml:space="preserve"> </w:t>
      </w:r>
      <w:r w:rsidR="0027772F">
        <w:rPr>
          <w:rFonts w:eastAsia="Calibri" w:cs="Trebuchet MS"/>
          <w:color w:val="000000"/>
        </w:rPr>
        <w:t>και συνδεόταν</w:t>
      </w:r>
      <w:r w:rsidRPr="0047674D">
        <w:rPr>
          <w:rFonts w:eastAsia="Calibri" w:cs="Trebuchet MS"/>
          <w:color w:val="000000"/>
        </w:rPr>
        <w:t xml:space="preserve"> </w:t>
      </w:r>
      <w:r w:rsidR="0027772F">
        <w:rPr>
          <w:rFonts w:eastAsia="Calibri" w:cs="Trebuchet MS"/>
          <w:color w:val="000000"/>
        </w:rPr>
        <w:t>μ</w:t>
      </w:r>
      <w:r w:rsidRPr="0047674D">
        <w:rPr>
          <w:rFonts w:eastAsia="Calibri" w:cs="Trebuchet MS"/>
          <w:color w:val="000000"/>
        </w:rPr>
        <w:t xml:space="preserve">ε ανησυχίες για τον πληθωρισμό. Το δεκαετές ομόλογο την τρέχουσα περίοδο τίθεται υπό </w:t>
      </w:r>
      <w:r w:rsidRPr="0047674D">
        <w:rPr>
          <w:rFonts w:eastAsia="Calibri" w:cs="Trebuchet MS"/>
          <w:color w:val="000000"/>
        </w:rPr>
        <w:lastRenderedPageBreak/>
        <w:t>διαπραγμάτευση στην δευτερογενή αγορά κοντά στο 1,08% (</w:t>
      </w:r>
      <w:r w:rsidR="00B73748" w:rsidRPr="0047674D">
        <w:rPr>
          <w:rFonts w:eastAsia="Calibri" w:cs="Trebuchet MS"/>
          <w:color w:val="000000"/>
        </w:rPr>
        <w:fldChar w:fldCharType="begin"/>
      </w:r>
      <w:r w:rsidR="00B73748" w:rsidRPr="0047674D">
        <w:rPr>
          <w:rFonts w:eastAsia="Calibri" w:cs="Trebuchet MS"/>
          <w:color w:val="000000"/>
        </w:rPr>
        <w:instrText xml:space="preserve"> REF _Ref88070878 \h </w:instrText>
      </w:r>
      <w:r w:rsidR="0047674D" w:rsidRPr="0047674D">
        <w:rPr>
          <w:rFonts w:eastAsia="Calibri" w:cs="Trebuchet MS"/>
          <w:color w:val="000000"/>
        </w:rPr>
        <w:instrText xml:space="preserve"> \* MERGEFORMAT </w:instrText>
      </w:r>
      <w:r w:rsidR="00B73748" w:rsidRPr="0047674D">
        <w:rPr>
          <w:rFonts w:eastAsia="Calibri" w:cs="Trebuchet MS"/>
          <w:color w:val="000000"/>
        </w:rPr>
      </w:r>
      <w:r w:rsidR="00B73748" w:rsidRPr="0047674D">
        <w:rPr>
          <w:rFonts w:eastAsia="Calibri" w:cs="Trebuchet MS"/>
          <w:color w:val="000000"/>
        </w:rPr>
        <w:fldChar w:fldCharType="separate"/>
      </w:r>
      <w:r w:rsidR="0038196B" w:rsidRPr="00F87DDD">
        <w:rPr>
          <w:b/>
          <w:bCs/>
        </w:rPr>
        <w:t xml:space="preserve">Διάγραμμα </w:t>
      </w:r>
      <w:r w:rsidR="0038196B">
        <w:rPr>
          <w:b/>
          <w:bCs/>
          <w:noProof/>
        </w:rPr>
        <w:t>32</w:t>
      </w:r>
      <w:r w:rsidR="00B73748" w:rsidRPr="0047674D">
        <w:rPr>
          <w:rFonts w:eastAsia="Calibri" w:cs="Trebuchet MS"/>
          <w:color w:val="000000"/>
        </w:rPr>
        <w:fldChar w:fldCharType="end"/>
      </w:r>
      <w:r w:rsidRPr="0047674D">
        <w:rPr>
          <w:rFonts w:eastAsia="Calibri" w:cs="Trebuchet MS"/>
          <w:color w:val="000000"/>
        </w:rPr>
        <w:t xml:space="preserve">) γεγονός ιδιαίτερα ευνοϊκό για το κόστος δανεισμού του ελληνικού </w:t>
      </w:r>
      <w:r w:rsidR="00791466">
        <w:rPr>
          <w:rFonts w:eastAsia="Calibri" w:cs="Trebuchet MS"/>
          <w:color w:val="000000"/>
        </w:rPr>
        <w:t>Δ</w:t>
      </w:r>
      <w:r w:rsidRPr="0047674D">
        <w:rPr>
          <w:rFonts w:eastAsia="Calibri" w:cs="Trebuchet MS"/>
          <w:color w:val="000000"/>
        </w:rPr>
        <w:t xml:space="preserve">ημοσίου. Καθώς η οικονομική δραστηριότητα έχει σημειώσει σημαντική ανάκαμψη και αναμένεται </w:t>
      </w:r>
      <w:r w:rsidR="0027772F">
        <w:rPr>
          <w:rFonts w:eastAsia="Calibri" w:cs="Trebuchet MS"/>
          <w:color w:val="000000"/>
        </w:rPr>
        <w:t>περαιτέρω</w:t>
      </w:r>
      <w:r w:rsidRPr="0047674D">
        <w:rPr>
          <w:rFonts w:eastAsia="Calibri" w:cs="Trebuchet MS"/>
          <w:color w:val="000000"/>
        </w:rPr>
        <w:t xml:space="preserve"> ενίσχυσ</w:t>
      </w:r>
      <w:r w:rsidR="0027772F">
        <w:rPr>
          <w:rFonts w:eastAsia="Calibri" w:cs="Trebuchet MS"/>
          <w:color w:val="000000"/>
        </w:rPr>
        <w:t>ή</w:t>
      </w:r>
      <w:r w:rsidRPr="0047674D">
        <w:rPr>
          <w:rFonts w:eastAsia="Calibri" w:cs="Trebuchet MS"/>
          <w:color w:val="000000"/>
        </w:rPr>
        <w:t xml:space="preserve"> της, οι  πληθωριστικές πιέσεις είναι πιθανό να ενταθούν με αποτέλεσμα και την αναμενόμενη αύξηση των αποδόσεων. Εξάλλου, το πρόγραμμα αγοράς κρατικών ομολόγων από την ΕΚΤ (</w:t>
      </w:r>
      <w:r w:rsidRPr="0047674D">
        <w:rPr>
          <w:rFonts w:eastAsia="Calibri" w:cs="Trebuchet MS"/>
          <w:color w:val="000000"/>
          <w:lang w:val="en-US"/>
        </w:rPr>
        <w:t>PEPP</w:t>
      </w:r>
      <w:r w:rsidRPr="0047674D">
        <w:rPr>
          <w:rFonts w:eastAsia="Calibri" w:cs="Trebuchet MS"/>
          <w:color w:val="000000"/>
        </w:rPr>
        <w:t xml:space="preserve">) </w:t>
      </w:r>
      <w:r w:rsidR="0027772F">
        <w:rPr>
          <w:rFonts w:eastAsia="Calibri" w:cs="Trebuchet MS"/>
          <w:color w:val="000000"/>
        </w:rPr>
        <w:t xml:space="preserve">από το </w:t>
      </w:r>
      <w:r w:rsidRPr="0047674D">
        <w:rPr>
          <w:rFonts w:eastAsia="Calibri" w:cs="Trebuchet MS"/>
          <w:color w:val="000000"/>
        </w:rPr>
        <w:t xml:space="preserve">οποίο επωφελείται η Ελλάδα έχει έκτακτο χαρακτήρα και αναμένεται σταδιακά να περιοριστεί ενώ η συμπερίληψη των ελληνικών ομολόγων στα καθιερωμένα προγράμματα επαναγοράς θα εξαρτηθεί από το πόσο γρήγορα οι τίτλοι του ελληνικού </w:t>
      </w:r>
      <w:r w:rsidR="00791466">
        <w:rPr>
          <w:rFonts w:eastAsia="Calibri" w:cs="Trebuchet MS"/>
          <w:color w:val="000000"/>
        </w:rPr>
        <w:t>Δ</w:t>
      </w:r>
      <w:r w:rsidRPr="0047674D">
        <w:rPr>
          <w:rFonts w:eastAsia="Calibri" w:cs="Trebuchet MS"/>
          <w:color w:val="000000"/>
        </w:rPr>
        <w:t xml:space="preserve">ημοσίου θα χαρακτηριστούν από τους οίκους αξιολόγησης ως επενδυτικά και όχι κερδοσκοπικά προϊόντα, θα ενταχθούν δηλαδή σε επενδυτική βαθμίδα. </w:t>
      </w:r>
    </w:p>
    <w:p w14:paraId="0A6E06B4" w14:textId="629E8631" w:rsidR="005C360F" w:rsidRPr="0027772F" w:rsidRDefault="0027772F" w:rsidP="005C360F">
      <w:pPr>
        <w:autoSpaceDE w:val="0"/>
        <w:autoSpaceDN w:val="0"/>
        <w:adjustRightInd w:val="0"/>
        <w:spacing w:after="0"/>
        <w:rPr>
          <w:rFonts w:eastAsia="Calibri" w:cs="Trebuchet MS"/>
          <w:color w:val="000000"/>
        </w:rPr>
      </w:pPr>
      <w:r w:rsidRPr="0027772F">
        <w:rPr>
          <w:rFonts w:eastAsia="Calibri" w:cs="Trebuchet MS"/>
          <w:color w:val="000000"/>
        </w:rPr>
        <w:t>Σ</w:t>
      </w:r>
      <w:r w:rsidR="005C360F" w:rsidRPr="0027772F">
        <w:rPr>
          <w:rFonts w:eastAsia="Calibri" w:cs="Trebuchet MS"/>
          <w:color w:val="000000"/>
        </w:rPr>
        <w:t xml:space="preserve">τις αρχές Σεπτεμβρίου το ελληνικό Δημόσιο προχώρησε στην επανέκδοση ενός 5ετούς τίτλου με σχεδόν μηδενικό επιτόκιο και ενός 30ετούς τίτλου με επιτόκιο 1,67% ενώ συνολικά αντλήθηκαν 2,5 δισ. ευρώ.  Από την αρχή του χρόνου έχουν αντληθεί συνολικά μέχρι και σήμερα 14 δισ. ευρώ τα οποία έχουν κατευθυνθεί κατά κύριο λόγο στην χρηματοδότηση των υποστηρικτικών μέτρων για την αντιμετώπιση της πανδημίας. Στον παρακάτω πίνακα </w:t>
      </w:r>
      <w:r>
        <w:rPr>
          <w:rFonts w:eastAsia="Calibri" w:cs="Trebuchet MS"/>
          <w:color w:val="000000"/>
        </w:rPr>
        <w:t>αναγράφονται</w:t>
      </w:r>
      <w:r w:rsidR="005C360F" w:rsidRPr="0027772F">
        <w:rPr>
          <w:rFonts w:eastAsia="Calibri" w:cs="Trebuchet MS"/>
          <w:color w:val="000000"/>
        </w:rPr>
        <w:t xml:space="preserve"> όλες οι εκδόσεις ή επανεκδόσεις ελληνικών ομολόγων από την αρχή του έτους και το αντίστοιχο κόστος δανεισμού. </w:t>
      </w:r>
    </w:p>
    <w:p w14:paraId="2A01467A" w14:textId="77777777" w:rsidR="0047674D" w:rsidRPr="005C360F" w:rsidRDefault="0047674D" w:rsidP="005C360F">
      <w:pPr>
        <w:autoSpaceDE w:val="0"/>
        <w:autoSpaceDN w:val="0"/>
        <w:adjustRightInd w:val="0"/>
        <w:spacing w:after="0"/>
        <w:rPr>
          <w:rFonts w:eastAsia="Calibri" w:cs="Trebuchet MS"/>
          <w:color w:val="000000"/>
          <w:sz w:val="24"/>
          <w:szCs w:val="24"/>
        </w:rPr>
      </w:pPr>
    </w:p>
    <w:p w14:paraId="3A03E3DC" w14:textId="642AC486" w:rsidR="005C360F" w:rsidRPr="005C360F" w:rsidRDefault="0047674D" w:rsidP="0047674D">
      <w:pPr>
        <w:autoSpaceDE w:val="0"/>
        <w:autoSpaceDN w:val="0"/>
        <w:adjustRightInd w:val="0"/>
        <w:spacing w:after="60" w:line="240" w:lineRule="auto"/>
        <w:rPr>
          <w:rFonts w:eastAsia="Calibri" w:cs="Trebuchet MS"/>
          <w:color w:val="000000"/>
          <w:sz w:val="24"/>
          <w:szCs w:val="24"/>
        </w:rPr>
      </w:pPr>
      <w:bookmarkStart w:id="156" w:name="_Toc89172859"/>
      <w:r w:rsidRPr="00FD791B">
        <w:rPr>
          <w:b/>
          <w:iCs/>
          <w:color w:val="808080" w:themeColor="background1" w:themeShade="80"/>
          <w:sz w:val="20"/>
          <w:szCs w:val="20"/>
        </w:rPr>
        <w:t xml:space="preserve">Πίνακας </w:t>
      </w:r>
      <w:r w:rsidRPr="00FD791B">
        <w:rPr>
          <w:b/>
          <w:iCs/>
          <w:color w:val="808080" w:themeColor="background1" w:themeShade="80"/>
          <w:sz w:val="20"/>
          <w:szCs w:val="20"/>
        </w:rPr>
        <w:fldChar w:fldCharType="begin"/>
      </w:r>
      <w:r w:rsidRPr="00FD791B">
        <w:rPr>
          <w:b/>
          <w:iCs/>
          <w:color w:val="808080" w:themeColor="background1" w:themeShade="80"/>
          <w:sz w:val="20"/>
          <w:szCs w:val="20"/>
        </w:rPr>
        <w:instrText xml:space="preserve"> SEQ Πίνακας \* ARABIC </w:instrText>
      </w:r>
      <w:r w:rsidRPr="00FD791B">
        <w:rPr>
          <w:b/>
          <w:iCs/>
          <w:color w:val="808080" w:themeColor="background1" w:themeShade="80"/>
          <w:sz w:val="20"/>
          <w:szCs w:val="20"/>
        </w:rPr>
        <w:fldChar w:fldCharType="separate"/>
      </w:r>
      <w:r w:rsidR="0038196B">
        <w:rPr>
          <w:b/>
          <w:iCs/>
          <w:noProof/>
          <w:color w:val="808080" w:themeColor="background1" w:themeShade="80"/>
          <w:sz w:val="20"/>
          <w:szCs w:val="20"/>
        </w:rPr>
        <w:t>14</w:t>
      </w:r>
      <w:r w:rsidRPr="00FD791B">
        <w:rPr>
          <w:b/>
          <w:iCs/>
          <w:color w:val="808080" w:themeColor="background1" w:themeShade="80"/>
          <w:sz w:val="20"/>
          <w:szCs w:val="20"/>
        </w:rPr>
        <w:fldChar w:fldCharType="end"/>
      </w:r>
      <w:r w:rsidRPr="00FD791B">
        <w:rPr>
          <w:b/>
          <w:iCs/>
          <w:color w:val="808080" w:themeColor="background1" w:themeShade="80"/>
          <w:sz w:val="20"/>
          <w:szCs w:val="20"/>
        </w:rPr>
        <w:t>:</w:t>
      </w:r>
      <w:r w:rsidRPr="00FD791B">
        <w:rPr>
          <w:b/>
          <w:iCs/>
          <w:color w:val="808080" w:themeColor="background1" w:themeShade="80"/>
        </w:rPr>
        <w:t xml:space="preserve"> </w:t>
      </w:r>
      <w:r w:rsidRPr="005C360F">
        <w:rPr>
          <w:color w:val="00A3E0"/>
        </w:rPr>
        <w:t>Εκδόσεις ελληνικών ομολόγων</w:t>
      </w:r>
      <w:r>
        <w:rPr>
          <w:color w:val="00A3E0"/>
        </w:rPr>
        <w:t xml:space="preserve"> 2021</w:t>
      </w:r>
      <w:bookmarkEnd w:id="156"/>
    </w:p>
    <w:tbl>
      <w:tblPr>
        <w:tblW w:w="8482" w:type="dxa"/>
        <w:tblLook w:val="04A0" w:firstRow="1" w:lastRow="0" w:firstColumn="1" w:lastColumn="0" w:noHBand="0" w:noVBand="1"/>
      </w:tblPr>
      <w:tblGrid>
        <w:gridCol w:w="2982"/>
        <w:gridCol w:w="2371"/>
        <w:gridCol w:w="1950"/>
        <w:gridCol w:w="1179"/>
      </w:tblGrid>
      <w:tr w:rsidR="005C360F" w:rsidRPr="0047674D" w14:paraId="1E7304E1" w14:textId="77777777" w:rsidTr="0047674D">
        <w:trPr>
          <w:trHeight w:val="370"/>
        </w:trPr>
        <w:tc>
          <w:tcPr>
            <w:tcW w:w="2982" w:type="dxa"/>
            <w:tcBorders>
              <w:top w:val="nil"/>
              <w:left w:val="nil"/>
              <w:bottom w:val="single" w:sz="12" w:space="0" w:color="auto"/>
              <w:right w:val="nil"/>
            </w:tcBorders>
            <w:shd w:val="clear" w:color="000000" w:fill="B4C6E7"/>
            <w:vAlign w:val="center"/>
            <w:hideMark/>
          </w:tcPr>
          <w:p w14:paraId="7924B276" w14:textId="77777777" w:rsidR="005C360F" w:rsidRPr="0047674D" w:rsidRDefault="005C360F" w:rsidP="005C360F">
            <w:pPr>
              <w:spacing w:after="0" w:line="240" w:lineRule="auto"/>
              <w:jc w:val="center"/>
              <w:rPr>
                <w:rFonts w:eastAsia="Times New Roman" w:cs="Calibri"/>
                <w:b/>
                <w:bCs/>
                <w:color w:val="000000"/>
                <w:sz w:val="20"/>
                <w:szCs w:val="20"/>
                <w:lang w:val="en-US"/>
              </w:rPr>
            </w:pPr>
            <w:r w:rsidRPr="0047674D">
              <w:rPr>
                <w:rFonts w:eastAsia="Times New Roman" w:cs="Calibri"/>
                <w:b/>
                <w:bCs/>
                <w:color w:val="000000"/>
                <w:sz w:val="20"/>
                <w:szCs w:val="20"/>
                <w:lang w:val="en-US"/>
              </w:rPr>
              <w:t>Είδος Εκδοσης</w:t>
            </w:r>
          </w:p>
        </w:tc>
        <w:tc>
          <w:tcPr>
            <w:tcW w:w="2371" w:type="dxa"/>
            <w:tcBorders>
              <w:top w:val="nil"/>
              <w:left w:val="nil"/>
              <w:bottom w:val="single" w:sz="12" w:space="0" w:color="auto"/>
              <w:right w:val="nil"/>
            </w:tcBorders>
            <w:shd w:val="clear" w:color="000000" w:fill="B4C6E7"/>
            <w:vAlign w:val="center"/>
            <w:hideMark/>
          </w:tcPr>
          <w:p w14:paraId="0FDF51A8" w14:textId="77777777" w:rsidR="005C360F" w:rsidRPr="0047674D" w:rsidRDefault="005C360F" w:rsidP="005C360F">
            <w:pPr>
              <w:spacing w:after="0" w:line="240" w:lineRule="auto"/>
              <w:jc w:val="center"/>
              <w:rPr>
                <w:rFonts w:eastAsia="Times New Roman" w:cs="Calibri"/>
                <w:b/>
                <w:bCs/>
                <w:color w:val="000000"/>
                <w:sz w:val="20"/>
                <w:szCs w:val="20"/>
                <w:lang w:val="en-US"/>
              </w:rPr>
            </w:pPr>
            <w:r w:rsidRPr="0047674D">
              <w:rPr>
                <w:rFonts w:eastAsia="Times New Roman" w:cs="Calibri"/>
                <w:b/>
                <w:bCs/>
                <w:color w:val="000000"/>
                <w:sz w:val="20"/>
                <w:szCs w:val="20"/>
                <w:lang w:val="en-US"/>
              </w:rPr>
              <w:t>Ημερομηνία</w:t>
            </w:r>
          </w:p>
        </w:tc>
        <w:tc>
          <w:tcPr>
            <w:tcW w:w="1950" w:type="dxa"/>
            <w:tcBorders>
              <w:top w:val="nil"/>
              <w:left w:val="nil"/>
              <w:bottom w:val="single" w:sz="12" w:space="0" w:color="auto"/>
              <w:right w:val="nil"/>
            </w:tcBorders>
            <w:shd w:val="clear" w:color="000000" w:fill="B4C6E7"/>
            <w:vAlign w:val="center"/>
            <w:hideMark/>
          </w:tcPr>
          <w:p w14:paraId="054C4605" w14:textId="77777777" w:rsidR="005C360F" w:rsidRPr="0047674D" w:rsidRDefault="005C360F" w:rsidP="005C360F">
            <w:pPr>
              <w:spacing w:after="0" w:line="240" w:lineRule="auto"/>
              <w:jc w:val="center"/>
              <w:rPr>
                <w:rFonts w:eastAsia="Times New Roman" w:cs="Calibri"/>
                <w:b/>
                <w:bCs/>
                <w:color w:val="000000"/>
                <w:sz w:val="20"/>
                <w:szCs w:val="20"/>
                <w:lang w:val="en-US"/>
              </w:rPr>
            </w:pPr>
            <w:r w:rsidRPr="0047674D">
              <w:rPr>
                <w:rFonts w:eastAsia="Times New Roman" w:cs="Calibri"/>
                <w:b/>
                <w:bCs/>
                <w:color w:val="000000"/>
                <w:sz w:val="20"/>
                <w:szCs w:val="20"/>
                <w:lang w:val="en-US"/>
              </w:rPr>
              <w:t>Άντληση</w:t>
            </w:r>
          </w:p>
        </w:tc>
        <w:tc>
          <w:tcPr>
            <w:tcW w:w="1179" w:type="dxa"/>
            <w:tcBorders>
              <w:top w:val="nil"/>
              <w:left w:val="nil"/>
              <w:bottom w:val="single" w:sz="12" w:space="0" w:color="auto"/>
              <w:right w:val="nil"/>
            </w:tcBorders>
            <w:shd w:val="clear" w:color="000000" w:fill="B4C6E7"/>
            <w:vAlign w:val="center"/>
            <w:hideMark/>
          </w:tcPr>
          <w:p w14:paraId="5A26D2D4" w14:textId="2AC59753" w:rsidR="005C360F" w:rsidRPr="0047674D" w:rsidRDefault="005C360F" w:rsidP="005C360F">
            <w:pPr>
              <w:spacing w:after="0" w:line="240" w:lineRule="auto"/>
              <w:jc w:val="center"/>
              <w:rPr>
                <w:rFonts w:eastAsia="Times New Roman" w:cs="Calibri"/>
                <w:b/>
                <w:bCs/>
                <w:color w:val="000000"/>
                <w:sz w:val="20"/>
                <w:szCs w:val="20"/>
              </w:rPr>
            </w:pPr>
            <w:r w:rsidRPr="0047674D">
              <w:rPr>
                <w:rFonts w:eastAsia="Times New Roman" w:cs="Calibri"/>
                <w:b/>
                <w:bCs/>
                <w:color w:val="000000"/>
                <w:sz w:val="20"/>
                <w:szCs w:val="20"/>
                <w:lang w:val="en-US"/>
              </w:rPr>
              <w:t>Επιτόκιο</w:t>
            </w:r>
            <w:r w:rsidR="0047674D">
              <w:rPr>
                <w:rFonts w:eastAsia="Times New Roman" w:cs="Calibri"/>
                <w:b/>
                <w:bCs/>
                <w:color w:val="000000"/>
                <w:sz w:val="20"/>
                <w:szCs w:val="20"/>
              </w:rPr>
              <w:t xml:space="preserve"> (%)</w:t>
            </w:r>
          </w:p>
        </w:tc>
      </w:tr>
      <w:tr w:rsidR="005C360F" w:rsidRPr="0047674D" w14:paraId="15FE1AC3" w14:textId="77777777" w:rsidTr="0047674D">
        <w:trPr>
          <w:trHeight w:val="522"/>
        </w:trPr>
        <w:tc>
          <w:tcPr>
            <w:tcW w:w="2982" w:type="dxa"/>
            <w:tcBorders>
              <w:top w:val="nil"/>
              <w:left w:val="nil"/>
              <w:bottom w:val="nil"/>
              <w:right w:val="nil"/>
            </w:tcBorders>
            <w:shd w:val="clear" w:color="auto" w:fill="auto"/>
            <w:vAlign w:val="center"/>
            <w:hideMark/>
          </w:tcPr>
          <w:p w14:paraId="3D8EFADD" w14:textId="77777777" w:rsidR="005C360F" w:rsidRPr="0047674D" w:rsidRDefault="005C360F" w:rsidP="005C360F">
            <w:pPr>
              <w:spacing w:after="0" w:line="240" w:lineRule="auto"/>
              <w:jc w:val="center"/>
              <w:rPr>
                <w:rFonts w:eastAsia="Times New Roman" w:cs="Calibri"/>
                <w:i/>
                <w:iCs/>
                <w:color w:val="000000"/>
                <w:sz w:val="20"/>
                <w:szCs w:val="20"/>
                <w:lang w:val="en-US"/>
              </w:rPr>
            </w:pPr>
            <w:r w:rsidRPr="0047674D">
              <w:rPr>
                <w:rFonts w:eastAsia="Times New Roman" w:cs="Calibri"/>
                <w:i/>
                <w:iCs/>
                <w:color w:val="000000"/>
                <w:sz w:val="20"/>
                <w:szCs w:val="20"/>
                <w:lang w:val="en-US"/>
              </w:rPr>
              <w:t>Δεκαετές</w:t>
            </w:r>
          </w:p>
        </w:tc>
        <w:tc>
          <w:tcPr>
            <w:tcW w:w="2371" w:type="dxa"/>
            <w:tcBorders>
              <w:top w:val="nil"/>
              <w:left w:val="nil"/>
              <w:bottom w:val="nil"/>
              <w:right w:val="nil"/>
            </w:tcBorders>
            <w:shd w:val="clear" w:color="auto" w:fill="auto"/>
            <w:vAlign w:val="center"/>
            <w:hideMark/>
          </w:tcPr>
          <w:p w14:paraId="313AC2EF" w14:textId="77777777" w:rsidR="005C360F" w:rsidRPr="0047674D" w:rsidRDefault="005C360F" w:rsidP="005C360F">
            <w:pPr>
              <w:spacing w:after="0" w:line="240" w:lineRule="auto"/>
              <w:jc w:val="center"/>
              <w:rPr>
                <w:rFonts w:eastAsia="Times New Roman" w:cs="Calibri"/>
                <w:i/>
                <w:iCs/>
                <w:color w:val="000000"/>
                <w:sz w:val="20"/>
                <w:szCs w:val="20"/>
                <w:lang w:val="en-US"/>
              </w:rPr>
            </w:pPr>
            <w:r w:rsidRPr="0047674D">
              <w:rPr>
                <w:rFonts w:eastAsia="Times New Roman" w:cs="Calibri"/>
                <w:i/>
                <w:iCs/>
                <w:color w:val="000000"/>
                <w:sz w:val="20"/>
                <w:szCs w:val="20"/>
                <w:lang w:val="en-US"/>
              </w:rPr>
              <w:t>Ιανουάριος 2021</w:t>
            </w:r>
          </w:p>
        </w:tc>
        <w:tc>
          <w:tcPr>
            <w:tcW w:w="1950" w:type="dxa"/>
            <w:tcBorders>
              <w:top w:val="nil"/>
              <w:left w:val="nil"/>
              <w:bottom w:val="nil"/>
              <w:right w:val="nil"/>
            </w:tcBorders>
            <w:shd w:val="clear" w:color="auto" w:fill="auto"/>
            <w:vAlign w:val="center"/>
            <w:hideMark/>
          </w:tcPr>
          <w:p w14:paraId="36550BB7" w14:textId="77777777" w:rsidR="005C360F" w:rsidRPr="0047674D" w:rsidRDefault="005C360F" w:rsidP="005C360F">
            <w:pPr>
              <w:spacing w:after="0" w:line="240" w:lineRule="auto"/>
              <w:jc w:val="center"/>
              <w:rPr>
                <w:rFonts w:eastAsia="Times New Roman" w:cs="Calibri"/>
                <w:color w:val="000000"/>
                <w:sz w:val="20"/>
                <w:szCs w:val="20"/>
                <w:lang w:val="en-US"/>
              </w:rPr>
            </w:pPr>
            <w:r w:rsidRPr="0047674D">
              <w:rPr>
                <w:rFonts w:eastAsia="Times New Roman" w:cs="Calibri"/>
                <w:color w:val="000000"/>
                <w:sz w:val="20"/>
                <w:szCs w:val="20"/>
                <w:lang w:val="en-US"/>
              </w:rPr>
              <w:t>3,5 δισ. ευρώ</w:t>
            </w:r>
          </w:p>
        </w:tc>
        <w:tc>
          <w:tcPr>
            <w:tcW w:w="1179" w:type="dxa"/>
            <w:tcBorders>
              <w:top w:val="nil"/>
              <w:left w:val="nil"/>
              <w:bottom w:val="nil"/>
              <w:right w:val="nil"/>
            </w:tcBorders>
            <w:shd w:val="clear" w:color="auto" w:fill="auto"/>
            <w:noWrap/>
            <w:vAlign w:val="center"/>
            <w:hideMark/>
          </w:tcPr>
          <w:p w14:paraId="77AF2A7E" w14:textId="7A5B46B2" w:rsidR="005C360F" w:rsidRPr="0047674D" w:rsidRDefault="005C360F" w:rsidP="005C360F">
            <w:pPr>
              <w:spacing w:after="0" w:line="240" w:lineRule="auto"/>
              <w:jc w:val="center"/>
              <w:rPr>
                <w:rFonts w:eastAsia="Times New Roman" w:cs="Calibri"/>
                <w:color w:val="000000"/>
                <w:sz w:val="20"/>
                <w:szCs w:val="20"/>
              </w:rPr>
            </w:pPr>
            <w:r w:rsidRPr="0047674D">
              <w:rPr>
                <w:rFonts w:eastAsia="Times New Roman" w:cs="Calibri"/>
                <w:color w:val="000000"/>
                <w:sz w:val="20"/>
                <w:szCs w:val="20"/>
                <w:lang w:val="en-US"/>
              </w:rPr>
              <w:t>0,807</w:t>
            </w:r>
            <w:r w:rsidR="0047674D">
              <w:rPr>
                <w:rFonts w:eastAsia="Times New Roman" w:cs="Calibri"/>
                <w:color w:val="000000"/>
                <w:sz w:val="20"/>
                <w:szCs w:val="20"/>
              </w:rPr>
              <w:t xml:space="preserve"> </w:t>
            </w:r>
          </w:p>
        </w:tc>
      </w:tr>
      <w:tr w:rsidR="005C360F" w:rsidRPr="0047674D" w14:paraId="00DB95D5" w14:textId="77777777" w:rsidTr="0047674D">
        <w:trPr>
          <w:trHeight w:val="404"/>
        </w:trPr>
        <w:tc>
          <w:tcPr>
            <w:tcW w:w="2982" w:type="dxa"/>
            <w:tcBorders>
              <w:top w:val="nil"/>
              <w:left w:val="nil"/>
              <w:bottom w:val="nil"/>
              <w:right w:val="nil"/>
            </w:tcBorders>
            <w:shd w:val="clear" w:color="auto" w:fill="auto"/>
            <w:vAlign w:val="center"/>
            <w:hideMark/>
          </w:tcPr>
          <w:p w14:paraId="50556F66" w14:textId="77777777" w:rsidR="005C360F" w:rsidRPr="0047674D" w:rsidRDefault="005C360F" w:rsidP="005C360F">
            <w:pPr>
              <w:spacing w:after="0" w:line="240" w:lineRule="auto"/>
              <w:jc w:val="center"/>
              <w:rPr>
                <w:rFonts w:eastAsia="Times New Roman" w:cs="Calibri"/>
                <w:i/>
                <w:iCs/>
                <w:color w:val="000000"/>
                <w:sz w:val="20"/>
                <w:szCs w:val="20"/>
                <w:lang w:val="en-US"/>
              </w:rPr>
            </w:pPr>
            <w:r w:rsidRPr="0047674D">
              <w:rPr>
                <w:rFonts w:eastAsia="Times New Roman" w:cs="Calibri"/>
                <w:i/>
                <w:iCs/>
                <w:color w:val="000000"/>
                <w:sz w:val="20"/>
                <w:szCs w:val="20"/>
                <w:lang w:val="en-US"/>
              </w:rPr>
              <w:t xml:space="preserve">Τριαντακονταετές </w:t>
            </w:r>
          </w:p>
        </w:tc>
        <w:tc>
          <w:tcPr>
            <w:tcW w:w="2371" w:type="dxa"/>
            <w:tcBorders>
              <w:top w:val="nil"/>
              <w:left w:val="nil"/>
              <w:bottom w:val="nil"/>
              <w:right w:val="nil"/>
            </w:tcBorders>
            <w:shd w:val="clear" w:color="auto" w:fill="auto"/>
            <w:vAlign w:val="center"/>
            <w:hideMark/>
          </w:tcPr>
          <w:p w14:paraId="789F7D9C" w14:textId="77777777" w:rsidR="005C360F" w:rsidRPr="0047674D" w:rsidRDefault="005C360F" w:rsidP="005C360F">
            <w:pPr>
              <w:spacing w:after="0" w:line="240" w:lineRule="auto"/>
              <w:jc w:val="center"/>
              <w:rPr>
                <w:rFonts w:eastAsia="Times New Roman" w:cs="Calibri"/>
                <w:i/>
                <w:iCs/>
                <w:color w:val="000000"/>
                <w:sz w:val="20"/>
                <w:szCs w:val="20"/>
                <w:lang w:val="en-US"/>
              </w:rPr>
            </w:pPr>
            <w:r w:rsidRPr="0047674D">
              <w:rPr>
                <w:rFonts w:eastAsia="Times New Roman" w:cs="Calibri"/>
                <w:i/>
                <w:iCs/>
                <w:color w:val="000000"/>
                <w:sz w:val="20"/>
                <w:szCs w:val="20"/>
                <w:lang w:val="en-US"/>
              </w:rPr>
              <w:t>Μάρτιος 2021</w:t>
            </w:r>
          </w:p>
        </w:tc>
        <w:tc>
          <w:tcPr>
            <w:tcW w:w="1950" w:type="dxa"/>
            <w:tcBorders>
              <w:top w:val="nil"/>
              <w:left w:val="nil"/>
              <w:bottom w:val="nil"/>
              <w:right w:val="nil"/>
            </w:tcBorders>
            <w:shd w:val="clear" w:color="auto" w:fill="auto"/>
            <w:vAlign w:val="center"/>
            <w:hideMark/>
          </w:tcPr>
          <w:p w14:paraId="19A2B68C" w14:textId="77777777" w:rsidR="005C360F" w:rsidRPr="0047674D" w:rsidRDefault="005C360F" w:rsidP="005C360F">
            <w:pPr>
              <w:spacing w:after="0" w:line="240" w:lineRule="auto"/>
              <w:jc w:val="center"/>
              <w:rPr>
                <w:rFonts w:eastAsia="Times New Roman" w:cs="Calibri"/>
                <w:color w:val="000000"/>
                <w:sz w:val="20"/>
                <w:szCs w:val="20"/>
                <w:lang w:val="en-US"/>
              </w:rPr>
            </w:pPr>
            <w:r w:rsidRPr="0047674D">
              <w:rPr>
                <w:rFonts w:eastAsia="Times New Roman" w:cs="Calibri"/>
                <w:color w:val="000000"/>
                <w:sz w:val="20"/>
                <w:szCs w:val="20"/>
                <w:lang w:val="en-US"/>
              </w:rPr>
              <w:t>2,5 δισ. ευρώ</w:t>
            </w:r>
          </w:p>
        </w:tc>
        <w:tc>
          <w:tcPr>
            <w:tcW w:w="1179" w:type="dxa"/>
            <w:tcBorders>
              <w:top w:val="nil"/>
              <w:left w:val="nil"/>
              <w:bottom w:val="nil"/>
              <w:right w:val="nil"/>
            </w:tcBorders>
            <w:shd w:val="clear" w:color="auto" w:fill="auto"/>
            <w:noWrap/>
            <w:vAlign w:val="center"/>
            <w:hideMark/>
          </w:tcPr>
          <w:p w14:paraId="1241C97E" w14:textId="77777777" w:rsidR="005C360F" w:rsidRPr="0047674D" w:rsidRDefault="005C360F" w:rsidP="005C360F">
            <w:pPr>
              <w:spacing w:after="0" w:line="240" w:lineRule="auto"/>
              <w:jc w:val="center"/>
              <w:rPr>
                <w:rFonts w:eastAsia="Times New Roman" w:cs="Calibri"/>
                <w:color w:val="000000"/>
                <w:sz w:val="20"/>
                <w:szCs w:val="20"/>
                <w:lang w:val="en-US"/>
              </w:rPr>
            </w:pPr>
            <w:r w:rsidRPr="0047674D">
              <w:rPr>
                <w:rFonts w:eastAsia="Times New Roman" w:cs="Calibri"/>
                <w:color w:val="000000"/>
                <w:sz w:val="20"/>
                <w:szCs w:val="20"/>
                <w:lang w:val="en-US"/>
              </w:rPr>
              <w:t>1,956</w:t>
            </w:r>
          </w:p>
        </w:tc>
      </w:tr>
      <w:tr w:rsidR="005C360F" w:rsidRPr="0047674D" w14:paraId="71A55CBB" w14:textId="77777777" w:rsidTr="0047674D">
        <w:trPr>
          <w:trHeight w:val="370"/>
        </w:trPr>
        <w:tc>
          <w:tcPr>
            <w:tcW w:w="2982" w:type="dxa"/>
            <w:tcBorders>
              <w:top w:val="nil"/>
              <w:left w:val="nil"/>
              <w:bottom w:val="nil"/>
              <w:right w:val="nil"/>
            </w:tcBorders>
            <w:shd w:val="clear" w:color="auto" w:fill="auto"/>
            <w:vAlign w:val="center"/>
            <w:hideMark/>
          </w:tcPr>
          <w:p w14:paraId="030FC28E" w14:textId="77777777" w:rsidR="005C360F" w:rsidRPr="0047674D" w:rsidRDefault="005C360F" w:rsidP="005C360F">
            <w:pPr>
              <w:spacing w:after="0" w:line="240" w:lineRule="auto"/>
              <w:jc w:val="center"/>
              <w:rPr>
                <w:rFonts w:eastAsia="Times New Roman" w:cs="Calibri"/>
                <w:i/>
                <w:iCs/>
                <w:color w:val="000000"/>
                <w:sz w:val="20"/>
                <w:szCs w:val="20"/>
                <w:lang w:val="en-US"/>
              </w:rPr>
            </w:pPr>
            <w:r w:rsidRPr="0047674D">
              <w:rPr>
                <w:rFonts w:eastAsia="Times New Roman" w:cs="Calibri"/>
                <w:i/>
                <w:iCs/>
                <w:color w:val="000000"/>
                <w:sz w:val="20"/>
                <w:szCs w:val="20"/>
                <w:lang w:val="en-US"/>
              </w:rPr>
              <w:t>Πενταετές</w:t>
            </w:r>
          </w:p>
        </w:tc>
        <w:tc>
          <w:tcPr>
            <w:tcW w:w="2371" w:type="dxa"/>
            <w:tcBorders>
              <w:top w:val="nil"/>
              <w:left w:val="nil"/>
              <w:bottom w:val="nil"/>
              <w:right w:val="nil"/>
            </w:tcBorders>
            <w:shd w:val="clear" w:color="auto" w:fill="auto"/>
            <w:vAlign w:val="center"/>
            <w:hideMark/>
          </w:tcPr>
          <w:p w14:paraId="0EA78194" w14:textId="77777777" w:rsidR="005C360F" w:rsidRPr="0047674D" w:rsidRDefault="005C360F" w:rsidP="005C360F">
            <w:pPr>
              <w:spacing w:after="0" w:line="240" w:lineRule="auto"/>
              <w:jc w:val="center"/>
              <w:rPr>
                <w:rFonts w:eastAsia="Times New Roman" w:cs="Calibri"/>
                <w:i/>
                <w:iCs/>
                <w:color w:val="000000"/>
                <w:sz w:val="20"/>
                <w:szCs w:val="20"/>
                <w:lang w:val="en-US"/>
              </w:rPr>
            </w:pPr>
            <w:r w:rsidRPr="0047674D">
              <w:rPr>
                <w:rFonts w:eastAsia="Times New Roman" w:cs="Calibri"/>
                <w:i/>
                <w:iCs/>
                <w:color w:val="000000"/>
                <w:sz w:val="20"/>
                <w:szCs w:val="20"/>
                <w:lang w:val="en-US"/>
              </w:rPr>
              <w:t>Μαϊος 2021</w:t>
            </w:r>
          </w:p>
        </w:tc>
        <w:tc>
          <w:tcPr>
            <w:tcW w:w="1950" w:type="dxa"/>
            <w:tcBorders>
              <w:top w:val="nil"/>
              <w:left w:val="nil"/>
              <w:bottom w:val="nil"/>
              <w:right w:val="nil"/>
            </w:tcBorders>
            <w:shd w:val="clear" w:color="auto" w:fill="auto"/>
            <w:vAlign w:val="center"/>
            <w:hideMark/>
          </w:tcPr>
          <w:p w14:paraId="4B22CE63" w14:textId="77777777" w:rsidR="005C360F" w:rsidRPr="0047674D" w:rsidRDefault="005C360F" w:rsidP="005C360F">
            <w:pPr>
              <w:spacing w:after="0" w:line="240" w:lineRule="auto"/>
              <w:jc w:val="center"/>
              <w:rPr>
                <w:rFonts w:eastAsia="Times New Roman" w:cs="Calibri"/>
                <w:color w:val="000000"/>
                <w:sz w:val="20"/>
                <w:szCs w:val="20"/>
                <w:lang w:val="en-US"/>
              </w:rPr>
            </w:pPr>
            <w:r w:rsidRPr="0047674D">
              <w:rPr>
                <w:rFonts w:eastAsia="Times New Roman" w:cs="Calibri"/>
                <w:color w:val="000000"/>
                <w:sz w:val="20"/>
                <w:szCs w:val="20"/>
                <w:lang w:val="en-US"/>
              </w:rPr>
              <w:t>3 δισ. ευρώ</w:t>
            </w:r>
          </w:p>
        </w:tc>
        <w:tc>
          <w:tcPr>
            <w:tcW w:w="1179" w:type="dxa"/>
            <w:tcBorders>
              <w:top w:val="nil"/>
              <w:left w:val="nil"/>
              <w:bottom w:val="nil"/>
              <w:right w:val="nil"/>
            </w:tcBorders>
            <w:shd w:val="clear" w:color="auto" w:fill="auto"/>
            <w:noWrap/>
            <w:vAlign w:val="center"/>
            <w:hideMark/>
          </w:tcPr>
          <w:p w14:paraId="11547F53" w14:textId="77777777" w:rsidR="005C360F" w:rsidRPr="0047674D" w:rsidRDefault="005C360F" w:rsidP="005C360F">
            <w:pPr>
              <w:spacing w:after="0" w:line="240" w:lineRule="auto"/>
              <w:jc w:val="center"/>
              <w:rPr>
                <w:rFonts w:eastAsia="Times New Roman" w:cs="Calibri"/>
                <w:color w:val="000000"/>
                <w:sz w:val="20"/>
                <w:szCs w:val="20"/>
                <w:lang w:val="en-US"/>
              </w:rPr>
            </w:pPr>
            <w:r w:rsidRPr="0047674D">
              <w:rPr>
                <w:rFonts w:eastAsia="Times New Roman" w:cs="Calibri"/>
                <w:color w:val="000000"/>
                <w:sz w:val="20"/>
                <w:szCs w:val="20"/>
                <w:lang w:val="en-US"/>
              </w:rPr>
              <w:t>0,172</w:t>
            </w:r>
          </w:p>
        </w:tc>
      </w:tr>
      <w:tr w:rsidR="005C360F" w:rsidRPr="0047674D" w14:paraId="35147556" w14:textId="77777777" w:rsidTr="0047674D">
        <w:trPr>
          <w:trHeight w:val="404"/>
        </w:trPr>
        <w:tc>
          <w:tcPr>
            <w:tcW w:w="2982" w:type="dxa"/>
            <w:tcBorders>
              <w:top w:val="nil"/>
              <w:left w:val="nil"/>
              <w:bottom w:val="nil"/>
              <w:right w:val="nil"/>
            </w:tcBorders>
            <w:shd w:val="clear" w:color="auto" w:fill="auto"/>
            <w:vAlign w:val="center"/>
            <w:hideMark/>
          </w:tcPr>
          <w:p w14:paraId="6FE35A02" w14:textId="77777777" w:rsidR="005C360F" w:rsidRPr="0047674D" w:rsidRDefault="005C360F" w:rsidP="005C360F">
            <w:pPr>
              <w:spacing w:after="0" w:line="240" w:lineRule="auto"/>
              <w:jc w:val="center"/>
              <w:rPr>
                <w:rFonts w:eastAsia="Times New Roman" w:cs="Calibri"/>
                <w:i/>
                <w:iCs/>
                <w:color w:val="000000"/>
                <w:sz w:val="20"/>
                <w:szCs w:val="20"/>
                <w:lang w:val="en-US"/>
              </w:rPr>
            </w:pPr>
            <w:r w:rsidRPr="0047674D">
              <w:rPr>
                <w:rFonts w:eastAsia="Times New Roman" w:cs="Calibri"/>
                <w:i/>
                <w:iCs/>
                <w:color w:val="000000"/>
                <w:sz w:val="20"/>
                <w:szCs w:val="20"/>
                <w:lang w:val="en-US"/>
              </w:rPr>
              <w:t>Δεκαετές (επανέκδοση)</w:t>
            </w:r>
          </w:p>
        </w:tc>
        <w:tc>
          <w:tcPr>
            <w:tcW w:w="2371" w:type="dxa"/>
            <w:tcBorders>
              <w:top w:val="nil"/>
              <w:left w:val="nil"/>
              <w:bottom w:val="nil"/>
              <w:right w:val="nil"/>
            </w:tcBorders>
            <w:shd w:val="clear" w:color="auto" w:fill="auto"/>
            <w:vAlign w:val="center"/>
            <w:hideMark/>
          </w:tcPr>
          <w:p w14:paraId="0000E41C" w14:textId="77777777" w:rsidR="005C360F" w:rsidRPr="0047674D" w:rsidRDefault="005C360F" w:rsidP="005C360F">
            <w:pPr>
              <w:spacing w:after="0" w:line="240" w:lineRule="auto"/>
              <w:jc w:val="center"/>
              <w:rPr>
                <w:rFonts w:eastAsia="Times New Roman" w:cs="Calibri"/>
                <w:i/>
                <w:iCs/>
                <w:color w:val="000000"/>
                <w:sz w:val="20"/>
                <w:szCs w:val="20"/>
                <w:lang w:val="en-US"/>
              </w:rPr>
            </w:pPr>
            <w:r w:rsidRPr="0047674D">
              <w:rPr>
                <w:rFonts w:eastAsia="Times New Roman" w:cs="Calibri"/>
                <w:i/>
                <w:iCs/>
                <w:color w:val="000000"/>
                <w:sz w:val="20"/>
                <w:szCs w:val="20"/>
                <w:lang w:val="en-US"/>
              </w:rPr>
              <w:t>Ιούνιος 2021</w:t>
            </w:r>
          </w:p>
        </w:tc>
        <w:tc>
          <w:tcPr>
            <w:tcW w:w="1950" w:type="dxa"/>
            <w:tcBorders>
              <w:top w:val="nil"/>
              <w:left w:val="nil"/>
              <w:bottom w:val="nil"/>
              <w:right w:val="nil"/>
            </w:tcBorders>
            <w:shd w:val="clear" w:color="auto" w:fill="auto"/>
            <w:vAlign w:val="center"/>
            <w:hideMark/>
          </w:tcPr>
          <w:p w14:paraId="3D3BB082" w14:textId="77777777" w:rsidR="005C360F" w:rsidRPr="0047674D" w:rsidRDefault="005C360F" w:rsidP="005C360F">
            <w:pPr>
              <w:spacing w:after="0" w:line="240" w:lineRule="auto"/>
              <w:jc w:val="center"/>
              <w:rPr>
                <w:rFonts w:eastAsia="Times New Roman" w:cs="Calibri"/>
                <w:color w:val="000000"/>
                <w:sz w:val="20"/>
                <w:szCs w:val="20"/>
                <w:lang w:val="en-US"/>
              </w:rPr>
            </w:pPr>
            <w:r w:rsidRPr="0047674D">
              <w:rPr>
                <w:rFonts w:eastAsia="Times New Roman" w:cs="Calibri"/>
                <w:color w:val="000000"/>
                <w:sz w:val="20"/>
                <w:szCs w:val="20"/>
                <w:lang w:val="en-US"/>
              </w:rPr>
              <w:t>2,5 δισ. ευρώ</w:t>
            </w:r>
          </w:p>
        </w:tc>
        <w:tc>
          <w:tcPr>
            <w:tcW w:w="1179" w:type="dxa"/>
            <w:tcBorders>
              <w:top w:val="nil"/>
              <w:left w:val="nil"/>
              <w:bottom w:val="nil"/>
              <w:right w:val="nil"/>
            </w:tcBorders>
            <w:shd w:val="clear" w:color="auto" w:fill="auto"/>
            <w:noWrap/>
            <w:vAlign w:val="center"/>
            <w:hideMark/>
          </w:tcPr>
          <w:p w14:paraId="35EF36C2" w14:textId="77777777" w:rsidR="005C360F" w:rsidRPr="0047674D" w:rsidRDefault="005C360F" w:rsidP="005C360F">
            <w:pPr>
              <w:spacing w:after="0" w:line="240" w:lineRule="auto"/>
              <w:jc w:val="center"/>
              <w:rPr>
                <w:rFonts w:eastAsia="Times New Roman" w:cs="Calibri"/>
                <w:color w:val="000000"/>
                <w:sz w:val="20"/>
                <w:szCs w:val="20"/>
                <w:lang w:val="en-US"/>
              </w:rPr>
            </w:pPr>
            <w:r w:rsidRPr="0047674D">
              <w:rPr>
                <w:rFonts w:eastAsia="Times New Roman" w:cs="Calibri"/>
                <w:color w:val="000000"/>
                <w:sz w:val="20"/>
                <w:szCs w:val="20"/>
                <w:lang w:val="en-US"/>
              </w:rPr>
              <w:t>0,888</w:t>
            </w:r>
          </w:p>
        </w:tc>
      </w:tr>
      <w:tr w:rsidR="005C360F" w:rsidRPr="0047674D" w14:paraId="696EBA14" w14:textId="77777777" w:rsidTr="0047674D">
        <w:trPr>
          <w:trHeight w:val="353"/>
        </w:trPr>
        <w:tc>
          <w:tcPr>
            <w:tcW w:w="2982" w:type="dxa"/>
            <w:tcBorders>
              <w:top w:val="nil"/>
              <w:left w:val="nil"/>
              <w:bottom w:val="nil"/>
              <w:right w:val="nil"/>
            </w:tcBorders>
            <w:shd w:val="clear" w:color="auto" w:fill="auto"/>
            <w:vAlign w:val="center"/>
            <w:hideMark/>
          </w:tcPr>
          <w:p w14:paraId="6CE63B4E" w14:textId="77777777" w:rsidR="005C360F" w:rsidRPr="0047674D" w:rsidRDefault="005C360F" w:rsidP="005C360F">
            <w:pPr>
              <w:spacing w:after="0" w:line="240" w:lineRule="auto"/>
              <w:jc w:val="center"/>
              <w:rPr>
                <w:rFonts w:eastAsia="Times New Roman" w:cs="Calibri"/>
                <w:i/>
                <w:iCs/>
                <w:color w:val="000000"/>
                <w:sz w:val="20"/>
                <w:szCs w:val="20"/>
                <w:lang w:val="en-US"/>
              </w:rPr>
            </w:pPr>
            <w:r w:rsidRPr="0047674D">
              <w:rPr>
                <w:rFonts w:eastAsia="Times New Roman" w:cs="Calibri"/>
                <w:i/>
                <w:iCs/>
                <w:color w:val="000000"/>
                <w:sz w:val="20"/>
                <w:szCs w:val="20"/>
                <w:lang w:val="en-US"/>
              </w:rPr>
              <w:t>Πενταετές (επανέκδοση)</w:t>
            </w:r>
          </w:p>
        </w:tc>
        <w:tc>
          <w:tcPr>
            <w:tcW w:w="2371" w:type="dxa"/>
            <w:tcBorders>
              <w:top w:val="nil"/>
              <w:left w:val="nil"/>
              <w:bottom w:val="nil"/>
              <w:right w:val="nil"/>
            </w:tcBorders>
            <w:shd w:val="clear" w:color="auto" w:fill="auto"/>
            <w:vAlign w:val="center"/>
            <w:hideMark/>
          </w:tcPr>
          <w:p w14:paraId="577E2216" w14:textId="77777777" w:rsidR="005C360F" w:rsidRPr="0047674D" w:rsidRDefault="005C360F" w:rsidP="005C360F">
            <w:pPr>
              <w:spacing w:after="0" w:line="240" w:lineRule="auto"/>
              <w:jc w:val="center"/>
              <w:rPr>
                <w:rFonts w:eastAsia="Times New Roman" w:cs="Calibri"/>
                <w:i/>
                <w:iCs/>
                <w:color w:val="000000"/>
                <w:sz w:val="20"/>
                <w:szCs w:val="20"/>
                <w:lang w:val="en-US"/>
              </w:rPr>
            </w:pPr>
            <w:r w:rsidRPr="0047674D">
              <w:rPr>
                <w:rFonts w:eastAsia="Times New Roman" w:cs="Calibri"/>
                <w:i/>
                <w:iCs/>
                <w:color w:val="000000"/>
                <w:sz w:val="20"/>
                <w:szCs w:val="20"/>
                <w:lang w:val="en-US"/>
              </w:rPr>
              <w:t>Σεπτέμβριος 2021</w:t>
            </w:r>
          </w:p>
        </w:tc>
        <w:tc>
          <w:tcPr>
            <w:tcW w:w="1950" w:type="dxa"/>
            <w:tcBorders>
              <w:top w:val="nil"/>
              <w:left w:val="nil"/>
              <w:bottom w:val="nil"/>
              <w:right w:val="nil"/>
            </w:tcBorders>
            <w:shd w:val="clear" w:color="auto" w:fill="auto"/>
            <w:noWrap/>
            <w:vAlign w:val="center"/>
            <w:hideMark/>
          </w:tcPr>
          <w:p w14:paraId="1CEE7E7C" w14:textId="77777777" w:rsidR="005C360F" w:rsidRPr="0047674D" w:rsidRDefault="005C360F" w:rsidP="005C360F">
            <w:pPr>
              <w:spacing w:after="0" w:line="240" w:lineRule="auto"/>
              <w:jc w:val="center"/>
              <w:rPr>
                <w:rFonts w:eastAsia="Times New Roman" w:cs="Calibri"/>
                <w:color w:val="000000"/>
                <w:sz w:val="20"/>
                <w:szCs w:val="20"/>
                <w:lang w:val="en-US"/>
              </w:rPr>
            </w:pPr>
            <w:r w:rsidRPr="0047674D">
              <w:rPr>
                <w:rFonts w:eastAsia="Times New Roman" w:cs="Calibri"/>
                <w:color w:val="000000"/>
                <w:sz w:val="20"/>
                <w:szCs w:val="20"/>
                <w:lang w:val="en-US"/>
              </w:rPr>
              <w:t>1,5 δισ. ευρώ</w:t>
            </w:r>
          </w:p>
        </w:tc>
        <w:tc>
          <w:tcPr>
            <w:tcW w:w="1179" w:type="dxa"/>
            <w:tcBorders>
              <w:top w:val="nil"/>
              <w:left w:val="nil"/>
              <w:bottom w:val="nil"/>
              <w:right w:val="nil"/>
            </w:tcBorders>
            <w:shd w:val="clear" w:color="auto" w:fill="auto"/>
            <w:noWrap/>
            <w:vAlign w:val="center"/>
            <w:hideMark/>
          </w:tcPr>
          <w:p w14:paraId="04772262" w14:textId="77777777" w:rsidR="005C360F" w:rsidRPr="0047674D" w:rsidRDefault="005C360F" w:rsidP="005C360F">
            <w:pPr>
              <w:spacing w:after="0" w:line="240" w:lineRule="auto"/>
              <w:jc w:val="center"/>
              <w:rPr>
                <w:rFonts w:eastAsia="Times New Roman" w:cs="Calibri"/>
                <w:color w:val="000000"/>
                <w:sz w:val="20"/>
                <w:szCs w:val="20"/>
                <w:lang w:val="en-US"/>
              </w:rPr>
            </w:pPr>
            <w:r w:rsidRPr="0047674D">
              <w:rPr>
                <w:rFonts w:eastAsia="Times New Roman" w:cs="Calibri"/>
                <w:color w:val="000000"/>
                <w:sz w:val="20"/>
                <w:szCs w:val="20"/>
                <w:lang w:val="en-US"/>
              </w:rPr>
              <w:t>0,020</w:t>
            </w:r>
          </w:p>
        </w:tc>
      </w:tr>
      <w:tr w:rsidR="005C360F" w:rsidRPr="0047674D" w14:paraId="13593C44" w14:textId="77777777" w:rsidTr="0047674D">
        <w:trPr>
          <w:trHeight w:val="640"/>
        </w:trPr>
        <w:tc>
          <w:tcPr>
            <w:tcW w:w="2982" w:type="dxa"/>
            <w:tcBorders>
              <w:top w:val="nil"/>
              <w:left w:val="nil"/>
              <w:bottom w:val="single" w:sz="12" w:space="0" w:color="auto"/>
              <w:right w:val="nil"/>
            </w:tcBorders>
            <w:shd w:val="clear" w:color="auto" w:fill="auto"/>
            <w:vAlign w:val="center"/>
            <w:hideMark/>
          </w:tcPr>
          <w:p w14:paraId="57E57F1C" w14:textId="77777777" w:rsidR="005C360F" w:rsidRPr="0047674D" w:rsidRDefault="005C360F" w:rsidP="005C360F">
            <w:pPr>
              <w:spacing w:after="0" w:line="240" w:lineRule="auto"/>
              <w:jc w:val="center"/>
              <w:rPr>
                <w:rFonts w:eastAsia="Times New Roman" w:cs="Calibri"/>
                <w:color w:val="000000"/>
                <w:sz w:val="20"/>
                <w:szCs w:val="20"/>
                <w:lang w:val="en-US"/>
              </w:rPr>
            </w:pPr>
            <w:r w:rsidRPr="0047674D">
              <w:rPr>
                <w:rFonts w:eastAsia="Times New Roman" w:cs="Calibri"/>
                <w:color w:val="000000"/>
                <w:sz w:val="20"/>
                <w:szCs w:val="20"/>
                <w:lang w:val="en-US"/>
              </w:rPr>
              <w:t>Τριαντακονταετές (επανέκδοση)</w:t>
            </w:r>
          </w:p>
        </w:tc>
        <w:tc>
          <w:tcPr>
            <w:tcW w:w="2371" w:type="dxa"/>
            <w:tcBorders>
              <w:top w:val="nil"/>
              <w:left w:val="nil"/>
              <w:bottom w:val="single" w:sz="12" w:space="0" w:color="auto"/>
              <w:right w:val="nil"/>
            </w:tcBorders>
            <w:shd w:val="clear" w:color="auto" w:fill="auto"/>
            <w:vAlign w:val="center"/>
            <w:hideMark/>
          </w:tcPr>
          <w:p w14:paraId="1A4A39F4" w14:textId="77777777" w:rsidR="005C360F" w:rsidRPr="0047674D" w:rsidRDefault="005C360F" w:rsidP="005C360F">
            <w:pPr>
              <w:spacing w:after="0" w:line="240" w:lineRule="auto"/>
              <w:jc w:val="center"/>
              <w:rPr>
                <w:rFonts w:eastAsia="Times New Roman" w:cs="Calibri"/>
                <w:color w:val="000000"/>
                <w:sz w:val="20"/>
                <w:szCs w:val="20"/>
                <w:lang w:val="en-US"/>
              </w:rPr>
            </w:pPr>
            <w:r w:rsidRPr="0047674D">
              <w:rPr>
                <w:rFonts w:eastAsia="Times New Roman" w:cs="Calibri"/>
                <w:color w:val="000000"/>
                <w:sz w:val="20"/>
                <w:szCs w:val="20"/>
                <w:lang w:val="en-US"/>
              </w:rPr>
              <w:t>Σεπτέμβριος 2021</w:t>
            </w:r>
          </w:p>
        </w:tc>
        <w:tc>
          <w:tcPr>
            <w:tcW w:w="1950" w:type="dxa"/>
            <w:tcBorders>
              <w:top w:val="nil"/>
              <w:left w:val="nil"/>
              <w:bottom w:val="single" w:sz="12" w:space="0" w:color="auto"/>
              <w:right w:val="nil"/>
            </w:tcBorders>
            <w:shd w:val="clear" w:color="auto" w:fill="auto"/>
            <w:vAlign w:val="center"/>
            <w:hideMark/>
          </w:tcPr>
          <w:p w14:paraId="2C9E04E2" w14:textId="77777777" w:rsidR="005C360F" w:rsidRPr="0047674D" w:rsidRDefault="005C360F" w:rsidP="005C360F">
            <w:pPr>
              <w:spacing w:after="0" w:line="240" w:lineRule="auto"/>
              <w:jc w:val="center"/>
              <w:rPr>
                <w:rFonts w:eastAsia="Times New Roman" w:cs="Calibri"/>
                <w:color w:val="000000"/>
                <w:sz w:val="20"/>
                <w:szCs w:val="20"/>
                <w:lang w:val="en-US"/>
              </w:rPr>
            </w:pPr>
            <w:r w:rsidRPr="0047674D">
              <w:rPr>
                <w:rFonts w:eastAsia="Times New Roman" w:cs="Calibri"/>
                <w:color w:val="000000"/>
                <w:sz w:val="20"/>
                <w:szCs w:val="20"/>
                <w:lang w:val="en-US"/>
              </w:rPr>
              <w:t>1 δισ. ευρώ</w:t>
            </w:r>
          </w:p>
        </w:tc>
        <w:tc>
          <w:tcPr>
            <w:tcW w:w="1179" w:type="dxa"/>
            <w:tcBorders>
              <w:top w:val="nil"/>
              <w:left w:val="nil"/>
              <w:bottom w:val="single" w:sz="12" w:space="0" w:color="auto"/>
              <w:right w:val="nil"/>
            </w:tcBorders>
            <w:shd w:val="clear" w:color="auto" w:fill="auto"/>
            <w:vAlign w:val="center"/>
            <w:hideMark/>
          </w:tcPr>
          <w:p w14:paraId="452E1144" w14:textId="77777777" w:rsidR="005C360F" w:rsidRPr="0047674D" w:rsidRDefault="005C360F" w:rsidP="005C360F">
            <w:pPr>
              <w:spacing w:after="0" w:line="240" w:lineRule="auto"/>
              <w:jc w:val="center"/>
              <w:rPr>
                <w:rFonts w:eastAsia="Times New Roman" w:cs="Calibri"/>
                <w:color w:val="000000"/>
                <w:sz w:val="20"/>
                <w:szCs w:val="20"/>
                <w:lang w:val="en-US"/>
              </w:rPr>
            </w:pPr>
            <w:r w:rsidRPr="0047674D">
              <w:rPr>
                <w:rFonts w:eastAsia="Times New Roman" w:cs="Calibri"/>
                <w:color w:val="000000"/>
                <w:sz w:val="20"/>
                <w:szCs w:val="20"/>
                <w:lang w:val="en-US"/>
              </w:rPr>
              <w:t>1,675</w:t>
            </w:r>
          </w:p>
        </w:tc>
      </w:tr>
      <w:tr w:rsidR="005C360F" w:rsidRPr="0047674D" w14:paraId="2862EBCC" w14:textId="77777777" w:rsidTr="0047674D">
        <w:trPr>
          <w:trHeight w:val="421"/>
        </w:trPr>
        <w:tc>
          <w:tcPr>
            <w:tcW w:w="2982" w:type="dxa"/>
            <w:tcBorders>
              <w:top w:val="nil"/>
              <w:left w:val="nil"/>
              <w:bottom w:val="single" w:sz="12" w:space="0" w:color="auto"/>
              <w:right w:val="nil"/>
            </w:tcBorders>
            <w:shd w:val="clear" w:color="000000" w:fill="B4C6E7"/>
            <w:vAlign w:val="center"/>
            <w:hideMark/>
          </w:tcPr>
          <w:p w14:paraId="6169B905" w14:textId="77777777" w:rsidR="005C360F" w:rsidRPr="0047674D" w:rsidRDefault="005C360F" w:rsidP="005C360F">
            <w:pPr>
              <w:spacing w:after="0" w:line="240" w:lineRule="auto"/>
              <w:jc w:val="center"/>
              <w:rPr>
                <w:rFonts w:eastAsia="Times New Roman" w:cs="Calibri"/>
                <w:b/>
                <w:bCs/>
                <w:color w:val="000000"/>
                <w:sz w:val="20"/>
                <w:szCs w:val="20"/>
                <w:lang w:val="en-US"/>
              </w:rPr>
            </w:pPr>
            <w:r w:rsidRPr="0047674D">
              <w:rPr>
                <w:rFonts w:eastAsia="Times New Roman" w:cs="Calibri"/>
                <w:b/>
                <w:bCs/>
                <w:color w:val="000000"/>
                <w:sz w:val="20"/>
                <w:szCs w:val="20"/>
                <w:lang w:val="en-US"/>
              </w:rPr>
              <w:t>Σύνολο Εκδόσεων 2021</w:t>
            </w:r>
          </w:p>
        </w:tc>
        <w:tc>
          <w:tcPr>
            <w:tcW w:w="2371" w:type="dxa"/>
            <w:tcBorders>
              <w:top w:val="nil"/>
              <w:left w:val="nil"/>
              <w:bottom w:val="single" w:sz="12" w:space="0" w:color="auto"/>
              <w:right w:val="nil"/>
            </w:tcBorders>
            <w:shd w:val="clear" w:color="000000" w:fill="B4C6E7"/>
            <w:vAlign w:val="center"/>
            <w:hideMark/>
          </w:tcPr>
          <w:p w14:paraId="2FEBD720" w14:textId="77777777" w:rsidR="005C360F" w:rsidRPr="0047674D" w:rsidRDefault="005C360F" w:rsidP="005C360F">
            <w:pPr>
              <w:spacing w:after="0" w:line="240" w:lineRule="auto"/>
              <w:jc w:val="center"/>
              <w:rPr>
                <w:rFonts w:eastAsia="Times New Roman" w:cs="Calibri"/>
                <w:b/>
                <w:bCs/>
                <w:color w:val="000000"/>
                <w:sz w:val="20"/>
                <w:szCs w:val="20"/>
                <w:lang w:val="en-US"/>
              </w:rPr>
            </w:pPr>
            <w:r w:rsidRPr="0047674D">
              <w:rPr>
                <w:rFonts w:eastAsia="Times New Roman" w:cs="Calibri"/>
                <w:b/>
                <w:bCs/>
                <w:color w:val="000000"/>
                <w:sz w:val="20"/>
                <w:szCs w:val="20"/>
                <w:lang w:val="en-US"/>
              </w:rPr>
              <w:t> </w:t>
            </w:r>
          </w:p>
        </w:tc>
        <w:tc>
          <w:tcPr>
            <w:tcW w:w="1950" w:type="dxa"/>
            <w:tcBorders>
              <w:top w:val="nil"/>
              <w:left w:val="nil"/>
              <w:bottom w:val="single" w:sz="12" w:space="0" w:color="auto"/>
              <w:right w:val="nil"/>
            </w:tcBorders>
            <w:shd w:val="clear" w:color="000000" w:fill="B4C6E7"/>
            <w:vAlign w:val="center"/>
            <w:hideMark/>
          </w:tcPr>
          <w:p w14:paraId="05A8A618" w14:textId="77777777" w:rsidR="005C360F" w:rsidRPr="0047674D" w:rsidRDefault="005C360F" w:rsidP="005C360F">
            <w:pPr>
              <w:spacing w:after="0" w:line="240" w:lineRule="auto"/>
              <w:jc w:val="center"/>
              <w:rPr>
                <w:rFonts w:eastAsia="Times New Roman" w:cs="Calibri"/>
                <w:b/>
                <w:bCs/>
                <w:color w:val="000000"/>
                <w:sz w:val="20"/>
                <w:szCs w:val="20"/>
                <w:lang w:val="en-US"/>
              </w:rPr>
            </w:pPr>
            <w:r w:rsidRPr="0047674D">
              <w:rPr>
                <w:rFonts w:eastAsia="Times New Roman" w:cs="Calibri"/>
                <w:b/>
                <w:bCs/>
                <w:color w:val="000000"/>
                <w:sz w:val="20"/>
                <w:szCs w:val="20"/>
                <w:lang w:val="en-US"/>
              </w:rPr>
              <w:t>14 δισ. ευρώ</w:t>
            </w:r>
          </w:p>
        </w:tc>
        <w:tc>
          <w:tcPr>
            <w:tcW w:w="1179" w:type="dxa"/>
            <w:tcBorders>
              <w:top w:val="nil"/>
              <w:left w:val="nil"/>
              <w:bottom w:val="single" w:sz="12" w:space="0" w:color="auto"/>
              <w:right w:val="nil"/>
            </w:tcBorders>
            <w:shd w:val="clear" w:color="000000" w:fill="B4C6E7"/>
            <w:vAlign w:val="center"/>
            <w:hideMark/>
          </w:tcPr>
          <w:p w14:paraId="31F8946D" w14:textId="77777777" w:rsidR="005C360F" w:rsidRPr="0047674D" w:rsidRDefault="005C360F" w:rsidP="005C360F">
            <w:pPr>
              <w:spacing w:after="0" w:line="240" w:lineRule="auto"/>
              <w:jc w:val="center"/>
              <w:rPr>
                <w:rFonts w:eastAsia="Times New Roman" w:cs="Calibri"/>
                <w:b/>
                <w:bCs/>
                <w:color w:val="000000"/>
                <w:sz w:val="20"/>
                <w:szCs w:val="20"/>
                <w:lang w:val="en-US"/>
              </w:rPr>
            </w:pPr>
            <w:r w:rsidRPr="0047674D">
              <w:rPr>
                <w:rFonts w:eastAsia="Times New Roman" w:cs="Calibri"/>
                <w:b/>
                <w:bCs/>
                <w:color w:val="000000"/>
                <w:sz w:val="20"/>
                <w:szCs w:val="20"/>
                <w:lang w:val="en-US"/>
              </w:rPr>
              <w:t> </w:t>
            </w:r>
          </w:p>
        </w:tc>
      </w:tr>
    </w:tbl>
    <w:p w14:paraId="75FCAE8C" w14:textId="77777777" w:rsidR="005C360F" w:rsidRPr="005C360F" w:rsidRDefault="005C360F" w:rsidP="005C360F">
      <w:pPr>
        <w:spacing w:after="160" w:line="259" w:lineRule="auto"/>
        <w:jc w:val="left"/>
        <w:rPr>
          <w:rFonts w:eastAsia="Calibri" w:cs="Times New Roman"/>
          <w:b/>
          <w:color w:val="auto"/>
          <w:sz w:val="16"/>
          <w:szCs w:val="16"/>
        </w:rPr>
      </w:pPr>
      <w:r w:rsidRPr="0047674D">
        <w:rPr>
          <w:rFonts w:eastAsia="Calibri" w:cstheme="minorHAnsi"/>
          <w:b/>
          <w:bCs/>
          <w:color w:val="767171" w:themeColor="background2" w:themeShade="80"/>
          <w:sz w:val="16"/>
          <w:szCs w:val="16"/>
        </w:rPr>
        <w:t>Πηγή :</w:t>
      </w:r>
      <w:r w:rsidRPr="005C360F">
        <w:rPr>
          <w:rFonts w:eastAsia="Calibri" w:cs="Times New Roman"/>
          <w:b/>
          <w:color w:val="auto"/>
          <w:sz w:val="16"/>
          <w:szCs w:val="16"/>
        </w:rPr>
        <w:t xml:space="preserve"> </w:t>
      </w:r>
      <w:r w:rsidRPr="0047674D">
        <w:rPr>
          <w:rFonts w:eastAsia="Calibri" w:cs="Times New Roman"/>
          <w:b/>
          <w:color w:val="00B0F0"/>
          <w:sz w:val="16"/>
          <w:szCs w:val="16"/>
        </w:rPr>
        <w:t>ΟΔΔΗΧ</w:t>
      </w:r>
    </w:p>
    <w:p w14:paraId="60224DA4" w14:textId="70A6779C" w:rsidR="000E314E" w:rsidRDefault="000E314E">
      <w:pPr>
        <w:spacing w:after="160" w:line="0" w:lineRule="auto"/>
        <w:jc w:val="left"/>
        <w:rPr>
          <w:rFonts w:eastAsia="Calibri" w:cs="Times New Roman"/>
          <w:color w:val="auto"/>
        </w:rPr>
      </w:pPr>
      <w:r>
        <w:rPr>
          <w:rFonts w:eastAsia="Calibri" w:cs="Times New Roman"/>
          <w:color w:val="auto"/>
        </w:rPr>
        <w:br w:type="page"/>
      </w:r>
    </w:p>
    <w:bookmarkEnd w:id="149"/>
    <w:p w14:paraId="330CB282" w14:textId="0B53AE53" w:rsidR="002F5A77" w:rsidRDefault="002F5A77" w:rsidP="002F5A77">
      <w:pPr>
        <w:spacing w:after="160" w:line="0" w:lineRule="auto"/>
        <w:jc w:val="left"/>
        <w:rPr>
          <w:color w:val="auto"/>
        </w:rPr>
      </w:pPr>
    </w:p>
    <w:p w14:paraId="0928FD1F" w14:textId="77777777" w:rsidR="002F5A77" w:rsidRDefault="002F5A77" w:rsidP="002F5A77">
      <w:pPr>
        <w:spacing w:after="160" w:line="0" w:lineRule="auto"/>
        <w:jc w:val="left"/>
        <w:rPr>
          <w:iCs/>
          <w:noProof/>
          <w:color w:val="00A3E0"/>
          <w:sz w:val="16"/>
          <w:szCs w:val="16"/>
        </w:rPr>
      </w:pPr>
    </w:p>
    <w:p w14:paraId="04834437" w14:textId="733336BF" w:rsidR="002F5A77" w:rsidRPr="0097391A" w:rsidRDefault="00B37128" w:rsidP="0097391A">
      <w:pPr>
        <w:pStyle w:val="a0"/>
        <w:numPr>
          <w:ilvl w:val="0"/>
          <w:numId w:val="3"/>
        </w:numPr>
        <w:rPr>
          <w:sz w:val="32"/>
          <w:szCs w:val="32"/>
        </w:rPr>
      </w:pPr>
      <w:bookmarkStart w:id="157" w:name="_Toc89172842"/>
      <w:r>
        <w:rPr>
          <w:sz w:val="32"/>
          <w:szCs w:val="32"/>
        </w:rPr>
        <w:t xml:space="preserve">Συγκριτική ανάλυση </w:t>
      </w:r>
      <w:r w:rsidR="00247B52">
        <w:rPr>
          <w:sz w:val="32"/>
          <w:szCs w:val="32"/>
        </w:rPr>
        <w:t>για το 2021 και δ</w:t>
      </w:r>
      <w:r w:rsidR="0097391A" w:rsidRPr="0097391A">
        <w:rPr>
          <w:sz w:val="32"/>
          <w:szCs w:val="32"/>
        </w:rPr>
        <w:t>ημοσιονομικοί στόχοι για το 2022</w:t>
      </w:r>
      <w:r w:rsidR="0047674D">
        <w:rPr>
          <w:sz w:val="32"/>
          <w:szCs w:val="32"/>
        </w:rPr>
        <w:t>.</w:t>
      </w:r>
      <w:bookmarkEnd w:id="157"/>
    </w:p>
    <w:p w14:paraId="2C741AD2" w14:textId="6815390C" w:rsidR="00992120" w:rsidRDefault="00296E66" w:rsidP="00992120">
      <w:pPr>
        <w:numPr>
          <w:ilvl w:val="0"/>
          <w:numId w:val="21"/>
        </w:numPr>
        <w:spacing w:after="160"/>
        <w:rPr>
          <w:rFonts w:eastAsia="Calibri" w:cs="Times New Roman"/>
          <w:b/>
          <w:i/>
          <w:color w:val="595959" w:themeColor="text1" w:themeTint="A6"/>
          <w:sz w:val="24"/>
          <w:szCs w:val="24"/>
        </w:rPr>
      </w:pPr>
      <w:r w:rsidRPr="00296E66">
        <w:rPr>
          <w:rFonts w:eastAsia="Calibri" w:cs="Times New Roman"/>
          <w:b/>
          <w:i/>
          <w:color w:val="595959" w:themeColor="text1" w:themeTint="A6"/>
          <w:sz w:val="24"/>
          <w:szCs w:val="24"/>
        </w:rPr>
        <w:t>Εφικτός ο δημοσιονομικός στόχος για το 2022 και ευθυγραμμισμένος με τις προβλέψεις διεθνών οργανισμών (Ευρωπαϊκή Επιτροπή, ΔΝΤ, ΟΟΣΑ)</w:t>
      </w:r>
    </w:p>
    <w:p w14:paraId="20411B43" w14:textId="77777777" w:rsidR="00296E66" w:rsidRDefault="00296E66" w:rsidP="00296E66">
      <w:pPr>
        <w:numPr>
          <w:ilvl w:val="0"/>
          <w:numId w:val="21"/>
        </w:numPr>
        <w:spacing w:after="160"/>
        <w:rPr>
          <w:rFonts w:eastAsia="Calibri" w:cs="Times New Roman"/>
          <w:b/>
          <w:i/>
          <w:color w:val="595959" w:themeColor="text1" w:themeTint="A6"/>
          <w:sz w:val="24"/>
          <w:szCs w:val="24"/>
        </w:rPr>
      </w:pPr>
      <w:r w:rsidRPr="00296E66">
        <w:rPr>
          <w:rFonts w:eastAsia="Calibri" w:cs="Times New Roman"/>
          <w:b/>
          <w:i/>
          <w:color w:val="595959" w:themeColor="text1" w:themeTint="A6"/>
          <w:sz w:val="24"/>
          <w:szCs w:val="24"/>
        </w:rPr>
        <w:t>Δημοσιονομικοί κίνδυνοι κατά την εκτέλεση του Προϋπολογισμού του 2022 μπορεί να προκύψουν</w:t>
      </w:r>
      <w:r>
        <w:rPr>
          <w:rFonts w:eastAsia="Calibri" w:cs="Times New Roman"/>
          <w:b/>
          <w:i/>
          <w:color w:val="595959" w:themeColor="text1" w:themeTint="A6"/>
          <w:sz w:val="24"/>
          <w:szCs w:val="24"/>
        </w:rPr>
        <w:t>:</w:t>
      </w:r>
    </w:p>
    <w:p w14:paraId="0877C7B7" w14:textId="77777777" w:rsidR="00E327D6" w:rsidRDefault="00296E66" w:rsidP="00296E66">
      <w:pPr>
        <w:numPr>
          <w:ilvl w:val="1"/>
          <w:numId w:val="21"/>
        </w:numPr>
        <w:spacing w:after="160"/>
        <w:rPr>
          <w:rFonts w:eastAsia="Calibri" w:cs="Times New Roman"/>
          <w:b/>
          <w:i/>
          <w:color w:val="595959" w:themeColor="text1" w:themeTint="A6"/>
          <w:sz w:val="24"/>
          <w:szCs w:val="24"/>
        </w:rPr>
      </w:pPr>
      <w:r w:rsidRPr="00296E66">
        <w:rPr>
          <w:rFonts w:eastAsia="Calibri" w:cs="Times New Roman"/>
          <w:b/>
          <w:i/>
          <w:color w:val="595959" w:themeColor="text1" w:themeTint="A6"/>
          <w:sz w:val="24"/>
          <w:szCs w:val="24"/>
        </w:rPr>
        <w:t xml:space="preserve"> από τυχόν αναζωπύρωση της πανδημίας που θα απαιτήσει νέα μέτρα στήριξης της οικονομίας και ενίσχυσης του συστήματος υγείας,</w:t>
      </w:r>
    </w:p>
    <w:p w14:paraId="4B15097F" w14:textId="77777777" w:rsidR="00E327D6" w:rsidRDefault="00E327D6" w:rsidP="00296E66">
      <w:pPr>
        <w:numPr>
          <w:ilvl w:val="1"/>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 xml:space="preserve">από </w:t>
      </w:r>
      <w:r w:rsidR="00296E66" w:rsidRPr="00296E66">
        <w:rPr>
          <w:rFonts w:eastAsia="Calibri" w:cs="Times New Roman"/>
          <w:b/>
          <w:i/>
          <w:color w:val="595959" w:themeColor="text1" w:themeTint="A6"/>
          <w:sz w:val="24"/>
          <w:szCs w:val="24"/>
        </w:rPr>
        <w:t>ενδεχομένως παρατεταμένες πληθωριστικές πιέσεις -ιδίως στην ενέργεια- οι οποίες θα απαιτήσουν ενδεχομένως τη λήψη αντισταθμιστικών μέτρων,</w:t>
      </w:r>
    </w:p>
    <w:p w14:paraId="68E2711C" w14:textId="77777777" w:rsidR="00E327D6" w:rsidRDefault="00E327D6" w:rsidP="00296E66">
      <w:pPr>
        <w:numPr>
          <w:ilvl w:val="1"/>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από</w:t>
      </w:r>
      <w:r w:rsidR="00296E66" w:rsidRPr="00296E66">
        <w:rPr>
          <w:rFonts w:eastAsia="Calibri" w:cs="Times New Roman"/>
          <w:b/>
          <w:i/>
          <w:color w:val="595959" w:themeColor="text1" w:themeTint="A6"/>
          <w:sz w:val="24"/>
          <w:szCs w:val="24"/>
        </w:rPr>
        <w:t xml:space="preserve"> τυχόν καταπτώσεις κρατικών εγγυήσεων και</w:t>
      </w:r>
    </w:p>
    <w:p w14:paraId="113A8191" w14:textId="2C3B5FF1" w:rsidR="00296E66" w:rsidRPr="00296E66" w:rsidRDefault="00E327D6" w:rsidP="00296E66">
      <w:pPr>
        <w:numPr>
          <w:ilvl w:val="1"/>
          <w:numId w:val="21"/>
        </w:numPr>
        <w:spacing w:after="160"/>
        <w:rPr>
          <w:rFonts w:eastAsia="Calibri" w:cs="Times New Roman"/>
          <w:b/>
          <w:i/>
          <w:color w:val="595959" w:themeColor="text1" w:themeTint="A6"/>
          <w:sz w:val="24"/>
          <w:szCs w:val="24"/>
        </w:rPr>
      </w:pPr>
      <w:r>
        <w:rPr>
          <w:rFonts w:eastAsia="Calibri" w:cs="Times New Roman"/>
          <w:b/>
          <w:i/>
          <w:color w:val="595959" w:themeColor="text1" w:themeTint="A6"/>
          <w:sz w:val="24"/>
          <w:szCs w:val="24"/>
        </w:rPr>
        <w:t xml:space="preserve">από </w:t>
      </w:r>
      <w:r w:rsidR="00296E66" w:rsidRPr="00296E66">
        <w:rPr>
          <w:rFonts w:eastAsia="Calibri" w:cs="Times New Roman"/>
          <w:b/>
          <w:i/>
          <w:color w:val="595959" w:themeColor="text1" w:themeTint="A6"/>
          <w:sz w:val="24"/>
          <w:szCs w:val="24"/>
        </w:rPr>
        <w:t>έκδοση δικαστικών αποφάσεων με αρνητικό δημοσιονομικό αντίκτυπο.</w:t>
      </w:r>
    </w:p>
    <w:p w14:paraId="4E98D8C2" w14:textId="242BB23B" w:rsidR="0097391A" w:rsidRDefault="0097391A" w:rsidP="0097391A">
      <w:pPr>
        <w:autoSpaceDE w:val="0"/>
        <w:autoSpaceDN w:val="0"/>
        <w:adjustRightInd w:val="0"/>
        <w:spacing w:after="0"/>
        <w:rPr>
          <w:rFonts w:eastAsia="Calibri" w:cs="Trebuchet MS"/>
          <w:bCs/>
          <w:color w:val="000000"/>
        </w:rPr>
      </w:pPr>
    </w:p>
    <w:p w14:paraId="3B613DFA" w14:textId="77777777" w:rsidR="00F360C9" w:rsidRDefault="00F360C9" w:rsidP="0097391A">
      <w:pPr>
        <w:autoSpaceDE w:val="0"/>
        <w:autoSpaceDN w:val="0"/>
        <w:adjustRightInd w:val="0"/>
        <w:spacing w:after="0"/>
        <w:rPr>
          <w:rFonts w:eastAsia="Calibri" w:cs="Trebuchet MS"/>
          <w:bCs/>
          <w:color w:val="000000"/>
        </w:rPr>
      </w:pPr>
    </w:p>
    <w:p w14:paraId="4D1BE149" w14:textId="2B180EF6" w:rsidR="00D25A31" w:rsidRPr="00D25A31" w:rsidRDefault="00D25A31" w:rsidP="00D25A31">
      <w:pPr>
        <w:pStyle w:val="a1"/>
        <w:numPr>
          <w:ilvl w:val="1"/>
          <w:numId w:val="3"/>
        </w:numPr>
        <w:ind w:left="0"/>
        <w:rPr>
          <w:color w:val="00B0F0"/>
          <w:sz w:val="28"/>
          <w:szCs w:val="28"/>
        </w:rPr>
      </w:pPr>
      <w:bookmarkStart w:id="158" w:name="_Toc89172843"/>
      <w:r w:rsidRPr="00D25A31">
        <w:rPr>
          <w:color w:val="00B0F0"/>
          <w:sz w:val="28"/>
          <w:szCs w:val="28"/>
        </w:rPr>
        <w:t>Δημοσιονομικές εκτιμήσεις 2021: μια συγκριτική ανάλυση</w:t>
      </w:r>
      <w:bookmarkEnd w:id="158"/>
    </w:p>
    <w:p w14:paraId="55C000EB" w14:textId="0BD32B99" w:rsidR="00D25A31" w:rsidRPr="00D25A31" w:rsidRDefault="00D25A31" w:rsidP="00D25A31">
      <w:pPr>
        <w:spacing w:after="120"/>
        <w:rPr>
          <w:rFonts w:eastAsia="Calibri" w:cs="Times New Roman"/>
          <w:color w:val="auto"/>
        </w:rPr>
      </w:pPr>
      <w:r w:rsidRPr="00D25A31">
        <w:rPr>
          <w:rFonts w:eastAsia="Calibri" w:cs="Times New Roman"/>
          <w:color w:val="auto"/>
        </w:rPr>
        <w:t>Η εξέλιξη των δημοσιονομικών μεγεθών το 2021, αντανακλά τις οικονομικές και δημοσιονομικές συνέπειες της πανδημίας. Η επάνοδος στη δημοσιονομική κανονικότητα θα είναι συνάρτηση της επαλήθευσης της πρόβλεψης για επάνοδο του ΑΕΠ στα προ της πανδημίας επίπεδα και κυρίως ως προς τι</w:t>
      </w:r>
      <w:r w:rsidR="0027772F">
        <w:rPr>
          <w:rFonts w:eastAsia="Calibri" w:cs="Times New Roman"/>
          <w:color w:val="auto"/>
        </w:rPr>
        <w:t>ς συνιστώσες οι οποίες έχουν τη</w:t>
      </w:r>
      <w:r w:rsidRPr="00D25A31">
        <w:rPr>
          <w:rFonts w:eastAsia="Calibri" w:cs="Times New Roman"/>
          <w:color w:val="auto"/>
        </w:rPr>
        <w:t xml:space="preserve"> μεγαλύτερη επίδραση πάνω στα δημόσια έσοδα. Θα πρέπει επίσης να ληφθεί υπόψη τόσο η παράταση κάποιων φορολογικών ελαφρύνσεων–διευκολύνσεων που παρασχέθηκαν κατά τη διάρκεια των δύο τελευταίων ετών όσο και της απόδοσης μέρους των επιστρεπτέων χρηματοδοτήσεων προς τις επιχειρήσεις καθώς ένα σημαντικό μέρος αυτών (περίπου 1 δισ. ευρώ) έχει αποφασιστεί ότι δεν θα επιστραφεί. Σε κάθε περίπτωση, </w:t>
      </w:r>
      <w:r w:rsidR="00791466" w:rsidRPr="00D25A31">
        <w:rPr>
          <w:rFonts w:eastAsia="Calibri" w:cs="Times New Roman"/>
          <w:color w:val="auto"/>
        </w:rPr>
        <w:t xml:space="preserve">είναι σημαντική </w:t>
      </w:r>
      <w:r w:rsidRPr="00D25A31">
        <w:rPr>
          <w:rFonts w:eastAsia="Calibri" w:cs="Times New Roman"/>
          <w:color w:val="auto"/>
        </w:rPr>
        <w:t xml:space="preserve">η όσο το δυνατόν ακριβέστερη αποτύπωση της εξέλιξης των μη κυκλικών δημοσιονομικών στοιχείων (για παράδειγμα το μισθολογικό κόστος) καθώς το διαρθρωτικό αποτέλεσμα συνιστά </w:t>
      </w:r>
      <w:r w:rsidR="00791466">
        <w:rPr>
          <w:rFonts w:eastAsia="Calibri" w:cs="Times New Roman"/>
          <w:color w:val="auto"/>
        </w:rPr>
        <w:t>τον</w:t>
      </w:r>
      <w:r w:rsidRPr="00D25A31">
        <w:rPr>
          <w:rFonts w:eastAsia="Calibri" w:cs="Times New Roman"/>
          <w:color w:val="auto"/>
        </w:rPr>
        <w:t xml:space="preserve"> κρίσιμο παράγοντα βάσει του οποίου πραγματοποιείται η αξιολόγηση της συμμόρφωσης με τους μεσοπρόθεσμους δημοσιονομικούς στόχους </w:t>
      </w:r>
      <w:r w:rsidR="00791466">
        <w:rPr>
          <w:rFonts w:eastAsia="Calibri" w:cs="Times New Roman"/>
          <w:color w:val="auto"/>
        </w:rPr>
        <w:t>που έχει θέσει η</w:t>
      </w:r>
      <w:r w:rsidRPr="00D25A31">
        <w:rPr>
          <w:rFonts w:eastAsia="Calibri" w:cs="Times New Roman"/>
          <w:color w:val="auto"/>
        </w:rPr>
        <w:t xml:space="preserve"> </w:t>
      </w:r>
      <w:r w:rsidR="00791466">
        <w:rPr>
          <w:rFonts w:eastAsia="Calibri" w:cs="Times New Roman"/>
          <w:color w:val="auto"/>
        </w:rPr>
        <w:t>Ε</w:t>
      </w:r>
      <w:r w:rsidRPr="00D25A31">
        <w:rPr>
          <w:rFonts w:eastAsia="Calibri" w:cs="Times New Roman"/>
          <w:color w:val="auto"/>
        </w:rPr>
        <w:t xml:space="preserve">υρωπαϊκή Επιτροπή. </w:t>
      </w:r>
    </w:p>
    <w:p w14:paraId="41F01F12" w14:textId="04801C70" w:rsidR="00D25A31" w:rsidRPr="0027772F" w:rsidRDefault="00D25A31" w:rsidP="00D25A31">
      <w:pPr>
        <w:spacing w:after="120"/>
        <w:rPr>
          <w:rFonts w:eastAsia="Calibri" w:cs="Times New Roman"/>
          <w:color w:val="auto"/>
        </w:rPr>
      </w:pPr>
      <w:r w:rsidRPr="0027772F">
        <w:rPr>
          <w:rFonts w:eastAsia="Calibri" w:cs="Times New Roman"/>
          <w:color w:val="auto"/>
        </w:rPr>
        <w:t xml:space="preserve">Ο </w:t>
      </w:r>
      <w:r w:rsidR="00F360C9" w:rsidRPr="0027772F">
        <w:rPr>
          <w:rFonts w:eastAsia="Calibri" w:cs="Times New Roman"/>
          <w:color w:val="auto"/>
        </w:rPr>
        <w:fldChar w:fldCharType="begin"/>
      </w:r>
      <w:r w:rsidR="00F360C9" w:rsidRPr="0027772F">
        <w:rPr>
          <w:rFonts w:eastAsia="Calibri" w:cs="Times New Roman"/>
          <w:color w:val="auto"/>
        </w:rPr>
        <w:instrText xml:space="preserve"> REF _Ref88230075 \h </w:instrText>
      </w:r>
      <w:r w:rsidR="0027772F" w:rsidRPr="0027772F">
        <w:rPr>
          <w:rFonts w:eastAsia="Calibri" w:cs="Times New Roman"/>
          <w:color w:val="auto"/>
        </w:rPr>
        <w:instrText xml:space="preserve"> \* MERGEFORMAT </w:instrText>
      </w:r>
      <w:r w:rsidR="00F360C9" w:rsidRPr="0027772F">
        <w:rPr>
          <w:rFonts w:eastAsia="Calibri" w:cs="Times New Roman"/>
          <w:color w:val="auto"/>
        </w:rPr>
      </w:r>
      <w:r w:rsidR="00F360C9" w:rsidRPr="0027772F">
        <w:rPr>
          <w:rFonts w:eastAsia="Calibri" w:cs="Times New Roman"/>
          <w:color w:val="auto"/>
        </w:rPr>
        <w:fldChar w:fldCharType="separate"/>
      </w:r>
      <w:r w:rsidR="0038196B" w:rsidRPr="0038196B">
        <w:rPr>
          <w:iCs/>
          <w:color w:val="auto"/>
        </w:rPr>
        <w:t xml:space="preserve">Πίνακας </w:t>
      </w:r>
      <w:r w:rsidR="0038196B" w:rsidRPr="0038196B">
        <w:rPr>
          <w:iCs/>
          <w:noProof/>
          <w:color w:val="auto"/>
        </w:rPr>
        <w:t>15</w:t>
      </w:r>
      <w:r w:rsidR="00F360C9" w:rsidRPr="0027772F">
        <w:rPr>
          <w:rFonts w:eastAsia="Calibri" w:cs="Times New Roman"/>
          <w:color w:val="auto"/>
        </w:rPr>
        <w:fldChar w:fldCharType="end"/>
      </w:r>
      <w:r w:rsidR="00F360C9" w:rsidRPr="0027772F">
        <w:rPr>
          <w:rFonts w:eastAsia="Calibri" w:cs="Times New Roman"/>
          <w:color w:val="auto"/>
        </w:rPr>
        <w:t xml:space="preserve"> </w:t>
      </w:r>
      <w:r w:rsidRPr="0027772F">
        <w:rPr>
          <w:rFonts w:eastAsia="Calibri" w:cs="Times New Roman"/>
          <w:color w:val="auto"/>
        </w:rPr>
        <w:t xml:space="preserve">αποτυπώνει συνοπτικά την διαμόρφωση των βασικών δημοσιονομικών μεγεθών της γενικής κυβέρνησης από το 2018 μέχρι το 2022 , με τις εκτιμήσεις για την δημοσιονομική επίδοση του 2021 και τις προβλέψεις για τις δημοσιονομικές εξελίξεις το 2022. </w:t>
      </w:r>
    </w:p>
    <w:p w14:paraId="283AB920" w14:textId="7832E1DE" w:rsidR="00D25A31" w:rsidRPr="00D25A31" w:rsidRDefault="00F360C9" w:rsidP="00D25A31">
      <w:pPr>
        <w:shd w:val="clear" w:color="auto" w:fill="FFFFFF"/>
        <w:spacing w:after="0" w:line="240" w:lineRule="auto"/>
        <w:ind w:left="1134" w:hanging="1134"/>
        <w:rPr>
          <w:rFonts w:eastAsia="Calibri" w:cs="Times New Roman"/>
          <w:i/>
          <w:color w:val="00A3E0"/>
          <w:sz w:val="20"/>
          <w:szCs w:val="20"/>
        </w:rPr>
      </w:pPr>
      <w:bookmarkStart w:id="159" w:name="_Ref88230075"/>
      <w:bookmarkStart w:id="160" w:name="_Ref72167047"/>
      <w:bookmarkStart w:id="161" w:name="_Toc72515632"/>
      <w:bookmarkStart w:id="162" w:name="_Toc89172860"/>
      <w:r w:rsidRPr="00FD791B">
        <w:rPr>
          <w:b/>
          <w:iCs/>
          <w:color w:val="808080" w:themeColor="background1" w:themeShade="80"/>
          <w:sz w:val="20"/>
          <w:szCs w:val="20"/>
        </w:rPr>
        <w:lastRenderedPageBreak/>
        <w:t xml:space="preserve">Πίνακας </w:t>
      </w:r>
      <w:r w:rsidRPr="00FD791B">
        <w:rPr>
          <w:b/>
          <w:iCs/>
          <w:color w:val="808080" w:themeColor="background1" w:themeShade="80"/>
          <w:sz w:val="20"/>
          <w:szCs w:val="20"/>
        </w:rPr>
        <w:fldChar w:fldCharType="begin"/>
      </w:r>
      <w:r w:rsidRPr="00FD791B">
        <w:rPr>
          <w:b/>
          <w:iCs/>
          <w:color w:val="808080" w:themeColor="background1" w:themeShade="80"/>
          <w:sz w:val="20"/>
          <w:szCs w:val="20"/>
        </w:rPr>
        <w:instrText xml:space="preserve"> SEQ Πίνακας \* ARABIC </w:instrText>
      </w:r>
      <w:r w:rsidRPr="00FD791B">
        <w:rPr>
          <w:b/>
          <w:iCs/>
          <w:color w:val="808080" w:themeColor="background1" w:themeShade="80"/>
          <w:sz w:val="20"/>
          <w:szCs w:val="20"/>
        </w:rPr>
        <w:fldChar w:fldCharType="separate"/>
      </w:r>
      <w:r w:rsidR="0038196B">
        <w:rPr>
          <w:b/>
          <w:iCs/>
          <w:noProof/>
          <w:color w:val="808080" w:themeColor="background1" w:themeShade="80"/>
          <w:sz w:val="20"/>
          <w:szCs w:val="20"/>
        </w:rPr>
        <w:t>15</w:t>
      </w:r>
      <w:r w:rsidRPr="00FD791B">
        <w:rPr>
          <w:b/>
          <w:iCs/>
          <w:color w:val="808080" w:themeColor="background1" w:themeShade="80"/>
          <w:sz w:val="20"/>
          <w:szCs w:val="20"/>
        </w:rPr>
        <w:fldChar w:fldCharType="end"/>
      </w:r>
      <w:bookmarkEnd w:id="159"/>
      <w:r w:rsidRPr="00FD791B">
        <w:rPr>
          <w:b/>
          <w:iCs/>
          <w:color w:val="808080" w:themeColor="background1" w:themeShade="80"/>
          <w:sz w:val="20"/>
          <w:szCs w:val="20"/>
        </w:rPr>
        <w:t>:</w:t>
      </w:r>
      <w:r w:rsidRPr="00FD791B">
        <w:rPr>
          <w:b/>
          <w:iCs/>
          <w:color w:val="808080" w:themeColor="background1" w:themeShade="80"/>
        </w:rPr>
        <w:t xml:space="preserve"> </w:t>
      </w:r>
      <w:bookmarkEnd w:id="160"/>
      <w:bookmarkEnd w:id="161"/>
      <w:r w:rsidR="00D25A31" w:rsidRPr="00D25A31">
        <w:rPr>
          <w:rFonts w:eastAsia="Calibri" w:cs="Times New Roman"/>
          <w:color w:val="00A3E0"/>
          <w:sz w:val="20"/>
          <w:szCs w:val="20"/>
        </w:rPr>
        <w:t>Δημοσιονομικές εξελίξεις Γενικής Κυβέρνησης 2018-2022</w:t>
      </w:r>
      <w:bookmarkEnd w:id="162"/>
    </w:p>
    <w:tbl>
      <w:tblPr>
        <w:tblW w:w="8629" w:type="dxa"/>
        <w:tblLook w:val="04A0" w:firstRow="1" w:lastRow="0" w:firstColumn="1" w:lastColumn="0" w:noHBand="0" w:noVBand="1"/>
      </w:tblPr>
      <w:tblGrid>
        <w:gridCol w:w="3393"/>
        <w:gridCol w:w="1547"/>
        <w:gridCol w:w="922"/>
        <w:gridCol w:w="922"/>
        <w:gridCol w:w="922"/>
        <w:gridCol w:w="923"/>
      </w:tblGrid>
      <w:tr w:rsidR="00B37128" w:rsidRPr="00B37128" w14:paraId="78D290E7" w14:textId="77777777" w:rsidTr="0055063C">
        <w:trPr>
          <w:trHeight w:val="393"/>
        </w:trPr>
        <w:tc>
          <w:tcPr>
            <w:tcW w:w="3393" w:type="dxa"/>
            <w:tcBorders>
              <w:top w:val="single" w:sz="12" w:space="0" w:color="auto"/>
              <w:left w:val="nil"/>
              <w:bottom w:val="nil"/>
              <w:right w:val="nil"/>
            </w:tcBorders>
            <w:shd w:val="clear" w:color="000000" w:fill="B4C6E7"/>
            <w:vAlign w:val="center"/>
            <w:hideMark/>
          </w:tcPr>
          <w:p w14:paraId="3E33BA52"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 </w:t>
            </w:r>
          </w:p>
        </w:tc>
        <w:tc>
          <w:tcPr>
            <w:tcW w:w="5236" w:type="dxa"/>
            <w:gridSpan w:val="5"/>
            <w:tcBorders>
              <w:top w:val="single" w:sz="12" w:space="0" w:color="auto"/>
              <w:left w:val="nil"/>
              <w:bottom w:val="nil"/>
              <w:right w:val="nil"/>
            </w:tcBorders>
            <w:shd w:val="clear" w:color="000000" w:fill="B4C6E7"/>
            <w:noWrap/>
            <w:vAlign w:val="center"/>
            <w:hideMark/>
          </w:tcPr>
          <w:p w14:paraId="617FA465"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eastAsia="el-GR"/>
              </w:rPr>
              <w:t>εκατ. ευρώ σε δημοσιονομική βάση (ESA)</w:t>
            </w:r>
          </w:p>
        </w:tc>
      </w:tr>
      <w:tr w:rsidR="00B37128" w:rsidRPr="00B37128" w14:paraId="0984A416" w14:textId="77777777" w:rsidTr="0055063C">
        <w:trPr>
          <w:trHeight w:val="393"/>
        </w:trPr>
        <w:tc>
          <w:tcPr>
            <w:tcW w:w="3393" w:type="dxa"/>
            <w:tcBorders>
              <w:top w:val="nil"/>
              <w:left w:val="nil"/>
              <w:bottom w:val="single" w:sz="12" w:space="0" w:color="auto"/>
              <w:right w:val="nil"/>
            </w:tcBorders>
            <w:shd w:val="clear" w:color="000000" w:fill="B4C6E7"/>
            <w:vAlign w:val="center"/>
            <w:hideMark/>
          </w:tcPr>
          <w:p w14:paraId="410DE26F"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 </w:t>
            </w:r>
          </w:p>
        </w:tc>
        <w:tc>
          <w:tcPr>
            <w:tcW w:w="1547" w:type="dxa"/>
            <w:tcBorders>
              <w:top w:val="nil"/>
              <w:left w:val="nil"/>
              <w:bottom w:val="single" w:sz="12" w:space="0" w:color="auto"/>
              <w:right w:val="nil"/>
            </w:tcBorders>
            <w:shd w:val="clear" w:color="000000" w:fill="B4C6E7"/>
            <w:vAlign w:val="center"/>
            <w:hideMark/>
          </w:tcPr>
          <w:p w14:paraId="4CB4812F"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2018</w:t>
            </w:r>
          </w:p>
        </w:tc>
        <w:tc>
          <w:tcPr>
            <w:tcW w:w="922" w:type="dxa"/>
            <w:tcBorders>
              <w:top w:val="nil"/>
              <w:left w:val="nil"/>
              <w:bottom w:val="single" w:sz="12" w:space="0" w:color="auto"/>
              <w:right w:val="nil"/>
            </w:tcBorders>
            <w:shd w:val="clear" w:color="000000" w:fill="B4C6E7"/>
            <w:vAlign w:val="center"/>
            <w:hideMark/>
          </w:tcPr>
          <w:p w14:paraId="43CCBF24"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2019</w:t>
            </w:r>
          </w:p>
        </w:tc>
        <w:tc>
          <w:tcPr>
            <w:tcW w:w="922" w:type="dxa"/>
            <w:tcBorders>
              <w:top w:val="nil"/>
              <w:left w:val="nil"/>
              <w:bottom w:val="single" w:sz="12" w:space="0" w:color="auto"/>
              <w:right w:val="nil"/>
            </w:tcBorders>
            <w:shd w:val="clear" w:color="000000" w:fill="B4C6E7"/>
            <w:vAlign w:val="center"/>
            <w:hideMark/>
          </w:tcPr>
          <w:p w14:paraId="20CDA478"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2020</w:t>
            </w:r>
          </w:p>
        </w:tc>
        <w:tc>
          <w:tcPr>
            <w:tcW w:w="922" w:type="dxa"/>
            <w:tcBorders>
              <w:top w:val="nil"/>
              <w:left w:val="nil"/>
              <w:bottom w:val="single" w:sz="12" w:space="0" w:color="auto"/>
              <w:right w:val="nil"/>
            </w:tcBorders>
            <w:shd w:val="clear" w:color="000000" w:fill="B4C6E7"/>
            <w:vAlign w:val="center"/>
            <w:hideMark/>
          </w:tcPr>
          <w:p w14:paraId="0C2B41A6"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2021*</w:t>
            </w:r>
          </w:p>
        </w:tc>
        <w:tc>
          <w:tcPr>
            <w:tcW w:w="922" w:type="dxa"/>
            <w:tcBorders>
              <w:top w:val="nil"/>
              <w:left w:val="nil"/>
              <w:bottom w:val="single" w:sz="12" w:space="0" w:color="auto"/>
              <w:right w:val="nil"/>
            </w:tcBorders>
            <w:shd w:val="clear" w:color="000000" w:fill="B4C6E7"/>
            <w:vAlign w:val="center"/>
            <w:hideMark/>
          </w:tcPr>
          <w:p w14:paraId="72823DAA"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2022**</w:t>
            </w:r>
          </w:p>
        </w:tc>
      </w:tr>
      <w:tr w:rsidR="00B37128" w:rsidRPr="00B37128" w14:paraId="4D3017BE" w14:textId="77777777" w:rsidTr="0055063C">
        <w:trPr>
          <w:trHeight w:val="393"/>
        </w:trPr>
        <w:tc>
          <w:tcPr>
            <w:tcW w:w="3393" w:type="dxa"/>
            <w:tcBorders>
              <w:top w:val="single" w:sz="12" w:space="0" w:color="auto"/>
              <w:left w:val="nil"/>
              <w:bottom w:val="single" w:sz="6" w:space="0" w:color="auto"/>
              <w:right w:val="nil"/>
            </w:tcBorders>
            <w:shd w:val="clear" w:color="auto" w:fill="auto"/>
            <w:vAlign w:val="center"/>
            <w:hideMark/>
          </w:tcPr>
          <w:p w14:paraId="4097A740" w14:textId="77777777" w:rsidR="00B37128" w:rsidRPr="00B37128" w:rsidRDefault="00B37128" w:rsidP="00B37128">
            <w:pPr>
              <w:spacing w:after="0" w:line="240" w:lineRule="auto"/>
              <w:jc w:val="center"/>
              <w:rPr>
                <w:rFonts w:eastAsia="Times New Roman" w:cs="Calibri"/>
                <w:b/>
                <w:bCs/>
                <w:i/>
                <w:iCs/>
                <w:color w:val="000000"/>
                <w:sz w:val="20"/>
                <w:szCs w:val="20"/>
                <w:lang w:eastAsia="el-GR"/>
              </w:rPr>
            </w:pPr>
            <w:r w:rsidRPr="00B37128">
              <w:rPr>
                <w:rFonts w:eastAsia="Times New Roman" w:cs="Calibri"/>
                <w:b/>
                <w:bCs/>
                <w:i/>
                <w:iCs/>
                <w:color w:val="000000"/>
                <w:sz w:val="20"/>
                <w:szCs w:val="20"/>
                <w:lang w:eastAsia="el-GR"/>
              </w:rPr>
              <w:t>Ι. Σύνολο Εσόδων Κ.Π.</w:t>
            </w:r>
          </w:p>
        </w:tc>
        <w:tc>
          <w:tcPr>
            <w:tcW w:w="1547" w:type="dxa"/>
            <w:tcBorders>
              <w:top w:val="single" w:sz="12" w:space="0" w:color="auto"/>
              <w:left w:val="nil"/>
              <w:bottom w:val="single" w:sz="6" w:space="0" w:color="auto"/>
              <w:right w:val="nil"/>
            </w:tcBorders>
            <w:shd w:val="clear" w:color="auto" w:fill="auto"/>
            <w:vAlign w:val="center"/>
            <w:hideMark/>
          </w:tcPr>
          <w:p w14:paraId="14F81220"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57.965</w:t>
            </w:r>
          </w:p>
        </w:tc>
        <w:tc>
          <w:tcPr>
            <w:tcW w:w="922" w:type="dxa"/>
            <w:tcBorders>
              <w:top w:val="single" w:sz="12" w:space="0" w:color="auto"/>
              <w:left w:val="nil"/>
              <w:bottom w:val="single" w:sz="6" w:space="0" w:color="auto"/>
              <w:right w:val="nil"/>
            </w:tcBorders>
            <w:shd w:val="clear" w:color="auto" w:fill="auto"/>
            <w:noWrap/>
            <w:vAlign w:val="center"/>
            <w:hideMark/>
          </w:tcPr>
          <w:p w14:paraId="0BDC213B"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58.961</w:t>
            </w:r>
          </w:p>
        </w:tc>
        <w:tc>
          <w:tcPr>
            <w:tcW w:w="922" w:type="dxa"/>
            <w:tcBorders>
              <w:top w:val="single" w:sz="12" w:space="0" w:color="auto"/>
              <w:left w:val="nil"/>
              <w:bottom w:val="single" w:sz="6" w:space="0" w:color="auto"/>
              <w:right w:val="nil"/>
            </w:tcBorders>
            <w:shd w:val="clear" w:color="auto" w:fill="auto"/>
            <w:vAlign w:val="center"/>
            <w:hideMark/>
          </w:tcPr>
          <w:p w14:paraId="16F3927A"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55.288</w:t>
            </w:r>
          </w:p>
        </w:tc>
        <w:tc>
          <w:tcPr>
            <w:tcW w:w="922" w:type="dxa"/>
            <w:tcBorders>
              <w:top w:val="single" w:sz="12" w:space="0" w:color="auto"/>
              <w:left w:val="nil"/>
              <w:bottom w:val="single" w:sz="6" w:space="0" w:color="auto"/>
              <w:right w:val="nil"/>
            </w:tcBorders>
            <w:shd w:val="clear" w:color="auto" w:fill="auto"/>
            <w:noWrap/>
            <w:vAlign w:val="center"/>
            <w:hideMark/>
          </w:tcPr>
          <w:p w14:paraId="19471516"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54.915</w:t>
            </w:r>
          </w:p>
        </w:tc>
        <w:tc>
          <w:tcPr>
            <w:tcW w:w="922" w:type="dxa"/>
            <w:tcBorders>
              <w:top w:val="single" w:sz="12" w:space="0" w:color="auto"/>
              <w:left w:val="nil"/>
              <w:bottom w:val="single" w:sz="6" w:space="0" w:color="auto"/>
              <w:right w:val="nil"/>
            </w:tcBorders>
            <w:shd w:val="clear" w:color="auto" w:fill="auto"/>
            <w:noWrap/>
            <w:vAlign w:val="center"/>
            <w:hideMark/>
          </w:tcPr>
          <w:p w14:paraId="57009A66"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59.765</w:t>
            </w:r>
          </w:p>
        </w:tc>
      </w:tr>
      <w:tr w:rsidR="00B37128" w:rsidRPr="00B37128" w14:paraId="49283A45" w14:textId="77777777" w:rsidTr="0055063C">
        <w:trPr>
          <w:trHeight w:val="374"/>
        </w:trPr>
        <w:tc>
          <w:tcPr>
            <w:tcW w:w="3393" w:type="dxa"/>
            <w:tcBorders>
              <w:top w:val="single" w:sz="6" w:space="0" w:color="auto"/>
              <w:left w:val="nil"/>
              <w:bottom w:val="single" w:sz="6" w:space="0" w:color="auto"/>
              <w:right w:val="nil"/>
            </w:tcBorders>
            <w:shd w:val="clear" w:color="auto" w:fill="auto"/>
            <w:vAlign w:val="center"/>
            <w:hideMark/>
          </w:tcPr>
          <w:p w14:paraId="490BA1F3" w14:textId="77777777" w:rsidR="00B37128" w:rsidRPr="00B37128" w:rsidRDefault="00B37128" w:rsidP="00B37128">
            <w:pPr>
              <w:spacing w:after="0" w:line="240" w:lineRule="auto"/>
              <w:jc w:val="center"/>
              <w:rPr>
                <w:rFonts w:eastAsia="Times New Roman" w:cs="Calibri"/>
                <w:i/>
                <w:iCs/>
                <w:color w:val="000000"/>
                <w:sz w:val="20"/>
                <w:szCs w:val="20"/>
                <w:lang w:eastAsia="el-GR"/>
              </w:rPr>
            </w:pPr>
            <w:r w:rsidRPr="00B37128">
              <w:rPr>
                <w:rFonts w:eastAsia="Times New Roman" w:cs="Calibri"/>
                <w:i/>
                <w:iCs/>
                <w:color w:val="000000"/>
                <w:sz w:val="20"/>
                <w:szCs w:val="20"/>
                <w:lang w:val="en-US" w:eastAsia="el-GR"/>
              </w:rPr>
              <w:t xml:space="preserve">Επιστροφή εσόδων </w:t>
            </w:r>
          </w:p>
        </w:tc>
        <w:tc>
          <w:tcPr>
            <w:tcW w:w="1547" w:type="dxa"/>
            <w:tcBorders>
              <w:top w:val="single" w:sz="6" w:space="0" w:color="auto"/>
              <w:left w:val="nil"/>
              <w:bottom w:val="single" w:sz="6" w:space="0" w:color="auto"/>
              <w:right w:val="nil"/>
            </w:tcBorders>
            <w:shd w:val="clear" w:color="auto" w:fill="auto"/>
            <w:vAlign w:val="center"/>
            <w:hideMark/>
          </w:tcPr>
          <w:p w14:paraId="5E50BD85" w14:textId="77777777" w:rsidR="00B37128" w:rsidRPr="00B37128" w:rsidRDefault="00B37128" w:rsidP="00B37128">
            <w:pPr>
              <w:spacing w:after="0" w:line="240" w:lineRule="auto"/>
              <w:jc w:val="center"/>
              <w:rPr>
                <w:rFonts w:eastAsia="Times New Roman" w:cs="Calibri"/>
                <w:color w:val="000000"/>
                <w:sz w:val="20"/>
                <w:szCs w:val="20"/>
                <w:lang w:eastAsia="el-GR"/>
              </w:rPr>
            </w:pPr>
            <w:r w:rsidRPr="00B37128">
              <w:rPr>
                <w:rFonts w:eastAsia="Times New Roman" w:cs="Calibri"/>
                <w:color w:val="000000"/>
                <w:sz w:val="20"/>
                <w:szCs w:val="20"/>
                <w:lang w:val="en-US" w:eastAsia="el-GR"/>
              </w:rPr>
              <w:t>5.325</w:t>
            </w:r>
          </w:p>
        </w:tc>
        <w:tc>
          <w:tcPr>
            <w:tcW w:w="922" w:type="dxa"/>
            <w:tcBorders>
              <w:top w:val="single" w:sz="6" w:space="0" w:color="auto"/>
              <w:left w:val="nil"/>
              <w:bottom w:val="single" w:sz="6" w:space="0" w:color="auto"/>
              <w:right w:val="nil"/>
            </w:tcBorders>
            <w:shd w:val="clear" w:color="auto" w:fill="auto"/>
            <w:noWrap/>
            <w:vAlign w:val="center"/>
            <w:hideMark/>
          </w:tcPr>
          <w:p w14:paraId="5A8373C7" w14:textId="77777777" w:rsidR="00B37128" w:rsidRPr="00B37128" w:rsidRDefault="00B37128" w:rsidP="00B37128">
            <w:pPr>
              <w:spacing w:after="0" w:line="240" w:lineRule="auto"/>
              <w:jc w:val="center"/>
              <w:rPr>
                <w:rFonts w:eastAsia="Times New Roman" w:cs="Calibri"/>
                <w:color w:val="000000"/>
                <w:sz w:val="20"/>
                <w:szCs w:val="20"/>
                <w:lang w:eastAsia="el-GR"/>
              </w:rPr>
            </w:pPr>
            <w:r w:rsidRPr="00B37128">
              <w:rPr>
                <w:rFonts w:eastAsia="Times New Roman" w:cs="Calibri"/>
                <w:color w:val="000000"/>
                <w:sz w:val="20"/>
                <w:szCs w:val="20"/>
                <w:lang w:val="en-US" w:eastAsia="el-GR"/>
              </w:rPr>
              <w:t>5.358</w:t>
            </w:r>
          </w:p>
        </w:tc>
        <w:tc>
          <w:tcPr>
            <w:tcW w:w="922" w:type="dxa"/>
            <w:tcBorders>
              <w:top w:val="single" w:sz="6" w:space="0" w:color="auto"/>
              <w:left w:val="nil"/>
              <w:bottom w:val="single" w:sz="6" w:space="0" w:color="auto"/>
              <w:right w:val="nil"/>
            </w:tcBorders>
            <w:shd w:val="clear" w:color="auto" w:fill="auto"/>
            <w:vAlign w:val="center"/>
            <w:hideMark/>
          </w:tcPr>
          <w:p w14:paraId="7FFD78AC" w14:textId="77777777" w:rsidR="00B37128" w:rsidRPr="00B37128" w:rsidRDefault="00B37128" w:rsidP="00B37128">
            <w:pPr>
              <w:spacing w:after="0" w:line="240" w:lineRule="auto"/>
              <w:jc w:val="center"/>
              <w:rPr>
                <w:rFonts w:eastAsia="Times New Roman" w:cs="Calibri"/>
                <w:color w:val="000000"/>
                <w:sz w:val="20"/>
                <w:szCs w:val="20"/>
                <w:lang w:eastAsia="el-GR"/>
              </w:rPr>
            </w:pPr>
            <w:r w:rsidRPr="00B37128">
              <w:rPr>
                <w:rFonts w:eastAsia="Times New Roman" w:cs="Calibri"/>
                <w:color w:val="000000"/>
                <w:sz w:val="20"/>
                <w:szCs w:val="20"/>
                <w:lang w:val="en-US" w:eastAsia="el-GR"/>
              </w:rPr>
              <w:t>5.678</w:t>
            </w:r>
          </w:p>
        </w:tc>
        <w:tc>
          <w:tcPr>
            <w:tcW w:w="922" w:type="dxa"/>
            <w:tcBorders>
              <w:top w:val="single" w:sz="6" w:space="0" w:color="auto"/>
              <w:left w:val="nil"/>
              <w:bottom w:val="single" w:sz="6" w:space="0" w:color="auto"/>
              <w:right w:val="nil"/>
            </w:tcBorders>
            <w:shd w:val="clear" w:color="auto" w:fill="auto"/>
            <w:noWrap/>
            <w:vAlign w:val="center"/>
            <w:hideMark/>
          </w:tcPr>
          <w:p w14:paraId="3A0B6774" w14:textId="77777777" w:rsidR="00B37128" w:rsidRPr="00B37128" w:rsidRDefault="00B37128" w:rsidP="00B37128">
            <w:pPr>
              <w:spacing w:after="0" w:line="240" w:lineRule="auto"/>
              <w:jc w:val="center"/>
              <w:rPr>
                <w:rFonts w:eastAsia="Times New Roman" w:cs="Calibri"/>
                <w:color w:val="000000"/>
                <w:sz w:val="20"/>
                <w:szCs w:val="20"/>
                <w:lang w:eastAsia="el-GR"/>
              </w:rPr>
            </w:pPr>
            <w:r w:rsidRPr="00B37128">
              <w:rPr>
                <w:rFonts w:eastAsia="Times New Roman" w:cs="Calibri"/>
                <w:color w:val="000000"/>
                <w:sz w:val="20"/>
                <w:szCs w:val="20"/>
                <w:lang w:val="en-US" w:eastAsia="el-GR"/>
              </w:rPr>
              <w:t>4.841</w:t>
            </w:r>
          </w:p>
        </w:tc>
        <w:tc>
          <w:tcPr>
            <w:tcW w:w="922" w:type="dxa"/>
            <w:tcBorders>
              <w:top w:val="single" w:sz="6" w:space="0" w:color="auto"/>
              <w:left w:val="nil"/>
              <w:bottom w:val="single" w:sz="6" w:space="0" w:color="auto"/>
              <w:right w:val="nil"/>
            </w:tcBorders>
            <w:shd w:val="clear" w:color="auto" w:fill="auto"/>
            <w:noWrap/>
            <w:vAlign w:val="center"/>
            <w:hideMark/>
          </w:tcPr>
          <w:p w14:paraId="628CA87A" w14:textId="77777777" w:rsidR="00B37128" w:rsidRPr="00B37128" w:rsidRDefault="00B37128" w:rsidP="00B37128">
            <w:pPr>
              <w:spacing w:after="0" w:line="240" w:lineRule="auto"/>
              <w:jc w:val="center"/>
              <w:rPr>
                <w:rFonts w:eastAsia="Times New Roman" w:cs="Calibri"/>
                <w:color w:val="000000"/>
                <w:sz w:val="20"/>
                <w:szCs w:val="20"/>
                <w:lang w:eastAsia="el-GR"/>
              </w:rPr>
            </w:pPr>
            <w:r w:rsidRPr="00B37128">
              <w:rPr>
                <w:rFonts w:eastAsia="Times New Roman" w:cs="Calibri"/>
                <w:color w:val="000000"/>
                <w:sz w:val="20"/>
                <w:szCs w:val="20"/>
                <w:lang w:val="en-US" w:eastAsia="el-GR"/>
              </w:rPr>
              <w:t>5.090</w:t>
            </w:r>
          </w:p>
        </w:tc>
      </w:tr>
      <w:tr w:rsidR="00B37128" w:rsidRPr="00B37128" w14:paraId="6EE8843C" w14:textId="77777777" w:rsidTr="0055063C">
        <w:trPr>
          <w:trHeight w:val="374"/>
        </w:trPr>
        <w:tc>
          <w:tcPr>
            <w:tcW w:w="3393" w:type="dxa"/>
            <w:tcBorders>
              <w:top w:val="single" w:sz="6" w:space="0" w:color="auto"/>
              <w:left w:val="nil"/>
              <w:bottom w:val="single" w:sz="6" w:space="0" w:color="auto"/>
              <w:right w:val="nil"/>
            </w:tcBorders>
            <w:shd w:val="clear" w:color="auto" w:fill="auto"/>
            <w:vAlign w:val="center"/>
            <w:hideMark/>
          </w:tcPr>
          <w:p w14:paraId="27503CC3" w14:textId="77777777" w:rsidR="00B37128" w:rsidRPr="00B37128" w:rsidRDefault="00B37128" w:rsidP="00B37128">
            <w:pPr>
              <w:spacing w:after="0" w:line="240" w:lineRule="auto"/>
              <w:jc w:val="center"/>
              <w:rPr>
                <w:rFonts w:eastAsia="Times New Roman" w:cs="Calibri"/>
                <w:b/>
                <w:bCs/>
                <w:i/>
                <w:iCs/>
                <w:color w:val="000000"/>
                <w:sz w:val="20"/>
                <w:szCs w:val="20"/>
                <w:lang w:eastAsia="el-GR"/>
              </w:rPr>
            </w:pPr>
            <w:r w:rsidRPr="00B37128">
              <w:rPr>
                <w:rFonts w:eastAsia="Times New Roman" w:cs="Calibri"/>
                <w:b/>
                <w:bCs/>
                <w:i/>
                <w:iCs/>
                <w:color w:val="000000"/>
                <w:sz w:val="20"/>
                <w:szCs w:val="20"/>
                <w:lang w:val="en-US" w:eastAsia="el-GR"/>
              </w:rPr>
              <w:t>II</w:t>
            </w:r>
            <w:r w:rsidRPr="00B37128">
              <w:rPr>
                <w:rFonts w:eastAsia="Times New Roman" w:cs="Calibri"/>
                <w:b/>
                <w:bCs/>
                <w:i/>
                <w:iCs/>
                <w:color w:val="000000"/>
                <w:sz w:val="20"/>
                <w:szCs w:val="20"/>
                <w:lang w:eastAsia="el-GR"/>
              </w:rPr>
              <w:t>. Σύνολο Δαπανών Κ.Π.</w:t>
            </w:r>
          </w:p>
        </w:tc>
        <w:tc>
          <w:tcPr>
            <w:tcW w:w="1547" w:type="dxa"/>
            <w:tcBorders>
              <w:top w:val="single" w:sz="6" w:space="0" w:color="auto"/>
              <w:left w:val="nil"/>
              <w:bottom w:val="single" w:sz="6" w:space="0" w:color="auto"/>
              <w:right w:val="nil"/>
            </w:tcBorders>
            <w:shd w:val="clear" w:color="auto" w:fill="auto"/>
            <w:vAlign w:val="center"/>
            <w:hideMark/>
          </w:tcPr>
          <w:p w14:paraId="4C37DA8F"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59.005</w:t>
            </w:r>
          </w:p>
        </w:tc>
        <w:tc>
          <w:tcPr>
            <w:tcW w:w="922" w:type="dxa"/>
            <w:tcBorders>
              <w:top w:val="single" w:sz="6" w:space="0" w:color="auto"/>
              <w:left w:val="nil"/>
              <w:bottom w:val="single" w:sz="6" w:space="0" w:color="auto"/>
              <w:right w:val="nil"/>
            </w:tcBorders>
            <w:shd w:val="clear" w:color="auto" w:fill="auto"/>
            <w:noWrap/>
            <w:vAlign w:val="center"/>
            <w:hideMark/>
          </w:tcPr>
          <w:p w14:paraId="15C87200"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55.970</w:t>
            </w:r>
          </w:p>
        </w:tc>
        <w:tc>
          <w:tcPr>
            <w:tcW w:w="922" w:type="dxa"/>
            <w:tcBorders>
              <w:top w:val="single" w:sz="6" w:space="0" w:color="auto"/>
              <w:left w:val="nil"/>
              <w:bottom w:val="single" w:sz="6" w:space="0" w:color="auto"/>
              <w:right w:val="nil"/>
            </w:tcBorders>
            <w:shd w:val="clear" w:color="auto" w:fill="auto"/>
            <w:vAlign w:val="center"/>
            <w:hideMark/>
          </w:tcPr>
          <w:p w14:paraId="45CA1981"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70.291</w:t>
            </w:r>
          </w:p>
        </w:tc>
        <w:tc>
          <w:tcPr>
            <w:tcW w:w="922" w:type="dxa"/>
            <w:tcBorders>
              <w:top w:val="single" w:sz="6" w:space="0" w:color="auto"/>
              <w:left w:val="nil"/>
              <w:bottom w:val="single" w:sz="6" w:space="0" w:color="auto"/>
              <w:right w:val="nil"/>
            </w:tcBorders>
            <w:shd w:val="clear" w:color="auto" w:fill="auto"/>
            <w:noWrap/>
            <w:vAlign w:val="center"/>
            <w:hideMark/>
          </w:tcPr>
          <w:p w14:paraId="754149D8"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70.677</w:t>
            </w:r>
          </w:p>
        </w:tc>
        <w:tc>
          <w:tcPr>
            <w:tcW w:w="922" w:type="dxa"/>
            <w:tcBorders>
              <w:top w:val="single" w:sz="6" w:space="0" w:color="auto"/>
              <w:left w:val="nil"/>
              <w:bottom w:val="single" w:sz="6" w:space="0" w:color="auto"/>
              <w:right w:val="nil"/>
            </w:tcBorders>
            <w:shd w:val="clear" w:color="auto" w:fill="auto"/>
            <w:noWrap/>
            <w:vAlign w:val="center"/>
            <w:hideMark/>
          </w:tcPr>
          <w:p w14:paraId="64BAD775"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64.335</w:t>
            </w:r>
          </w:p>
        </w:tc>
      </w:tr>
      <w:tr w:rsidR="00B37128" w:rsidRPr="00B37128" w14:paraId="06B7E8C6" w14:textId="77777777" w:rsidTr="0055063C">
        <w:trPr>
          <w:trHeight w:val="374"/>
        </w:trPr>
        <w:tc>
          <w:tcPr>
            <w:tcW w:w="3393" w:type="dxa"/>
            <w:tcBorders>
              <w:top w:val="single" w:sz="6" w:space="0" w:color="auto"/>
              <w:left w:val="nil"/>
              <w:bottom w:val="single" w:sz="6" w:space="0" w:color="auto"/>
              <w:right w:val="nil"/>
            </w:tcBorders>
            <w:shd w:val="clear" w:color="auto" w:fill="auto"/>
            <w:vAlign w:val="center"/>
            <w:hideMark/>
          </w:tcPr>
          <w:p w14:paraId="6925DEBE" w14:textId="77777777" w:rsidR="00B37128" w:rsidRPr="00B37128" w:rsidRDefault="00B37128" w:rsidP="00B37128">
            <w:pPr>
              <w:spacing w:after="0" w:line="240" w:lineRule="auto"/>
              <w:jc w:val="center"/>
              <w:rPr>
                <w:rFonts w:eastAsia="Times New Roman" w:cs="Calibri"/>
                <w:i/>
                <w:iCs/>
                <w:color w:val="000000"/>
                <w:sz w:val="20"/>
                <w:szCs w:val="20"/>
                <w:lang w:eastAsia="el-GR"/>
              </w:rPr>
            </w:pPr>
            <w:r w:rsidRPr="00B37128">
              <w:rPr>
                <w:rFonts w:eastAsia="Times New Roman" w:cs="Calibri"/>
                <w:i/>
                <w:iCs/>
                <w:color w:val="000000"/>
                <w:sz w:val="20"/>
                <w:szCs w:val="20"/>
                <w:lang w:val="en-US" w:eastAsia="el-GR"/>
              </w:rPr>
              <w:t xml:space="preserve">Τόκοι </w:t>
            </w:r>
          </w:p>
        </w:tc>
        <w:tc>
          <w:tcPr>
            <w:tcW w:w="1547" w:type="dxa"/>
            <w:tcBorders>
              <w:top w:val="single" w:sz="6" w:space="0" w:color="auto"/>
              <w:left w:val="nil"/>
              <w:bottom w:val="single" w:sz="6" w:space="0" w:color="auto"/>
              <w:right w:val="nil"/>
            </w:tcBorders>
            <w:shd w:val="clear" w:color="auto" w:fill="auto"/>
            <w:vAlign w:val="center"/>
            <w:hideMark/>
          </w:tcPr>
          <w:p w14:paraId="6CDEFD0E" w14:textId="77777777" w:rsidR="00B37128" w:rsidRPr="00B37128" w:rsidRDefault="00B37128" w:rsidP="00B37128">
            <w:pPr>
              <w:spacing w:after="0" w:line="240" w:lineRule="auto"/>
              <w:jc w:val="center"/>
              <w:rPr>
                <w:rFonts w:eastAsia="Times New Roman" w:cs="Calibri"/>
                <w:color w:val="000000"/>
                <w:sz w:val="20"/>
                <w:szCs w:val="20"/>
                <w:lang w:eastAsia="el-GR"/>
              </w:rPr>
            </w:pPr>
            <w:r w:rsidRPr="00B37128">
              <w:rPr>
                <w:rFonts w:eastAsia="Times New Roman" w:cs="Calibri"/>
                <w:color w:val="000000"/>
                <w:sz w:val="20"/>
                <w:szCs w:val="20"/>
                <w:lang w:val="en-US" w:eastAsia="el-GR"/>
              </w:rPr>
              <w:t>6.070</w:t>
            </w:r>
          </w:p>
        </w:tc>
        <w:tc>
          <w:tcPr>
            <w:tcW w:w="922" w:type="dxa"/>
            <w:tcBorders>
              <w:top w:val="single" w:sz="6" w:space="0" w:color="auto"/>
              <w:left w:val="nil"/>
              <w:bottom w:val="single" w:sz="6" w:space="0" w:color="auto"/>
              <w:right w:val="nil"/>
            </w:tcBorders>
            <w:shd w:val="clear" w:color="auto" w:fill="auto"/>
            <w:noWrap/>
            <w:vAlign w:val="center"/>
            <w:hideMark/>
          </w:tcPr>
          <w:p w14:paraId="419F00B7" w14:textId="77777777" w:rsidR="00B37128" w:rsidRPr="00B37128" w:rsidRDefault="00B37128" w:rsidP="00B37128">
            <w:pPr>
              <w:spacing w:after="0" w:line="240" w:lineRule="auto"/>
              <w:jc w:val="center"/>
              <w:rPr>
                <w:rFonts w:eastAsia="Times New Roman" w:cs="Calibri"/>
                <w:color w:val="000000"/>
                <w:sz w:val="20"/>
                <w:szCs w:val="20"/>
                <w:lang w:eastAsia="el-GR"/>
              </w:rPr>
            </w:pPr>
            <w:r w:rsidRPr="00B37128">
              <w:rPr>
                <w:rFonts w:eastAsia="Times New Roman" w:cs="Calibri"/>
                <w:color w:val="000000"/>
                <w:sz w:val="20"/>
                <w:szCs w:val="20"/>
                <w:lang w:val="en-US" w:eastAsia="el-GR"/>
              </w:rPr>
              <w:t>5.507</w:t>
            </w:r>
          </w:p>
        </w:tc>
        <w:tc>
          <w:tcPr>
            <w:tcW w:w="922" w:type="dxa"/>
            <w:tcBorders>
              <w:top w:val="single" w:sz="6" w:space="0" w:color="auto"/>
              <w:left w:val="nil"/>
              <w:bottom w:val="single" w:sz="6" w:space="0" w:color="auto"/>
              <w:right w:val="nil"/>
            </w:tcBorders>
            <w:shd w:val="clear" w:color="auto" w:fill="auto"/>
            <w:vAlign w:val="center"/>
            <w:hideMark/>
          </w:tcPr>
          <w:p w14:paraId="0BEB456D" w14:textId="77777777" w:rsidR="00B37128" w:rsidRPr="00B37128" w:rsidRDefault="00B37128" w:rsidP="00B37128">
            <w:pPr>
              <w:spacing w:after="0" w:line="240" w:lineRule="auto"/>
              <w:jc w:val="center"/>
              <w:rPr>
                <w:rFonts w:eastAsia="Times New Roman" w:cs="Calibri"/>
                <w:color w:val="000000"/>
                <w:sz w:val="20"/>
                <w:szCs w:val="20"/>
                <w:lang w:eastAsia="el-GR"/>
              </w:rPr>
            </w:pPr>
            <w:r w:rsidRPr="00B37128">
              <w:rPr>
                <w:rFonts w:eastAsia="Times New Roman" w:cs="Calibri"/>
                <w:color w:val="000000"/>
                <w:sz w:val="20"/>
                <w:szCs w:val="20"/>
                <w:lang w:val="en-US" w:eastAsia="el-GR"/>
              </w:rPr>
              <w:t>4.945</w:t>
            </w:r>
          </w:p>
        </w:tc>
        <w:tc>
          <w:tcPr>
            <w:tcW w:w="922" w:type="dxa"/>
            <w:tcBorders>
              <w:top w:val="single" w:sz="6" w:space="0" w:color="auto"/>
              <w:left w:val="nil"/>
              <w:bottom w:val="single" w:sz="6" w:space="0" w:color="auto"/>
              <w:right w:val="nil"/>
            </w:tcBorders>
            <w:shd w:val="clear" w:color="auto" w:fill="auto"/>
            <w:noWrap/>
            <w:vAlign w:val="center"/>
            <w:hideMark/>
          </w:tcPr>
          <w:p w14:paraId="5BD30B03" w14:textId="77777777" w:rsidR="00B37128" w:rsidRPr="00B37128" w:rsidRDefault="00B37128" w:rsidP="00B37128">
            <w:pPr>
              <w:spacing w:after="0" w:line="240" w:lineRule="auto"/>
              <w:jc w:val="center"/>
              <w:rPr>
                <w:rFonts w:eastAsia="Times New Roman" w:cs="Calibri"/>
                <w:color w:val="000000"/>
                <w:sz w:val="20"/>
                <w:szCs w:val="20"/>
                <w:lang w:eastAsia="el-GR"/>
              </w:rPr>
            </w:pPr>
            <w:r w:rsidRPr="00B37128">
              <w:rPr>
                <w:rFonts w:eastAsia="Times New Roman" w:cs="Calibri"/>
                <w:color w:val="000000"/>
                <w:sz w:val="20"/>
                <w:szCs w:val="20"/>
                <w:lang w:val="en-US" w:eastAsia="el-GR"/>
              </w:rPr>
              <w:t>4.728</w:t>
            </w:r>
          </w:p>
        </w:tc>
        <w:tc>
          <w:tcPr>
            <w:tcW w:w="922" w:type="dxa"/>
            <w:tcBorders>
              <w:top w:val="single" w:sz="6" w:space="0" w:color="auto"/>
              <w:left w:val="nil"/>
              <w:bottom w:val="single" w:sz="6" w:space="0" w:color="auto"/>
              <w:right w:val="nil"/>
            </w:tcBorders>
            <w:shd w:val="clear" w:color="auto" w:fill="auto"/>
            <w:noWrap/>
            <w:vAlign w:val="center"/>
            <w:hideMark/>
          </w:tcPr>
          <w:p w14:paraId="4A5A5692" w14:textId="77777777" w:rsidR="00B37128" w:rsidRPr="00B37128" w:rsidRDefault="00B37128" w:rsidP="00B37128">
            <w:pPr>
              <w:spacing w:after="0" w:line="240" w:lineRule="auto"/>
              <w:jc w:val="center"/>
              <w:rPr>
                <w:rFonts w:eastAsia="Times New Roman" w:cs="Calibri"/>
                <w:color w:val="000000"/>
                <w:sz w:val="20"/>
                <w:szCs w:val="20"/>
                <w:lang w:eastAsia="el-GR"/>
              </w:rPr>
            </w:pPr>
            <w:r w:rsidRPr="00B37128">
              <w:rPr>
                <w:rFonts w:eastAsia="Times New Roman" w:cs="Calibri"/>
                <w:color w:val="000000"/>
                <w:sz w:val="20"/>
                <w:szCs w:val="20"/>
                <w:lang w:val="en-US" w:eastAsia="el-GR"/>
              </w:rPr>
              <w:t>4.728</w:t>
            </w:r>
          </w:p>
        </w:tc>
      </w:tr>
      <w:tr w:rsidR="00B37128" w:rsidRPr="00B37128" w14:paraId="1C2ACC66" w14:textId="77777777" w:rsidTr="0055063C">
        <w:trPr>
          <w:trHeight w:val="374"/>
        </w:trPr>
        <w:tc>
          <w:tcPr>
            <w:tcW w:w="3393" w:type="dxa"/>
            <w:tcBorders>
              <w:top w:val="single" w:sz="6" w:space="0" w:color="auto"/>
              <w:left w:val="nil"/>
              <w:bottom w:val="single" w:sz="6" w:space="0" w:color="auto"/>
              <w:right w:val="nil"/>
            </w:tcBorders>
            <w:shd w:val="clear" w:color="auto" w:fill="auto"/>
            <w:vAlign w:val="center"/>
            <w:hideMark/>
          </w:tcPr>
          <w:p w14:paraId="58699D37" w14:textId="77777777" w:rsidR="00B37128" w:rsidRPr="00B37128" w:rsidRDefault="00B37128" w:rsidP="00B37128">
            <w:pPr>
              <w:spacing w:after="0" w:line="240" w:lineRule="auto"/>
              <w:jc w:val="center"/>
              <w:rPr>
                <w:rFonts w:eastAsia="Times New Roman" w:cs="Calibri"/>
                <w:b/>
                <w:bCs/>
                <w:i/>
                <w:iCs/>
                <w:color w:val="000000"/>
                <w:sz w:val="20"/>
                <w:szCs w:val="20"/>
                <w:lang w:eastAsia="el-GR"/>
              </w:rPr>
            </w:pPr>
            <w:r w:rsidRPr="00B37128">
              <w:rPr>
                <w:rFonts w:eastAsia="Times New Roman" w:cs="Calibri"/>
                <w:b/>
                <w:bCs/>
                <w:i/>
                <w:iCs/>
                <w:color w:val="000000"/>
                <w:sz w:val="20"/>
                <w:szCs w:val="20"/>
                <w:lang w:val="en-US" w:eastAsia="el-GR"/>
              </w:rPr>
              <w:t>Αποτέλεσμα ΟΤΑ</w:t>
            </w:r>
          </w:p>
        </w:tc>
        <w:tc>
          <w:tcPr>
            <w:tcW w:w="1547" w:type="dxa"/>
            <w:tcBorders>
              <w:top w:val="single" w:sz="6" w:space="0" w:color="auto"/>
              <w:left w:val="nil"/>
              <w:bottom w:val="single" w:sz="6" w:space="0" w:color="auto"/>
              <w:right w:val="nil"/>
            </w:tcBorders>
            <w:shd w:val="clear" w:color="auto" w:fill="auto"/>
            <w:vAlign w:val="center"/>
            <w:hideMark/>
          </w:tcPr>
          <w:p w14:paraId="66C1240A"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669</w:t>
            </w:r>
          </w:p>
        </w:tc>
        <w:tc>
          <w:tcPr>
            <w:tcW w:w="922" w:type="dxa"/>
            <w:tcBorders>
              <w:top w:val="single" w:sz="6" w:space="0" w:color="auto"/>
              <w:left w:val="nil"/>
              <w:bottom w:val="single" w:sz="6" w:space="0" w:color="auto"/>
              <w:right w:val="nil"/>
            </w:tcBorders>
            <w:shd w:val="clear" w:color="auto" w:fill="auto"/>
            <w:noWrap/>
            <w:vAlign w:val="center"/>
            <w:hideMark/>
          </w:tcPr>
          <w:p w14:paraId="1A908467"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88</w:t>
            </w:r>
          </w:p>
        </w:tc>
        <w:tc>
          <w:tcPr>
            <w:tcW w:w="922" w:type="dxa"/>
            <w:tcBorders>
              <w:top w:val="single" w:sz="6" w:space="0" w:color="auto"/>
              <w:left w:val="nil"/>
              <w:bottom w:val="single" w:sz="6" w:space="0" w:color="auto"/>
              <w:right w:val="nil"/>
            </w:tcBorders>
            <w:shd w:val="clear" w:color="auto" w:fill="auto"/>
            <w:vAlign w:val="center"/>
            <w:hideMark/>
          </w:tcPr>
          <w:p w14:paraId="3534250E"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77</w:t>
            </w:r>
          </w:p>
        </w:tc>
        <w:tc>
          <w:tcPr>
            <w:tcW w:w="922" w:type="dxa"/>
            <w:tcBorders>
              <w:top w:val="single" w:sz="6" w:space="0" w:color="auto"/>
              <w:left w:val="nil"/>
              <w:bottom w:val="single" w:sz="6" w:space="0" w:color="auto"/>
              <w:right w:val="nil"/>
            </w:tcBorders>
            <w:shd w:val="clear" w:color="auto" w:fill="auto"/>
            <w:noWrap/>
            <w:vAlign w:val="center"/>
            <w:hideMark/>
          </w:tcPr>
          <w:p w14:paraId="2C7E686C"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-127</w:t>
            </w:r>
          </w:p>
        </w:tc>
        <w:tc>
          <w:tcPr>
            <w:tcW w:w="922" w:type="dxa"/>
            <w:tcBorders>
              <w:top w:val="single" w:sz="6" w:space="0" w:color="auto"/>
              <w:left w:val="nil"/>
              <w:bottom w:val="single" w:sz="6" w:space="0" w:color="auto"/>
              <w:right w:val="nil"/>
            </w:tcBorders>
            <w:shd w:val="clear" w:color="auto" w:fill="auto"/>
            <w:noWrap/>
            <w:vAlign w:val="center"/>
            <w:hideMark/>
          </w:tcPr>
          <w:p w14:paraId="0878C503"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149</w:t>
            </w:r>
          </w:p>
        </w:tc>
      </w:tr>
      <w:tr w:rsidR="00B37128" w:rsidRPr="00B37128" w14:paraId="4AE32DD0" w14:textId="77777777" w:rsidTr="0055063C">
        <w:trPr>
          <w:trHeight w:val="374"/>
        </w:trPr>
        <w:tc>
          <w:tcPr>
            <w:tcW w:w="3393" w:type="dxa"/>
            <w:tcBorders>
              <w:top w:val="single" w:sz="6" w:space="0" w:color="auto"/>
              <w:left w:val="nil"/>
              <w:bottom w:val="single" w:sz="6" w:space="0" w:color="auto"/>
              <w:right w:val="nil"/>
            </w:tcBorders>
            <w:shd w:val="clear" w:color="auto" w:fill="auto"/>
            <w:vAlign w:val="center"/>
            <w:hideMark/>
          </w:tcPr>
          <w:p w14:paraId="30F02365" w14:textId="77777777" w:rsidR="00B37128" w:rsidRPr="00B37128" w:rsidRDefault="00B37128" w:rsidP="00B37128">
            <w:pPr>
              <w:spacing w:after="0" w:line="240" w:lineRule="auto"/>
              <w:jc w:val="center"/>
              <w:rPr>
                <w:rFonts w:eastAsia="Times New Roman" w:cs="Calibri"/>
                <w:b/>
                <w:bCs/>
                <w:i/>
                <w:iCs/>
                <w:color w:val="000000"/>
                <w:sz w:val="20"/>
                <w:szCs w:val="20"/>
                <w:lang w:eastAsia="el-GR"/>
              </w:rPr>
            </w:pPr>
            <w:r w:rsidRPr="00B37128">
              <w:rPr>
                <w:rFonts w:eastAsia="Times New Roman" w:cs="Calibri"/>
                <w:b/>
                <w:bCs/>
                <w:i/>
                <w:iCs/>
                <w:color w:val="000000"/>
                <w:sz w:val="20"/>
                <w:szCs w:val="20"/>
                <w:lang w:val="en-US" w:eastAsia="el-GR"/>
              </w:rPr>
              <w:t>Αποτέλεσμα ΟΚΑ</w:t>
            </w:r>
          </w:p>
        </w:tc>
        <w:tc>
          <w:tcPr>
            <w:tcW w:w="1547" w:type="dxa"/>
            <w:tcBorders>
              <w:top w:val="single" w:sz="6" w:space="0" w:color="auto"/>
              <w:left w:val="nil"/>
              <w:bottom w:val="single" w:sz="6" w:space="0" w:color="auto"/>
              <w:right w:val="nil"/>
            </w:tcBorders>
            <w:shd w:val="clear" w:color="auto" w:fill="auto"/>
            <w:vAlign w:val="center"/>
            <w:hideMark/>
          </w:tcPr>
          <w:p w14:paraId="078AB854"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3.291</w:t>
            </w:r>
          </w:p>
        </w:tc>
        <w:tc>
          <w:tcPr>
            <w:tcW w:w="922" w:type="dxa"/>
            <w:tcBorders>
              <w:top w:val="single" w:sz="6" w:space="0" w:color="auto"/>
              <w:left w:val="nil"/>
              <w:bottom w:val="single" w:sz="6" w:space="0" w:color="auto"/>
              <w:right w:val="nil"/>
            </w:tcBorders>
            <w:shd w:val="clear" w:color="auto" w:fill="auto"/>
            <w:noWrap/>
            <w:vAlign w:val="center"/>
            <w:hideMark/>
          </w:tcPr>
          <w:p w14:paraId="6FCE31CC"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1.813</w:t>
            </w:r>
          </w:p>
        </w:tc>
        <w:tc>
          <w:tcPr>
            <w:tcW w:w="922" w:type="dxa"/>
            <w:tcBorders>
              <w:top w:val="single" w:sz="6" w:space="0" w:color="auto"/>
              <w:left w:val="nil"/>
              <w:bottom w:val="single" w:sz="6" w:space="0" w:color="auto"/>
              <w:right w:val="nil"/>
            </w:tcBorders>
            <w:shd w:val="clear" w:color="auto" w:fill="auto"/>
            <w:vAlign w:val="center"/>
            <w:hideMark/>
          </w:tcPr>
          <w:p w14:paraId="545963A8"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599</w:t>
            </w:r>
          </w:p>
        </w:tc>
        <w:tc>
          <w:tcPr>
            <w:tcW w:w="922" w:type="dxa"/>
            <w:tcBorders>
              <w:top w:val="single" w:sz="6" w:space="0" w:color="auto"/>
              <w:left w:val="nil"/>
              <w:bottom w:val="single" w:sz="6" w:space="0" w:color="auto"/>
              <w:right w:val="nil"/>
            </w:tcBorders>
            <w:shd w:val="clear" w:color="auto" w:fill="auto"/>
            <w:noWrap/>
            <w:vAlign w:val="center"/>
            <w:hideMark/>
          </w:tcPr>
          <w:p w14:paraId="04510A50"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442</w:t>
            </w:r>
          </w:p>
        </w:tc>
        <w:tc>
          <w:tcPr>
            <w:tcW w:w="922" w:type="dxa"/>
            <w:tcBorders>
              <w:top w:val="single" w:sz="6" w:space="0" w:color="auto"/>
              <w:left w:val="nil"/>
              <w:bottom w:val="single" w:sz="6" w:space="0" w:color="auto"/>
              <w:right w:val="nil"/>
            </w:tcBorders>
            <w:shd w:val="clear" w:color="auto" w:fill="auto"/>
            <w:noWrap/>
            <w:vAlign w:val="center"/>
            <w:hideMark/>
          </w:tcPr>
          <w:p w14:paraId="34055037"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1.039</w:t>
            </w:r>
          </w:p>
        </w:tc>
      </w:tr>
      <w:tr w:rsidR="00B37128" w:rsidRPr="00B37128" w14:paraId="0608B360" w14:textId="77777777" w:rsidTr="0055063C">
        <w:trPr>
          <w:trHeight w:val="752"/>
        </w:trPr>
        <w:tc>
          <w:tcPr>
            <w:tcW w:w="3393" w:type="dxa"/>
            <w:tcBorders>
              <w:top w:val="single" w:sz="6" w:space="0" w:color="auto"/>
              <w:left w:val="nil"/>
              <w:bottom w:val="single" w:sz="6" w:space="0" w:color="auto"/>
              <w:right w:val="nil"/>
            </w:tcBorders>
            <w:shd w:val="clear" w:color="auto" w:fill="auto"/>
            <w:vAlign w:val="center"/>
            <w:hideMark/>
          </w:tcPr>
          <w:p w14:paraId="08616A9E" w14:textId="77777777" w:rsidR="00B37128" w:rsidRPr="00B37128" w:rsidRDefault="00B37128" w:rsidP="00B37128">
            <w:pPr>
              <w:spacing w:after="0" w:line="240" w:lineRule="auto"/>
              <w:jc w:val="center"/>
              <w:rPr>
                <w:rFonts w:eastAsia="Times New Roman" w:cs="Calibri"/>
                <w:b/>
                <w:bCs/>
                <w:i/>
                <w:iCs/>
                <w:color w:val="000000"/>
                <w:sz w:val="20"/>
                <w:szCs w:val="20"/>
                <w:lang w:eastAsia="el-GR"/>
              </w:rPr>
            </w:pPr>
            <w:r w:rsidRPr="00B37128">
              <w:rPr>
                <w:rFonts w:eastAsia="Times New Roman" w:cs="Calibri"/>
                <w:b/>
                <w:bCs/>
                <w:i/>
                <w:iCs/>
                <w:color w:val="000000"/>
                <w:sz w:val="20"/>
                <w:szCs w:val="20"/>
                <w:lang w:val="en-US" w:eastAsia="el-GR"/>
              </w:rPr>
              <w:t>Αποτέλεσμα Νομικών Προσώπων</w:t>
            </w:r>
          </w:p>
        </w:tc>
        <w:tc>
          <w:tcPr>
            <w:tcW w:w="1547" w:type="dxa"/>
            <w:tcBorders>
              <w:top w:val="single" w:sz="6" w:space="0" w:color="auto"/>
              <w:left w:val="nil"/>
              <w:bottom w:val="single" w:sz="6" w:space="0" w:color="auto"/>
              <w:right w:val="nil"/>
            </w:tcBorders>
            <w:shd w:val="clear" w:color="auto" w:fill="auto"/>
            <w:vAlign w:val="center"/>
            <w:hideMark/>
          </w:tcPr>
          <w:p w14:paraId="1C43F203"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4.100</w:t>
            </w:r>
          </w:p>
        </w:tc>
        <w:tc>
          <w:tcPr>
            <w:tcW w:w="922" w:type="dxa"/>
            <w:tcBorders>
              <w:top w:val="single" w:sz="6" w:space="0" w:color="auto"/>
              <w:left w:val="nil"/>
              <w:bottom w:val="single" w:sz="6" w:space="0" w:color="auto"/>
              <w:right w:val="nil"/>
            </w:tcBorders>
            <w:shd w:val="clear" w:color="auto" w:fill="auto"/>
            <w:noWrap/>
            <w:vAlign w:val="center"/>
            <w:hideMark/>
          </w:tcPr>
          <w:p w14:paraId="75A822EC"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3.521</w:t>
            </w:r>
          </w:p>
        </w:tc>
        <w:tc>
          <w:tcPr>
            <w:tcW w:w="922" w:type="dxa"/>
            <w:tcBorders>
              <w:top w:val="single" w:sz="6" w:space="0" w:color="auto"/>
              <w:left w:val="nil"/>
              <w:bottom w:val="single" w:sz="6" w:space="0" w:color="auto"/>
              <w:right w:val="nil"/>
            </w:tcBorders>
            <w:shd w:val="clear" w:color="auto" w:fill="auto"/>
            <w:vAlign w:val="center"/>
            <w:hideMark/>
          </w:tcPr>
          <w:p w14:paraId="4E509CAA"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4.141</w:t>
            </w:r>
          </w:p>
        </w:tc>
        <w:tc>
          <w:tcPr>
            <w:tcW w:w="922" w:type="dxa"/>
            <w:tcBorders>
              <w:top w:val="single" w:sz="6" w:space="0" w:color="auto"/>
              <w:left w:val="nil"/>
              <w:bottom w:val="single" w:sz="6" w:space="0" w:color="auto"/>
              <w:right w:val="nil"/>
            </w:tcBorders>
            <w:shd w:val="clear" w:color="auto" w:fill="auto"/>
            <w:noWrap/>
            <w:vAlign w:val="center"/>
            <w:hideMark/>
          </w:tcPr>
          <w:p w14:paraId="0596F303"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2.750</w:t>
            </w:r>
          </w:p>
        </w:tc>
        <w:tc>
          <w:tcPr>
            <w:tcW w:w="922" w:type="dxa"/>
            <w:tcBorders>
              <w:top w:val="single" w:sz="6" w:space="0" w:color="auto"/>
              <w:left w:val="nil"/>
              <w:bottom w:val="single" w:sz="6" w:space="0" w:color="auto"/>
              <w:right w:val="nil"/>
            </w:tcBorders>
            <w:shd w:val="clear" w:color="auto" w:fill="auto"/>
            <w:noWrap/>
            <w:vAlign w:val="center"/>
            <w:hideMark/>
          </w:tcPr>
          <w:p w14:paraId="0AF577FC"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1.936</w:t>
            </w:r>
          </w:p>
        </w:tc>
      </w:tr>
      <w:tr w:rsidR="00B37128" w:rsidRPr="00B37128" w14:paraId="35F73468" w14:textId="77777777" w:rsidTr="0055063C">
        <w:trPr>
          <w:trHeight w:val="374"/>
        </w:trPr>
        <w:tc>
          <w:tcPr>
            <w:tcW w:w="3393" w:type="dxa"/>
            <w:tcBorders>
              <w:top w:val="single" w:sz="6" w:space="0" w:color="auto"/>
              <w:left w:val="nil"/>
              <w:bottom w:val="single" w:sz="6" w:space="0" w:color="auto"/>
              <w:right w:val="nil"/>
            </w:tcBorders>
            <w:shd w:val="clear" w:color="auto" w:fill="auto"/>
            <w:vAlign w:val="center"/>
            <w:hideMark/>
          </w:tcPr>
          <w:p w14:paraId="16D61F87" w14:textId="77777777" w:rsidR="00B37128" w:rsidRPr="00B37128" w:rsidRDefault="00B37128" w:rsidP="00B37128">
            <w:pPr>
              <w:spacing w:after="0" w:line="240" w:lineRule="auto"/>
              <w:jc w:val="center"/>
              <w:rPr>
                <w:rFonts w:eastAsia="Times New Roman" w:cs="Calibri"/>
                <w:b/>
                <w:bCs/>
                <w:i/>
                <w:iCs/>
                <w:color w:val="000000"/>
                <w:sz w:val="20"/>
                <w:szCs w:val="20"/>
                <w:lang w:eastAsia="el-GR"/>
              </w:rPr>
            </w:pPr>
            <w:r w:rsidRPr="00B37128">
              <w:rPr>
                <w:rFonts w:eastAsia="Times New Roman" w:cs="Calibri"/>
                <w:b/>
                <w:bCs/>
                <w:i/>
                <w:iCs/>
                <w:color w:val="000000"/>
                <w:sz w:val="20"/>
                <w:szCs w:val="20"/>
                <w:lang w:val="en-US" w:eastAsia="el-GR"/>
              </w:rPr>
              <w:t>Αποτέλεσμα Νοσοκομείων</w:t>
            </w:r>
          </w:p>
        </w:tc>
        <w:tc>
          <w:tcPr>
            <w:tcW w:w="1547" w:type="dxa"/>
            <w:tcBorders>
              <w:top w:val="single" w:sz="6" w:space="0" w:color="auto"/>
              <w:left w:val="nil"/>
              <w:bottom w:val="single" w:sz="6" w:space="0" w:color="auto"/>
              <w:right w:val="nil"/>
            </w:tcBorders>
            <w:shd w:val="clear" w:color="auto" w:fill="auto"/>
            <w:vAlign w:val="center"/>
            <w:hideMark/>
          </w:tcPr>
          <w:p w14:paraId="2F84339E"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135</w:t>
            </w:r>
          </w:p>
        </w:tc>
        <w:tc>
          <w:tcPr>
            <w:tcW w:w="922" w:type="dxa"/>
            <w:tcBorders>
              <w:top w:val="single" w:sz="6" w:space="0" w:color="auto"/>
              <w:left w:val="nil"/>
              <w:bottom w:val="single" w:sz="6" w:space="0" w:color="auto"/>
              <w:right w:val="nil"/>
            </w:tcBorders>
            <w:shd w:val="clear" w:color="auto" w:fill="auto"/>
            <w:noWrap/>
            <w:vAlign w:val="center"/>
            <w:hideMark/>
          </w:tcPr>
          <w:p w14:paraId="7DBD095D"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-258</w:t>
            </w:r>
          </w:p>
        </w:tc>
        <w:tc>
          <w:tcPr>
            <w:tcW w:w="922" w:type="dxa"/>
            <w:tcBorders>
              <w:top w:val="single" w:sz="6" w:space="0" w:color="auto"/>
              <w:left w:val="nil"/>
              <w:bottom w:val="single" w:sz="6" w:space="0" w:color="auto"/>
              <w:right w:val="nil"/>
            </w:tcBorders>
            <w:shd w:val="clear" w:color="auto" w:fill="auto"/>
            <w:vAlign w:val="center"/>
            <w:hideMark/>
          </w:tcPr>
          <w:p w14:paraId="581D343D"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-266</w:t>
            </w:r>
          </w:p>
        </w:tc>
        <w:tc>
          <w:tcPr>
            <w:tcW w:w="922" w:type="dxa"/>
            <w:tcBorders>
              <w:top w:val="single" w:sz="6" w:space="0" w:color="auto"/>
              <w:left w:val="nil"/>
              <w:bottom w:val="single" w:sz="6" w:space="0" w:color="auto"/>
              <w:right w:val="nil"/>
            </w:tcBorders>
            <w:shd w:val="clear" w:color="auto" w:fill="auto"/>
            <w:noWrap/>
            <w:vAlign w:val="center"/>
            <w:hideMark/>
          </w:tcPr>
          <w:p w14:paraId="7369E0F3"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-191</w:t>
            </w:r>
          </w:p>
        </w:tc>
        <w:tc>
          <w:tcPr>
            <w:tcW w:w="922" w:type="dxa"/>
            <w:tcBorders>
              <w:top w:val="single" w:sz="6" w:space="0" w:color="auto"/>
              <w:left w:val="nil"/>
              <w:bottom w:val="single" w:sz="6" w:space="0" w:color="auto"/>
              <w:right w:val="nil"/>
            </w:tcBorders>
            <w:shd w:val="clear" w:color="auto" w:fill="auto"/>
            <w:noWrap/>
            <w:vAlign w:val="center"/>
            <w:hideMark/>
          </w:tcPr>
          <w:p w14:paraId="3FE7AD7C"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-220</w:t>
            </w:r>
          </w:p>
        </w:tc>
      </w:tr>
      <w:tr w:rsidR="00B37128" w:rsidRPr="00B37128" w14:paraId="26FC8006" w14:textId="77777777" w:rsidTr="0055063C">
        <w:trPr>
          <w:trHeight w:val="374"/>
        </w:trPr>
        <w:tc>
          <w:tcPr>
            <w:tcW w:w="3393" w:type="dxa"/>
            <w:tcBorders>
              <w:top w:val="single" w:sz="6" w:space="0" w:color="auto"/>
              <w:left w:val="nil"/>
              <w:bottom w:val="single" w:sz="6" w:space="0" w:color="auto"/>
              <w:right w:val="nil"/>
            </w:tcBorders>
            <w:shd w:val="clear" w:color="auto" w:fill="auto"/>
            <w:vAlign w:val="center"/>
            <w:hideMark/>
          </w:tcPr>
          <w:p w14:paraId="67A242C2" w14:textId="77777777" w:rsidR="00B37128" w:rsidRPr="00B37128" w:rsidRDefault="00B37128" w:rsidP="00B37128">
            <w:pPr>
              <w:spacing w:after="0" w:line="240" w:lineRule="auto"/>
              <w:jc w:val="center"/>
              <w:rPr>
                <w:rFonts w:eastAsia="Times New Roman" w:cs="Calibri"/>
                <w:i/>
                <w:iCs/>
                <w:color w:val="000000"/>
                <w:sz w:val="20"/>
                <w:szCs w:val="20"/>
                <w:lang w:eastAsia="el-GR"/>
              </w:rPr>
            </w:pPr>
            <w:r w:rsidRPr="00B37128">
              <w:rPr>
                <w:rFonts w:eastAsia="Times New Roman" w:cs="Calibri"/>
                <w:i/>
                <w:iCs/>
                <w:color w:val="000000"/>
                <w:sz w:val="20"/>
                <w:szCs w:val="20"/>
                <w:lang w:val="en-US" w:eastAsia="el-GR"/>
              </w:rPr>
              <w:t>ΑΕΠ</w:t>
            </w:r>
          </w:p>
        </w:tc>
        <w:tc>
          <w:tcPr>
            <w:tcW w:w="1547" w:type="dxa"/>
            <w:tcBorders>
              <w:top w:val="single" w:sz="6" w:space="0" w:color="auto"/>
              <w:left w:val="nil"/>
              <w:bottom w:val="single" w:sz="6" w:space="0" w:color="auto"/>
              <w:right w:val="nil"/>
            </w:tcBorders>
            <w:shd w:val="clear" w:color="auto" w:fill="auto"/>
            <w:vAlign w:val="center"/>
            <w:hideMark/>
          </w:tcPr>
          <w:p w14:paraId="56E80988" w14:textId="77777777" w:rsidR="00B37128" w:rsidRPr="00B37128" w:rsidRDefault="00B37128" w:rsidP="00B37128">
            <w:pPr>
              <w:spacing w:after="0" w:line="240" w:lineRule="auto"/>
              <w:jc w:val="center"/>
              <w:rPr>
                <w:rFonts w:eastAsia="Times New Roman" w:cs="Calibri"/>
                <w:color w:val="000000"/>
                <w:sz w:val="20"/>
                <w:szCs w:val="20"/>
                <w:lang w:eastAsia="el-GR"/>
              </w:rPr>
            </w:pPr>
            <w:r w:rsidRPr="00B37128">
              <w:rPr>
                <w:rFonts w:eastAsia="Times New Roman" w:cs="Calibri"/>
                <w:color w:val="000000"/>
                <w:sz w:val="20"/>
                <w:szCs w:val="20"/>
                <w:lang w:val="en-US" w:eastAsia="el-GR"/>
              </w:rPr>
              <w:t>184.714</w:t>
            </w:r>
          </w:p>
        </w:tc>
        <w:tc>
          <w:tcPr>
            <w:tcW w:w="922" w:type="dxa"/>
            <w:tcBorders>
              <w:top w:val="single" w:sz="6" w:space="0" w:color="auto"/>
              <w:left w:val="nil"/>
              <w:bottom w:val="single" w:sz="6" w:space="0" w:color="auto"/>
              <w:right w:val="nil"/>
            </w:tcBorders>
            <w:shd w:val="clear" w:color="auto" w:fill="auto"/>
            <w:noWrap/>
            <w:vAlign w:val="center"/>
            <w:hideMark/>
          </w:tcPr>
          <w:p w14:paraId="1EC28651" w14:textId="77777777" w:rsidR="00B37128" w:rsidRPr="00B37128" w:rsidRDefault="00B37128" w:rsidP="00B37128">
            <w:pPr>
              <w:spacing w:after="0" w:line="240" w:lineRule="auto"/>
              <w:jc w:val="center"/>
              <w:rPr>
                <w:rFonts w:eastAsia="Times New Roman" w:cs="Calibri"/>
                <w:color w:val="000000"/>
                <w:sz w:val="20"/>
                <w:szCs w:val="20"/>
                <w:lang w:eastAsia="el-GR"/>
              </w:rPr>
            </w:pPr>
            <w:r w:rsidRPr="00B37128">
              <w:rPr>
                <w:rFonts w:eastAsia="Times New Roman" w:cs="Calibri"/>
                <w:color w:val="000000"/>
                <w:sz w:val="20"/>
                <w:szCs w:val="20"/>
                <w:lang w:val="en-US" w:eastAsia="el-GR"/>
              </w:rPr>
              <w:t>183.413</w:t>
            </w:r>
          </w:p>
        </w:tc>
        <w:tc>
          <w:tcPr>
            <w:tcW w:w="922" w:type="dxa"/>
            <w:tcBorders>
              <w:top w:val="single" w:sz="6" w:space="0" w:color="auto"/>
              <w:left w:val="nil"/>
              <w:bottom w:val="single" w:sz="6" w:space="0" w:color="auto"/>
              <w:right w:val="nil"/>
            </w:tcBorders>
            <w:shd w:val="clear" w:color="auto" w:fill="auto"/>
            <w:vAlign w:val="center"/>
            <w:hideMark/>
          </w:tcPr>
          <w:p w14:paraId="27A79816" w14:textId="77777777" w:rsidR="00B37128" w:rsidRPr="00B37128" w:rsidRDefault="00B37128" w:rsidP="00B37128">
            <w:pPr>
              <w:spacing w:after="0" w:line="240" w:lineRule="auto"/>
              <w:jc w:val="center"/>
              <w:rPr>
                <w:rFonts w:eastAsia="Times New Roman" w:cs="Calibri"/>
                <w:color w:val="000000"/>
                <w:sz w:val="20"/>
                <w:szCs w:val="20"/>
                <w:lang w:eastAsia="el-GR"/>
              </w:rPr>
            </w:pPr>
            <w:r w:rsidRPr="00B37128">
              <w:rPr>
                <w:rFonts w:eastAsia="Times New Roman" w:cs="Calibri"/>
                <w:color w:val="000000"/>
                <w:sz w:val="20"/>
                <w:szCs w:val="20"/>
                <w:lang w:val="en-US" w:eastAsia="el-GR"/>
              </w:rPr>
              <w:t>165.830</w:t>
            </w:r>
          </w:p>
        </w:tc>
        <w:tc>
          <w:tcPr>
            <w:tcW w:w="922" w:type="dxa"/>
            <w:tcBorders>
              <w:top w:val="single" w:sz="6" w:space="0" w:color="auto"/>
              <w:left w:val="nil"/>
              <w:bottom w:val="single" w:sz="6" w:space="0" w:color="auto"/>
              <w:right w:val="nil"/>
            </w:tcBorders>
            <w:shd w:val="clear" w:color="auto" w:fill="auto"/>
            <w:noWrap/>
            <w:vAlign w:val="center"/>
            <w:hideMark/>
          </w:tcPr>
          <w:p w14:paraId="6382427B" w14:textId="77777777" w:rsidR="00B37128" w:rsidRPr="00B37128" w:rsidRDefault="00B37128" w:rsidP="00B37128">
            <w:pPr>
              <w:spacing w:after="0" w:line="240" w:lineRule="auto"/>
              <w:jc w:val="center"/>
              <w:rPr>
                <w:rFonts w:eastAsia="Times New Roman" w:cs="Calibri"/>
                <w:color w:val="000000"/>
                <w:sz w:val="20"/>
                <w:szCs w:val="20"/>
                <w:lang w:eastAsia="el-GR"/>
              </w:rPr>
            </w:pPr>
            <w:r w:rsidRPr="00B37128">
              <w:rPr>
                <w:rFonts w:eastAsia="Times New Roman" w:cs="Calibri"/>
                <w:color w:val="000000"/>
                <w:sz w:val="20"/>
                <w:szCs w:val="20"/>
                <w:lang w:val="en-US" w:eastAsia="el-GR"/>
              </w:rPr>
              <w:t>176.855</w:t>
            </w:r>
          </w:p>
        </w:tc>
        <w:tc>
          <w:tcPr>
            <w:tcW w:w="922" w:type="dxa"/>
            <w:tcBorders>
              <w:top w:val="single" w:sz="6" w:space="0" w:color="auto"/>
              <w:left w:val="nil"/>
              <w:bottom w:val="single" w:sz="6" w:space="0" w:color="auto"/>
              <w:right w:val="nil"/>
            </w:tcBorders>
            <w:shd w:val="clear" w:color="auto" w:fill="auto"/>
            <w:noWrap/>
            <w:vAlign w:val="center"/>
            <w:hideMark/>
          </w:tcPr>
          <w:p w14:paraId="173D5542" w14:textId="77777777" w:rsidR="00B37128" w:rsidRPr="00B37128" w:rsidRDefault="00B37128" w:rsidP="00B37128">
            <w:pPr>
              <w:spacing w:after="0" w:line="240" w:lineRule="auto"/>
              <w:jc w:val="center"/>
              <w:rPr>
                <w:rFonts w:eastAsia="Times New Roman" w:cs="Calibri"/>
                <w:color w:val="000000"/>
                <w:sz w:val="20"/>
                <w:szCs w:val="20"/>
                <w:lang w:eastAsia="el-GR"/>
              </w:rPr>
            </w:pPr>
            <w:r w:rsidRPr="00B37128">
              <w:rPr>
                <w:rFonts w:eastAsia="Times New Roman" w:cs="Calibri"/>
                <w:color w:val="000000"/>
                <w:sz w:val="20"/>
                <w:szCs w:val="20"/>
                <w:lang w:val="en-US" w:eastAsia="el-GR"/>
              </w:rPr>
              <w:t>186.497</w:t>
            </w:r>
          </w:p>
        </w:tc>
      </w:tr>
      <w:tr w:rsidR="00B37128" w:rsidRPr="00B37128" w14:paraId="644D645B" w14:textId="77777777" w:rsidTr="0055063C">
        <w:trPr>
          <w:trHeight w:val="374"/>
        </w:trPr>
        <w:tc>
          <w:tcPr>
            <w:tcW w:w="3393" w:type="dxa"/>
            <w:tcBorders>
              <w:top w:val="single" w:sz="6" w:space="0" w:color="auto"/>
              <w:left w:val="nil"/>
              <w:bottom w:val="single" w:sz="6" w:space="0" w:color="auto"/>
              <w:right w:val="nil"/>
            </w:tcBorders>
            <w:shd w:val="clear" w:color="auto" w:fill="auto"/>
            <w:vAlign w:val="center"/>
            <w:hideMark/>
          </w:tcPr>
          <w:p w14:paraId="3FC81EC0" w14:textId="77777777" w:rsidR="00B37128" w:rsidRPr="00B37128" w:rsidRDefault="00B37128" w:rsidP="00B37128">
            <w:pPr>
              <w:spacing w:after="0" w:line="240" w:lineRule="auto"/>
              <w:jc w:val="center"/>
              <w:rPr>
                <w:rFonts w:eastAsia="Times New Roman" w:cs="Calibri"/>
                <w:i/>
                <w:iCs/>
                <w:color w:val="000000"/>
                <w:sz w:val="20"/>
                <w:szCs w:val="20"/>
                <w:lang w:eastAsia="el-GR"/>
              </w:rPr>
            </w:pPr>
            <w:r w:rsidRPr="00B37128">
              <w:rPr>
                <w:rFonts w:eastAsia="Times New Roman" w:cs="Calibri"/>
                <w:i/>
                <w:iCs/>
                <w:color w:val="000000"/>
                <w:sz w:val="20"/>
                <w:szCs w:val="20"/>
                <w:lang w:val="en-US" w:eastAsia="el-GR"/>
              </w:rPr>
              <w:t>Αποτέλεσμα Γενικής Κυβέρνησης</w:t>
            </w:r>
          </w:p>
        </w:tc>
        <w:tc>
          <w:tcPr>
            <w:tcW w:w="1547" w:type="dxa"/>
            <w:tcBorders>
              <w:top w:val="single" w:sz="6" w:space="0" w:color="auto"/>
              <w:left w:val="nil"/>
              <w:bottom w:val="single" w:sz="6" w:space="0" w:color="auto"/>
              <w:right w:val="nil"/>
            </w:tcBorders>
            <w:shd w:val="clear" w:color="auto" w:fill="auto"/>
            <w:vAlign w:val="center"/>
            <w:hideMark/>
          </w:tcPr>
          <w:p w14:paraId="7B508AE8" w14:textId="77777777" w:rsidR="00B37128" w:rsidRPr="00B37128" w:rsidRDefault="00B37128" w:rsidP="00B37128">
            <w:pPr>
              <w:spacing w:after="0" w:line="240" w:lineRule="auto"/>
              <w:jc w:val="center"/>
              <w:rPr>
                <w:rFonts w:eastAsia="Times New Roman" w:cs="Calibri"/>
                <w:color w:val="000000"/>
                <w:sz w:val="20"/>
                <w:szCs w:val="20"/>
                <w:lang w:eastAsia="el-GR"/>
              </w:rPr>
            </w:pPr>
            <w:r w:rsidRPr="00B37128">
              <w:rPr>
                <w:rFonts w:eastAsia="Times New Roman" w:cs="Calibri"/>
                <w:color w:val="000000"/>
                <w:sz w:val="20"/>
                <w:szCs w:val="20"/>
                <w:lang w:val="en-US" w:eastAsia="el-GR"/>
              </w:rPr>
              <w:t>1.830</w:t>
            </w:r>
          </w:p>
        </w:tc>
        <w:tc>
          <w:tcPr>
            <w:tcW w:w="922" w:type="dxa"/>
            <w:tcBorders>
              <w:top w:val="single" w:sz="6" w:space="0" w:color="auto"/>
              <w:left w:val="nil"/>
              <w:bottom w:val="single" w:sz="6" w:space="0" w:color="auto"/>
              <w:right w:val="nil"/>
            </w:tcBorders>
            <w:shd w:val="clear" w:color="auto" w:fill="auto"/>
            <w:vAlign w:val="center"/>
            <w:hideMark/>
          </w:tcPr>
          <w:p w14:paraId="5BEDDA58" w14:textId="77777777" w:rsidR="00B37128" w:rsidRPr="00B37128" w:rsidRDefault="00B37128" w:rsidP="00B37128">
            <w:pPr>
              <w:spacing w:after="0" w:line="240" w:lineRule="auto"/>
              <w:jc w:val="center"/>
              <w:rPr>
                <w:rFonts w:eastAsia="Times New Roman" w:cs="Calibri"/>
                <w:color w:val="000000"/>
                <w:sz w:val="20"/>
                <w:szCs w:val="20"/>
                <w:lang w:eastAsia="el-GR"/>
              </w:rPr>
            </w:pPr>
            <w:r w:rsidRPr="00B37128">
              <w:rPr>
                <w:rFonts w:eastAsia="Times New Roman" w:cs="Calibri"/>
                <w:color w:val="000000"/>
                <w:sz w:val="20"/>
                <w:szCs w:val="20"/>
                <w:lang w:val="en-US" w:eastAsia="el-GR"/>
              </w:rPr>
              <w:t>2.797</w:t>
            </w:r>
          </w:p>
        </w:tc>
        <w:tc>
          <w:tcPr>
            <w:tcW w:w="922" w:type="dxa"/>
            <w:tcBorders>
              <w:top w:val="single" w:sz="6" w:space="0" w:color="auto"/>
              <w:left w:val="nil"/>
              <w:bottom w:val="single" w:sz="6" w:space="0" w:color="auto"/>
              <w:right w:val="nil"/>
            </w:tcBorders>
            <w:shd w:val="clear" w:color="auto" w:fill="auto"/>
            <w:vAlign w:val="center"/>
            <w:hideMark/>
          </w:tcPr>
          <w:p w14:paraId="4EDE49BE" w14:textId="77777777" w:rsidR="00B37128" w:rsidRPr="00B37128" w:rsidRDefault="00B37128" w:rsidP="00B37128">
            <w:pPr>
              <w:spacing w:after="0" w:line="240" w:lineRule="auto"/>
              <w:jc w:val="center"/>
              <w:rPr>
                <w:rFonts w:eastAsia="Times New Roman" w:cs="Calibri"/>
                <w:color w:val="000000"/>
                <w:sz w:val="20"/>
                <w:szCs w:val="20"/>
                <w:lang w:eastAsia="el-GR"/>
              </w:rPr>
            </w:pPr>
            <w:r w:rsidRPr="00B37128">
              <w:rPr>
                <w:rFonts w:eastAsia="Times New Roman" w:cs="Calibri"/>
                <w:color w:val="000000"/>
                <w:sz w:val="20"/>
                <w:szCs w:val="20"/>
                <w:lang w:val="en-US" w:eastAsia="el-GR"/>
              </w:rPr>
              <w:t>-16.130</w:t>
            </w:r>
          </w:p>
        </w:tc>
        <w:tc>
          <w:tcPr>
            <w:tcW w:w="922" w:type="dxa"/>
            <w:tcBorders>
              <w:top w:val="single" w:sz="6" w:space="0" w:color="auto"/>
              <w:left w:val="nil"/>
              <w:bottom w:val="single" w:sz="6" w:space="0" w:color="auto"/>
              <w:right w:val="nil"/>
            </w:tcBorders>
            <w:shd w:val="clear" w:color="auto" w:fill="auto"/>
            <w:vAlign w:val="center"/>
            <w:hideMark/>
          </w:tcPr>
          <w:p w14:paraId="40BFEDD1" w14:textId="77777777" w:rsidR="00B37128" w:rsidRPr="00B37128" w:rsidRDefault="00B37128" w:rsidP="00B37128">
            <w:pPr>
              <w:spacing w:after="0" w:line="240" w:lineRule="auto"/>
              <w:jc w:val="center"/>
              <w:rPr>
                <w:rFonts w:eastAsia="Times New Roman" w:cs="Calibri"/>
                <w:color w:val="000000"/>
                <w:sz w:val="20"/>
                <w:szCs w:val="20"/>
                <w:lang w:eastAsia="el-GR"/>
              </w:rPr>
            </w:pPr>
            <w:r w:rsidRPr="00B37128">
              <w:rPr>
                <w:rFonts w:eastAsia="Times New Roman" w:cs="Calibri"/>
                <w:color w:val="000000"/>
                <w:sz w:val="20"/>
                <w:szCs w:val="20"/>
                <w:lang w:val="en-US" w:eastAsia="el-GR"/>
              </w:rPr>
              <w:t>-17.770</w:t>
            </w:r>
          </w:p>
        </w:tc>
        <w:tc>
          <w:tcPr>
            <w:tcW w:w="922" w:type="dxa"/>
            <w:tcBorders>
              <w:top w:val="single" w:sz="6" w:space="0" w:color="auto"/>
              <w:left w:val="nil"/>
              <w:bottom w:val="single" w:sz="6" w:space="0" w:color="auto"/>
              <w:right w:val="nil"/>
            </w:tcBorders>
            <w:shd w:val="clear" w:color="auto" w:fill="auto"/>
            <w:vAlign w:val="center"/>
            <w:hideMark/>
          </w:tcPr>
          <w:p w14:paraId="1E134511" w14:textId="77777777" w:rsidR="00B37128" w:rsidRPr="00B37128" w:rsidRDefault="00B37128" w:rsidP="00B37128">
            <w:pPr>
              <w:spacing w:after="0" w:line="240" w:lineRule="auto"/>
              <w:jc w:val="center"/>
              <w:rPr>
                <w:rFonts w:eastAsia="Times New Roman" w:cs="Calibri"/>
                <w:color w:val="000000"/>
                <w:sz w:val="20"/>
                <w:szCs w:val="20"/>
                <w:lang w:eastAsia="el-GR"/>
              </w:rPr>
            </w:pPr>
            <w:r w:rsidRPr="00B37128">
              <w:rPr>
                <w:rFonts w:eastAsia="Times New Roman" w:cs="Calibri"/>
                <w:color w:val="000000"/>
                <w:sz w:val="20"/>
                <w:szCs w:val="20"/>
                <w:lang w:val="en-US" w:eastAsia="el-GR"/>
              </w:rPr>
              <w:t>-6.756</w:t>
            </w:r>
          </w:p>
        </w:tc>
      </w:tr>
      <w:tr w:rsidR="00B37128" w:rsidRPr="00B37128" w14:paraId="1FC8DAC1" w14:textId="77777777" w:rsidTr="0055063C">
        <w:trPr>
          <w:trHeight w:val="393"/>
        </w:trPr>
        <w:tc>
          <w:tcPr>
            <w:tcW w:w="3393" w:type="dxa"/>
            <w:tcBorders>
              <w:top w:val="single" w:sz="6" w:space="0" w:color="auto"/>
              <w:left w:val="nil"/>
              <w:bottom w:val="single" w:sz="12" w:space="0" w:color="auto"/>
              <w:right w:val="nil"/>
            </w:tcBorders>
            <w:shd w:val="clear" w:color="auto" w:fill="auto"/>
            <w:vAlign w:val="center"/>
            <w:hideMark/>
          </w:tcPr>
          <w:p w14:paraId="080FE655" w14:textId="77777777" w:rsidR="00B37128" w:rsidRPr="00B37128" w:rsidRDefault="00B37128" w:rsidP="00B37128">
            <w:pPr>
              <w:spacing w:after="0" w:line="240" w:lineRule="auto"/>
              <w:jc w:val="center"/>
              <w:rPr>
                <w:rFonts w:eastAsia="Times New Roman" w:cs="Calibri"/>
                <w:color w:val="000000"/>
                <w:sz w:val="20"/>
                <w:szCs w:val="20"/>
                <w:lang w:eastAsia="el-GR"/>
              </w:rPr>
            </w:pPr>
            <w:r w:rsidRPr="00B37128">
              <w:rPr>
                <w:rFonts w:eastAsia="Times New Roman" w:cs="Calibri"/>
                <w:color w:val="000000"/>
                <w:sz w:val="20"/>
                <w:szCs w:val="20"/>
                <w:lang w:val="en-US" w:eastAsia="el-GR"/>
              </w:rPr>
              <w:t>Πρωτογενές αποτέλεσμα</w:t>
            </w:r>
          </w:p>
        </w:tc>
        <w:tc>
          <w:tcPr>
            <w:tcW w:w="1547" w:type="dxa"/>
            <w:tcBorders>
              <w:top w:val="single" w:sz="6" w:space="0" w:color="auto"/>
              <w:left w:val="nil"/>
              <w:bottom w:val="single" w:sz="12" w:space="0" w:color="auto"/>
              <w:right w:val="nil"/>
            </w:tcBorders>
            <w:shd w:val="clear" w:color="auto" w:fill="auto"/>
            <w:vAlign w:val="center"/>
            <w:hideMark/>
          </w:tcPr>
          <w:p w14:paraId="6503F43D" w14:textId="77777777" w:rsidR="00B37128" w:rsidRPr="00B37128" w:rsidRDefault="00B37128" w:rsidP="00B37128">
            <w:pPr>
              <w:spacing w:after="0" w:line="240" w:lineRule="auto"/>
              <w:jc w:val="center"/>
              <w:rPr>
                <w:rFonts w:eastAsia="Times New Roman" w:cs="Calibri"/>
                <w:color w:val="000000"/>
                <w:sz w:val="20"/>
                <w:szCs w:val="20"/>
                <w:lang w:eastAsia="el-GR"/>
              </w:rPr>
            </w:pPr>
            <w:r w:rsidRPr="00B37128">
              <w:rPr>
                <w:rFonts w:eastAsia="Times New Roman" w:cs="Calibri"/>
                <w:color w:val="000000"/>
                <w:sz w:val="20"/>
                <w:szCs w:val="20"/>
                <w:lang w:val="en-US" w:eastAsia="el-GR"/>
              </w:rPr>
              <w:t>7.900</w:t>
            </w:r>
          </w:p>
        </w:tc>
        <w:tc>
          <w:tcPr>
            <w:tcW w:w="922" w:type="dxa"/>
            <w:tcBorders>
              <w:top w:val="single" w:sz="6" w:space="0" w:color="auto"/>
              <w:left w:val="nil"/>
              <w:bottom w:val="single" w:sz="12" w:space="0" w:color="auto"/>
              <w:right w:val="nil"/>
            </w:tcBorders>
            <w:shd w:val="clear" w:color="auto" w:fill="auto"/>
            <w:vAlign w:val="center"/>
            <w:hideMark/>
          </w:tcPr>
          <w:p w14:paraId="63BDAC30" w14:textId="77777777" w:rsidR="00B37128" w:rsidRPr="00B37128" w:rsidRDefault="00B37128" w:rsidP="00B37128">
            <w:pPr>
              <w:spacing w:after="0" w:line="240" w:lineRule="auto"/>
              <w:jc w:val="center"/>
              <w:rPr>
                <w:rFonts w:eastAsia="Times New Roman" w:cs="Calibri"/>
                <w:color w:val="000000"/>
                <w:sz w:val="20"/>
                <w:szCs w:val="20"/>
                <w:lang w:eastAsia="el-GR"/>
              </w:rPr>
            </w:pPr>
            <w:r w:rsidRPr="00B37128">
              <w:rPr>
                <w:rFonts w:eastAsia="Times New Roman" w:cs="Calibri"/>
                <w:color w:val="000000"/>
                <w:sz w:val="20"/>
                <w:szCs w:val="20"/>
                <w:lang w:val="en-US" w:eastAsia="el-GR"/>
              </w:rPr>
              <w:t>8.304</w:t>
            </w:r>
          </w:p>
        </w:tc>
        <w:tc>
          <w:tcPr>
            <w:tcW w:w="922" w:type="dxa"/>
            <w:tcBorders>
              <w:top w:val="single" w:sz="6" w:space="0" w:color="auto"/>
              <w:left w:val="nil"/>
              <w:bottom w:val="single" w:sz="12" w:space="0" w:color="auto"/>
              <w:right w:val="nil"/>
            </w:tcBorders>
            <w:shd w:val="clear" w:color="auto" w:fill="auto"/>
            <w:vAlign w:val="center"/>
            <w:hideMark/>
          </w:tcPr>
          <w:p w14:paraId="7E839A14" w14:textId="77777777" w:rsidR="00B37128" w:rsidRPr="00B37128" w:rsidRDefault="00B37128" w:rsidP="00B37128">
            <w:pPr>
              <w:spacing w:after="0" w:line="240" w:lineRule="auto"/>
              <w:jc w:val="center"/>
              <w:rPr>
                <w:rFonts w:eastAsia="Times New Roman" w:cs="Calibri"/>
                <w:color w:val="000000"/>
                <w:sz w:val="20"/>
                <w:szCs w:val="20"/>
                <w:lang w:eastAsia="el-GR"/>
              </w:rPr>
            </w:pPr>
            <w:r w:rsidRPr="00B37128">
              <w:rPr>
                <w:rFonts w:eastAsia="Times New Roman" w:cs="Calibri"/>
                <w:color w:val="000000"/>
                <w:sz w:val="20"/>
                <w:szCs w:val="20"/>
                <w:lang w:val="en-US" w:eastAsia="el-GR"/>
              </w:rPr>
              <w:t>-11.185</w:t>
            </w:r>
          </w:p>
        </w:tc>
        <w:tc>
          <w:tcPr>
            <w:tcW w:w="922" w:type="dxa"/>
            <w:tcBorders>
              <w:top w:val="single" w:sz="6" w:space="0" w:color="auto"/>
              <w:left w:val="nil"/>
              <w:bottom w:val="single" w:sz="12" w:space="0" w:color="auto"/>
              <w:right w:val="nil"/>
            </w:tcBorders>
            <w:shd w:val="clear" w:color="auto" w:fill="auto"/>
            <w:vAlign w:val="center"/>
            <w:hideMark/>
          </w:tcPr>
          <w:p w14:paraId="19BB0002" w14:textId="77777777" w:rsidR="00B37128" w:rsidRPr="00B37128" w:rsidRDefault="00B37128" w:rsidP="00B37128">
            <w:pPr>
              <w:spacing w:after="0" w:line="240" w:lineRule="auto"/>
              <w:jc w:val="center"/>
              <w:rPr>
                <w:rFonts w:eastAsia="Times New Roman" w:cs="Calibri"/>
                <w:color w:val="000000"/>
                <w:sz w:val="20"/>
                <w:szCs w:val="20"/>
                <w:lang w:eastAsia="el-GR"/>
              </w:rPr>
            </w:pPr>
            <w:r w:rsidRPr="00B37128">
              <w:rPr>
                <w:rFonts w:eastAsia="Times New Roman" w:cs="Calibri"/>
                <w:color w:val="000000"/>
                <w:sz w:val="20"/>
                <w:szCs w:val="20"/>
                <w:lang w:val="en-US" w:eastAsia="el-GR"/>
              </w:rPr>
              <w:t>-13.042</w:t>
            </w:r>
          </w:p>
        </w:tc>
        <w:tc>
          <w:tcPr>
            <w:tcW w:w="922" w:type="dxa"/>
            <w:tcBorders>
              <w:top w:val="single" w:sz="6" w:space="0" w:color="auto"/>
              <w:left w:val="nil"/>
              <w:bottom w:val="single" w:sz="12" w:space="0" w:color="auto"/>
              <w:right w:val="nil"/>
            </w:tcBorders>
            <w:shd w:val="clear" w:color="auto" w:fill="auto"/>
            <w:vAlign w:val="center"/>
            <w:hideMark/>
          </w:tcPr>
          <w:p w14:paraId="35FC0141" w14:textId="77777777" w:rsidR="00B37128" w:rsidRPr="00B37128" w:rsidRDefault="00B37128" w:rsidP="00B37128">
            <w:pPr>
              <w:spacing w:after="0" w:line="240" w:lineRule="auto"/>
              <w:jc w:val="center"/>
              <w:rPr>
                <w:rFonts w:eastAsia="Times New Roman" w:cs="Calibri"/>
                <w:color w:val="000000"/>
                <w:sz w:val="20"/>
                <w:szCs w:val="20"/>
                <w:lang w:eastAsia="el-GR"/>
              </w:rPr>
            </w:pPr>
            <w:r w:rsidRPr="00B37128">
              <w:rPr>
                <w:rFonts w:eastAsia="Times New Roman" w:cs="Calibri"/>
                <w:color w:val="000000"/>
                <w:sz w:val="20"/>
                <w:szCs w:val="20"/>
                <w:lang w:val="en-US" w:eastAsia="el-GR"/>
              </w:rPr>
              <w:t>-2.028</w:t>
            </w:r>
          </w:p>
        </w:tc>
      </w:tr>
      <w:tr w:rsidR="00B37128" w:rsidRPr="00B37128" w14:paraId="1EA9D8D2" w14:textId="77777777" w:rsidTr="0055063C">
        <w:trPr>
          <w:trHeight w:val="770"/>
        </w:trPr>
        <w:tc>
          <w:tcPr>
            <w:tcW w:w="3393" w:type="dxa"/>
            <w:tcBorders>
              <w:top w:val="nil"/>
              <w:left w:val="nil"/>
              <w:bottom w:val="nil"/>
              <w:right w:val="nil"/>
            </w:tcBorders>
            <w:shd w:val="clear" w:color="auto" w:fill="auto"/>
            <w:vAlign w:val="center"/>
            <w:hideMark/>
          </w:tcPr>
          <w:p w14:paraId="777CE42B"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eastAsia="el-GR"/>
              </w:rPr>
              <w:t>Πρωτογενές αποτέλεσμα ως % του ΑΕΠ</w:t>
            </w:r>
          </w:p>
        </w:tc>
        <w:tc>
          <w:tcPr>
            <w:tcW w:w="1547" w:type="dxa"/>
            <w:tcBorders>
              <w:top w:val="nil"/>
              <w:left w:val="nil"/>
              <w:bottom w:val="nil"/>
              <w:right w:val="nil"/>
            </w:tcBorders>
            <w:shd w:val="clear" w:color="auto" w:fill="auto"/>
            <w:vAlign w:val="center"/>
            <w:hideMark/>
          </w:tcPr>
          <w:p w14:paraId="0D4A3F75"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4,3%</w:t>
            </w:r>
          </w:p>
        </w:tc>
        <w:tc>
          <w:tcPr>
            <w:tcW w:w="922" w:type="dxa"/>
            <w:tcBorders>
              <w:top w:val="nil"/>
              <w:left w:val="nil"/>
              <w:bottom w:val="nil"/>
              <w:right w:val="nil"/>
            </w:tcBorders>
            <w:shd w:val="clear" w:color="auto" w:fill="auto"/>
            <w:vAlign w:val="center"/>
            <w:hideMark/>
          </w:tcPr>
          <w:p w14:paraId="74712C77"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4,5%</w:t>
            </w:r>
          </w:p>
        </w:tc>
        <w:tc>
          <w:tcPr>
            <w:tcW w:w="922" w:type="dxa"/>
            <w:tcBorders>
              <w:top w:val="nil"/>
              <w:left w:val="nil"/>
              <w:bottom w:val="nil"/>
              <w:right w:val="nil"/>
            </w:tcBorders>
            <w:shd w:val="clear" w:color="auto" w:fill="auto"/>
            <w:vAlign w:val="center"/>
            <w:hideMark/>
          </w:tcPr>
          <w:p w14:paraId="34C3BD94"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-6,7%</w:t>
            </w:r>
          </w:p>
        </w:tc>
        <w:tc>
          <w:tcPr>
            <w:tcW w:w="922" w:type="dxa"/>
            <w:tcBorders>
              <w:top w:val="nil"/>
              <w:left w:val="nil"/>
              <w:bottom w:val="nil"/>
              <w:right w:val="nil"/>
            </w:tcBorders>
            <w:shd w:val="clear" w:color="auto" w:fill="auto"/>
            <w:vAlign w:val="center"/>
            <w:hideMark/>
          </w:tcPr>
          <w:p w14:paraId="544CA36B" w14:textId="753A412C" w:rsidR="00B37128" w:rsidRPr="00B37128" w:rsidRDefault="00B37128" w:rsidP="0027772F">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-7,</w:t>
            </w:r>
            <w:r w:rsidR="0027772F">
              <w:rPr>
                <w:rFonts w:eastAsia="Times New Roman" w:cs="Calibri"/>
                <w:b/>
                <w:bCs/>
                <w:color w:val="000000"/>
                <w:sz w:val="20"/>
                <w:szCs w:val="20"/>
                <w:lang w:eastAsia="el-GR"/>
              </w:rPr>
              <w:t>2</w:t>
            </w:r>
            <w:r w:rsidRPr="00B37128">
              <w:rPr>
                <w:rFonts w:eastAsia="Times New Roman" w:cs="Calibri"/>
                <w:b/>
                <w:bCs/>
                <w:color w:val="000000"/>
                <w:sz w:val="20"/>
                <w:szCs w:val="20"/>
                <w:lang w:val="en-US" w:eastAsia="el-GR"/>
              </w:rPr>
              <w:t>%</w:t>
            </w:r>
          </w:p>
        </w:tc>
        <w:tc>
          <w:tcPr>
            <w:tcW w:w="922" w:type="dxa"/>
            <w:tcBorders>
              <w:top w:val="nil"/>
              <w:left w:val="nil"/>
              <w:bottom w:val="nil"/>
              <w:right w:val="nil"/>
            </w:tcBorders>
            <w:shd w:val="clear" w:color="auto" w:fill="auto"/>
            <w:vAlign w:val="center"/>
            <w:hideMark/>
          </w:tcPr>
          <w:p w14:paraId="1B2612BF" w14:textId="1458FBA8" w:rsidR="00B37128" w:rsidRPr="00B37128" w:rsidRDefault="00B37128" w:rsidP="00605A6E">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-1,</w:t>
            </w:r>
            <w:r w:rsidR="00605A6E">
              <w:rPr>
                <w:rFonts w:eastAsia="Times New Roman" w:cs="Calibri"/>
                <w:b/>
                <w:bCs/>
                <w:color w:val="000000"/>
                <w:sz w:val="20"/>
                <w:szCs w:val="20"/>
                <w:lang w:eastAsia="el-GR"/>
              </w:rPr>
              <w:t>4</w:t>
            </w:r>
            <w:r w:rsidRPr="00B37128">
              <w:rPr>
                <w:rFonts w:eastAsia="Times New Roman" w:cs="Calibri"/>
                <w:b/>
                <w:bCs/>
                <w:color w:val="000000"/>
                <w:sz w:val="20"/>
                <w:szCs w:val="20"/>
                <w:lang w:val="en-US" w:eastAsia="el-GR"/>
              </w:rPr>
              <w:t>%</w:t>
            </w:r>
          </w:p>
        </w:tc>
      </w:tr>
      <w:tr w:rsidR="00B37128" w:rsidRPr="00B37128" w14:paraId="4DD9DC0E" w14:textId="77777777" w:rsidTr="0055063C">
        <w:trPr>
          <w:trHeight w:val="770"/>
        </w:trPr>
        <w:tc>
          <w:tcPr>
            <w:tcW w:w="3393" w:type="dxa"/>
            <w:tcBorders>
              <w:top w:val="nil"/>
              <w:left w:val="nil"/>
              <w:bottom w:val="single" w:sz="12" w:space="0" w:color="auto"/>
              <w:right w:val="nil"/>
            </w:tcBorders>
            <w:shd w:val="clear" w:color="auto" w:fill="auto"/>
            <w:vAlign w:val="center"/>
            <w:hideMark/>
          </w:tcPr>
          <w:p w14:paraId="74EFA2F0"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eastAsia="el-GR"/>
              </w:rPr>
              <w:t>Αποτέλεσμα Γενικής Κυβέρνησης ως % του ΑΕΠ</w:t>
            </w:r>
          </w:p>
        </w:tc>
        <w:tc>
          <w:tcPr>
            <w:tcW w:w="1547" w:type="dxa"/>
            <w:tcBorders>
              <w:top w:val="nil"/>
              <w:left w:val="nil"/>
              <w:bottom w:val="single" w:sz="12" w:space="0" w:color="auto"/>
              <w:right w:val="nil"/>
            </w:tcBorders>
            <w:shd w:val="clear" w:color="auto" w:fill="auto"/>
            <w:vAlign w:val="center"/>
            <w:hideMark/>
          </w:tcPr>
          <w:p w14:paraId="284AC94D"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1,0%</w:t>
            </w:r>
          </w:p>
        </w:tc>
        <w:tc>
          <w:tcPr>
            <w:tcW w:w="922" w:type="dxa"/>
            <w:tcBorders>
              <w:top w:val="nil"/>
              <w:left w:val="nil"/>
              <w:bottom w:val="single" w:sz="12" w:space="0" w:color="auto"/>
              <w:right w:val="nil"/>
            </w:tcBorders>
            <w:shd w:val="clear" w:color="auto" w:fill="auto"/>
            <w:vAlign w:val="center"/>
            <w:hideMark/>
          </w:tcPr>
          <w:p w14:paraId="5819490A"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1,5%</w:t>
            </w:r>
          </w:p>
        </w:tc>
        <w:tc>
          <w:tcPr>
            <w:tcW w:w="922" w:type="dxa"/>
            <w:tcBorders>
              <w:top w:val="nil"/>
              <w:left w:val="nil"/>
              <w:bottom w:val="single" w:sz="12" w:space="0" w:color="auto"/>
              <w:right w:val="nil"/>
            </w:tcBorders>
            <w:shd w:val="clear" w:color="auto" w:fill="auto"/>
            <w:vAlign w:val="center"/>
            <w:hideMark/>
          </w:tcPr>
          <w:p w14:paraId="5D13FC11"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9,7%</w:t>
            </w:r>
          </w:p>
        </w:tc>
        <w:tc>
          <w:tcPr>
            <w:tcW w:w="922" w:type="dxa"/>
            <w:tcBorders>
              <w:top w:val="nil"/>
              <w:left w:val="nil"/>
              <w:bottom w:val="single" w:sz="12" w:space="0" w:color="auto"/>
              <w:right w:val="nil"/>
            </w:tcBorders>
            <w:shd w:val="clear" w:color="auto" w:fill="auto"/>
            <w:vAlign w:val="center"/>
            <w:hideMark/>
          </w:tcPr>
          <w:p w14:paraId="62BA068B" w14:textId="77777777" w:rsidR="00B37128" w:rsidRPr="00B37128" w:rsidRDefault="00B37128" w:rsidP="00B37128">
            <w:pPr>
              <w:spacing w:after="0" w:line="240" w:lineRule="auto"/>
              <w:jc w:val="center"/>
              <w:rPr>
                <w:rFonts w:eastAsia="Times New Roman" w:cs="Calibri"/>
                <w:b/>
                <w:bCs/>
                <w:color w:val="000000"/>
                <w:sz w:val="20"/>
                <w:szCs w:val="20"/>
                <w:lang w:eastAsia="el-GR"/>
              </w:rPr>
            </w:pPr>
            <w:r w:rsidRPr="00B37128">
              <w:rPr>
                <w:rFonts w:eastAsia="Times New Roman" w:cs="Calibri"/>
                <w:b/>
                <w:bCs/>
                <w:color w:val="000000"/>
                <w:sz w:val="20"/>
                <w:szCs w:val="20"/>
                <w:lang w:val="en-US" w:eastAsia="el-GR"/>
              </w:rPr>
              <w:t>10,0%</w:t>
            </w:r>
          </w:p>
        </w:tc>
        <w:tc>
          <w:tcPr>
            <w:tcW w:w="922" w:type="dxa"/>
            <w:tcBorders>
              <w:top w:val="nil"/>
              <w:left w:val="nil"/>
              <w:bottom w:val="single" w:sz="12" w:space="0" w:color="auto"/>
              <w:right w:val="nil"/>
            </w:tcBorders>
            <w:shd w:val="clear" w:color="auto" w:fill="auto"/>
            <w:vAlign w:val="center"/>
            <w:hideMark/>
          </w:tcPr>
          <w:p w14:paraId="1599F1B1" w14:textId="1F3468F5" w:rsidR="00B37128" w:rsidRPr="00B37128" w:rsidRDefault="00605A6E" w:rsidP="00605A6E">
            <w:pPr>
              <w:spacing w:after="0" w:line="240" w:lineRule="auto"/>
              <w:jc w:val="center"/>
              <w:rPr>
                <w:rFonts w:eastAsia="Times New Roman" w:cs="Calibri"/>
                <w:b/>
                <w:bCs/>
                <w:color w:val="000000"/>
                <w:sz w:val="20"/>
                <w:szCs w:val="20"/>
                <w:lang w:eastAsia="el-GR"/>
              </w:rPr>
            </w:pPr>
            <w:r>
              <w:rPr>
                <w:rFonts w:eastAsia="Times New Roman" w:cs="Calibri"/>
                <w:b/>
                <w:bCs/>
                <w:color w:val="000000"/>
                <w:sz w:val="20"/>
                <w:szCs w:val="20"/>
                <w:lang w:eastAsia="el-GR"/>
              </w:rPr>
              <w:t>4,0%</w:t>
            </w:r>
          </w:p>
        </w:tc>
      </w:tr>
    </w:tbl>
    <w:p w14:paraId="0F14FB3B" w14:textId="343FFF2B" w:rsidR="00D25A31" w:rsidRDefault="00D25A31" w:rsidP="00F360C9">
      <w:pPr>
        <w:tabs>
          <w:tab w:val="left" w:pos="7020"/>
        </w:tabs>
        <w:spacing w:after="0" w:line="240" w:lineRule="auto"/>
        <w:jc w:val="left"/>
        <w:rPr>
          <w:rFonts w:eastAsia="Calibri" w:cs="Times New Roman"/>
          <w:color w:val="00A3E0"/>
          <w:sz w:val="18"/>
          <w:szCs w:val="18"/>
        </w:rPr>
      </w:pPr>
      <w:r w:rsidRPr="00D25A31">
        <w:rPr>
          <w:rFonts w:eastAsia="Calibri" w:cs="Times New Roman"/>
          <w:color w:val="auto"/>
          <w:sz w:val="18"/>
          <w:szCs w:val="18"/>
        </w:rPr>
        <w:t xml:space="preserve">Πηγή : </w:t>
      </w:r>
      <w:r w:rsidRPr="00D25A31">
        <w:rPr>
          <w:rFonts w:eastAsia="Calibri" w:cs="Times New Roman"/>
          <w:color w:val="00A3E0"/>
          <w:sz w:val="18"/>
          <w:szCs w:val="18"/>
        </w:rPr>
        <w:t xml:space="preserve">ΓΛΚ - δελτίο εκτέλεσης Κρατικού Προϋπολογισμού, </w:t>
      </w:r>
      <w:r w:rsidR="00605A6E">
        <w:rPr>
          <w:rFonts w:eastAsia="Calibri" w:cs="Times New Roman"/>
          <w:color w:val="00A3E0"/>
          <w:sz w:val="18"/>
          <w:szCs w:val="18"/>
        </w:rPr>
        <w:t>Σχέδιο</w:t>
      </w:r>
      <w:r w:rsidR="0055063C">
        <w:rPr>
          <w:rFonts w:eastAsia="Calibri" w:cs="Times New Roman"/>
          <w:color w:val="00A3E0"/>
          <w:sz w:val="18"/>
          <w:szCs w:val="18"/>
        </w:rPr>
        <w:t xml:space="preserve"> Κρατικού Προϋπολογισμού 2022</w:t>
      </w:r>
      <w:r w:rsidRPr="00D25A31">
        <w:rPr>
          <w:rFonts w:eastAsia="Calibri" w:cs="Times New Roman"/>
          <w:color w:val="00A3E0"/>
          <w:sz w:val="18"/>
          <w:szCs w:val="18"/>
        </w:rPr>
        <w:t>, υπολογισμοί ΕΔΣ. * Εκτιμήσεις , ** Προβλέψεις</w:t>
      </w:r>
    </w:p>
    <w:p w14:paraId="5A6B800F" w14:textId="77777777" w:rsidR="0055063C" w:rsidRDefault="0055063C" w:rsidP="00F360C9">
      <w:pPr>
        <w:tabs>
          <w:tab w:val="left" w:pos="7020"/>
        </w:tabs>
        <w:spacing w:after="0" w:line="240" w:lineRule="auto"/>
        <w:jc w:val="left"/>
        <w:rPr>
          <w:rFonts w:eastAsia="Calibri" w:cs="Times New Roman"/>
          <w:color w:val="00A3E0"/>
          <w:sz w:val="18"/>
          <w:szCs w:val="18"/>
        </w:rPr>
      </w:pPr>
    </w:p>
    <w:p w14:paraId="45F70AF5" w14:textId="77777777" w:rsidR="00F360C9" w:rsidRPr="00D25A31" w:rsidRDefault="00F360C9" w:rsidP="00F360C9">
      <w:pPr>
        <w:tabs>
          <w:tab w:val="left" w:pos="7020"/>
        </w:tabs>
        <w:spacing w:after="0" w:line="240" w:lineRule="auto"/>
        <w:jc w:val="left"/>
        <w:rPr>
          <w:rFonts w:eastAsia="Calibri" w:cs="Times New Roman"/>
          <w:color w:val="auto"/>
          <w:sz w:val="18"/>
          <w:szCs w:val="18"/>
        </w:rPr>
      </w:pPr>
    </w:p>
    <w:p w14:paraId="32F6B56A" w14:textId="5FE03290" w:rsidR="00D25A31" w:rsidRDefault="00D25A31" w:rsidP="00D25A31">
      <w:pPr>
        <w:spacing w:after="120"/>
        <w:rPr>
          <w:rFonts w:eastAsia="Calibri" w:cs="Times New Roman"/>
          <w:color w:val="auto"/>
        </w:rPr>
      </w:pPr>
      <w:r w:rsidRPr="00D25A31">
        <w:rPr>
          <w:rFonts w:eastAsia="Calibri" w:cs="Times New Roman"/>
          <w:color w:val="auto"/>
        </w:rPr>
        <w:t>Όπως προαναφέρθηκε</w:t>
      </w:r>
      <w:r w:rsidR="00791466">
        <w:rPr>
          <w:rFonts w:eastAsia="Calibri" w:cs="Times New Roman"/>
          <w:color w:val="auto"/>
        </w:rPr>
        <w:t>,</w:t>
      </w:r>
      <w:r w:rsidRPr="00D25A31">
        <w:rPr>
          <w:rFonts w:eastAsia="Calibri" w:cs="Times New Roman"/>
          <w:color w:val="auto"/>
        </w:rPr>
        <w:t xml:space="preserve"> τα έτη 2020 και 2021 </w:t>
      </w:r>
      <w:r w:rsidR="0027772F">
        <w:rPr>
          <w:rFonts w:eastAsia="Calibri" w:cs="Times New Roman"/>
          <w:color w:val="auto"/>
        </w:rPr>
        <w:t>ήταν</w:t>
      </w:r>
      <w:r w:rsidRPr="00D25A31">
        <w:rPr>
          <w:rFonts w:eastAsia="Calibri" w:cs="Times New Roman"/>
          <w:color w:val="auto"/>
        </w:rPr>
        <w:t xml:space="preserve"> σημαντική </w:t>
      </w:r>
      <w:r w:rsidR="0027772F">
        <w:rPr>
          <w:rFonts w:eastAsia="Calibri" w:cs="Times New Roman"/>
          <w:color w:val="auto"/>
        </w:rPr>
        <w:t xml:space="preserve">η </w:t>
      </w:r>
      <w:r w:rsidRPr="00D25A31">
        <w:rPr>
          <w:rFonts w:eastAsia="Calibri" w:cs="Times New Roman"/>
          <w:color w:val="auto"/>
        </w:rPr>
        <w:t>δημοσιονομική απόκλιση σε σχέση με το 2019. Πιο συγκεκριμένα, τα φορολογικά έσοδα απομειώθηκαν κατά 6,7 δισ. ευρώ σε σχέση με το 2020, ενώ η αντίστοιχη μείωση το 2021 αναμένεται να διαμορφωθεί στα 5,7 δισ. ευρώ. Οι δαπάνες του Κρατικού Προϋπολογισμού το 2020 αυξήθηκαν κατά 14,3 δισ. ευρώ σε σχέση με το 2019</w:t>
      </w:r>
      <w:r w:rsidR="0055063C">
        <w:rPr>
          <w:rFonts w:eastAsia="Calibri" w:cs="Times New Roman"/>
          <w:color w:val="auto"/>
        </w:rPr>
        <w:t>,</w:t>
      </w:r>
      <w:r w:rsidRPr="00D25A31">
        <w:rPr>
          <w:rFonts w:eastAsia="Calibri" w:cs="Times New Roman"/>
          <w:color w:val="auto"/>
        </w:rPr>
        <w:t xml:space="preserve"> ενώ η αντίστοιχη αύξηση για το 2021 αναμένεται να φτάσει τα 14,7 δισ. ευρώ. Η μεγάλη αυτή αύξηση των δαπανών αφορά κατά κύριο λόγο δαπάνες που σχετίζονται άμεσα με την πανδημία, αλλά και δαπάνες για αγορά εξοπλιστικών προγραμμάτων, μισθολογικές ωριμάνσεις κλπ </w:t>
      </w:r>
      <w:r w:rsidR="0055063C">
        <w:rPr>
          <w:rFonts w:eastAsia="Calibri" w:cs="Times New Roman"/>
          <w:color w:val="auto"/>
        </w:rPr>
        <w:t xml:space="preserve">καθώς </w:t>
      </w:r>
      <w:r w:rsidRPr="00D25A31">
        <w:rPr>
          <w:rFonts w:eastAsia="Calibri" w:cs="Times New Roman"/>
          <w:color w:val="auto"/>
        </w:rPr>
        <w:t xml:space="preserve">και δαπάνες που αφορούν στην αξιοποίηση ευρωπαϊκών διαρθρωτικών πόρων, οι οποίες σε μεγάλο βαθμό είναι δημοσιονομικά ουδέτερες. Σε αυτό το πλαίσιο, η επίπτωση της πανδημίας στις δαπάνες του Κρατικού Προϋπολογισμού υπολογίζεται ότι προσεγγίζει τα 22 δισ. ευρώ. </w:t>
      </w:r>
    </w:p>
    <w:p w14:paraId="5B943306" w14:textId="6ED9219B" w:rsidR="0055063C" w:rsidRDefault="0055063C">
      <w:pPr>
        <w:spacing w:after="160" w:line="0" w:lineRule="auto"/>
        <w:jc w:val="left"/>
        <w:rPr>
          <w:rFonts w:eastAsia="Calibri" w:cs="Times New Roman"/>
          <w:color w:val="auto"/>
        </w:rPr>
      </w:pPr>
      <w:r>
        <w:rPr>
          <w:rFonts w:eastAsia="Calibri" w:cs="Times New Roman"/>
          <w:color w:val="auto"/>
        </w:rPr>
        <w:br w:type="page"/>
      </w:r>
    </w:p>
    <w:p w14:paraId="33815FEC" w14:textId="7C6795D3" w:rsidR="0055063C" w:rsidRDefault="00F360C9" w:rsidP="0055063C">
      <w:pPr>
        <w:spacing w:after="0" w:line="240" w:lineRule="auto"/>
        <w:rPr>
          <w:rFonts w:eastAsia="Calibri" w:cs="Times New Roman"/>
          <w:color w:val="00A3E0"/>
          <w:sz w:val="20"/>
          <w:szCs w:val="20"/>
        </w:rPr>
      </w:pPr>
      <w:bookmarkStart w:id="163" w:name="_Toc89172861"/>
      <w:r w:rsidRPr="00FD791B">
        <w:rPr>
          <w:b/>
          <w:iCs/>
          <w:color w:val="808080" w:themeColor="background1" w:themeShade="80"/>
          <w:sz w:val="20"/>
          <w:szCs w:val="20"/>
        </w:rPr>
        <w:lastRenderedPageBreak/>
        <w:t xml:space="preserve">Πίνακας </w:t>
      </w:r>
      <w:r w:rsidRPr="00FD791B">
        <w:rPr>
          <w:b/>
          <w:iCs/>
          <w:color w:val="808080" w:themeColor="background1" w:themeShade="80"/>
          <w:sz w:val="20"/>
          <w:szCs w:val="20"/>
        </w:rPr>
        <w:fldChar w:fldCharType="begin"/>
      </w:r>
      <w:r w:rsidRPr="00FD791B">
        <w:rPr>
          <w:b/>
          <w:iCs/>
          <w:color w:val="808080" w:themeColor="background1" w:themeShade="80"/>
          <w:sz w:val="20"/>
          <w:szCs w:val="20"/>
        </w:rPr>
        <w:instrText xml:space="preserve"> SEQ Πίνακας \* ARABIC </w:instrText>
      </w:r>
      <w:r w:rsidRPr="00FD791B">
        <w:rPr>
          <w:b/>
          <w:iCs/>
          <w:color w:val="808080" w:themeColor="background1" w:themeShade="80"/>
          <w:sz w:val="20"/>
          <w:szCs w:val="20"/>
        </w:rPr>
        <w:fldChar w:fldCharType="separate"/>
      </w:r>
      <w:r w:rsidR="0038196B">
        <w:rPr>
          <w:b/>
          <w:iCs/>
          <w:noProof/>
          <w:color w:val="808080" w:themeColor="background1" w:themeShade="80"/>
          <w:sz w:val="20"/>
          <w:szCs w:val="20"/>
        </w:rPr>
        <w:t>16</w:t>
      </w:r>
      <w:r w:rsidRPr="00FD791B">
        <w:rPr>
          <w:b/>
          <w:iCs/>
          <w:color w:val="808080" w:themeColor="background1" w:themeShade="80"/>
          <w:sz w:val="20"/>
          <w:szCs w:val="20"/>
        </w:rPr>
        <w:fldChar w:fldCharType="end"/>
      </w:r>
      <w:r w:rsidRPr="00FD791B">
        <w:rPr>
          <w:b/>
          <w:iCs/>
          <w:color w:val="808080" w:themeColor="background1" w:themeShade="80"/>
          <w:sz w:val="20"/>
          <w:szCs w:val="20"/>
        </w:rPr>
        <w:t>:</w:t>
      </w:r>
      <w:r w:rsidRPr="00FD791B">
        <w:rPr>
          <w:b/>
          <w:iCs/>
          <w:color w:val="808080" w:themeColor="background1" w:themeShade="80"/>
        </w:rPr>
        <w:t xml:space="preserve"> </w:t>
      </w:r>
      <w:r w:rsidRPr="00F360C9">
        <w:rPr>
          <w:rFonts w:eastAsia="Calibri" w:cs="Times New Roman"/>
          <w:color w:val="00A3E0"/>
          <w:sz w:val="20"/>
          <w:szCs w:val="20"/>
        </w:rPr>
        <w:t>Εξέλιξη φορολογικών εσόδων και ασφαλιστικών εισφορών 2018-2022</w:t>
      </w:r>
      <w:bookmarkEnd w:id="163"/>
      <w:r w:rsidRPr="00F360C9">
        <w:rPr>
          <w:rFonts w:eastAsia="Calibri" w:cs="Times New Roman"/>
          <w:color w:val="00A3E0"/>
          <w:sz w:val="20"/>
          <w:szCs w:val="20"/>
        </w:rPr>
        <w:t xml:space="preserve"> </w:t>
      </w:r>
    </w:p>
    <w:tbl>
      <w:tblPr>
        <w:tblW w:w="7866" w:type="dxa"/>
        <w:tblLook w:val="04A0" w:firstRow="1" w:lastRow="0" w:firstColumn="1" w:lastColumn="0" w:noHBand="0" w:noVBand="1"/>
      </w:tblPr>
      <w:tblGrid>
        <w:gridCol w:w="3051"/>
        <w:gridCol w:w="963"/>
        <w:gridCol w:w="963"/>
        <w:gridCol w:w="963"/>
        <w:gridCol w:w="963"/>
        <w:gridCol w:w="963"/>
      </w:tblGrid>
      <w:tr w:rsidR="0055063C" w:rsidRPr="0055063C" w14:paraId="31A17404" w14:textId="77777777" w:rsidTr="0055063C">
        <w:trPr>
          <w:trHeight w:val="365"/>
        </w:trPr>
        <w:tc>
          <w:tcPr>
            <w:tcW w:w="3051" w:type="dxa"/>
            <w:tcBorders>
              <w:top w:val="single" w:sz="12" w:space="0" w:color="auto"/>
              <w:left w:val="nil"/>
              <w:bottom w:val="single" w:sz="12" w:space="0" w:color="auto"/>
              <w:right w:val="nil"/>
            </w:tcBorders>
            <w:shd w:val="clear" w:color="000000" w:fill="B4C6E7"/>
            <w:vAlign w:val="center"/>
            <w:hideMark/>
          </w:tcPr>
          <w:p w14:paraId="73B914DE" w14:textId="77777777" w:rsidR="0055063C" w:rsidRPr="0055063C" w:rsidRDefault="0055063C" w:rsidP="0055063C">
            <w:pPr>
              <w:spacing w:after="0" w:line="240" w:lineRule="auto"/>
              <w:jc w:val="center"/>
              <w:rPr>
                <w:rFonts w:eastAsia="Times New Roman" w:cs="Calibri"/>
                <w:b/>
                <w:bCs/>
                <w:color w:val="000000"/>
                <w:sz w:val="18"/>
                <w:szCs w:val="18"/>
                <w:lang w:eastAsia="el-GR"/>
              </w:rPr>
            </w:pPr>
            <w:r w:rsidRPr="0055063C">
              <w:rPr>
                <w:rFonts w:eastAsia="Times New Roman" w:cs="Calibri"/>
                <w:b/>
                <w:bCs/>
                <w:color w:val="000000"/>
                <w:sz w:val="18"/>
                <w:szCs w:val="18"/>
                <w:lang w:val="en-US" w:eastAsia="el-GR"/>
              </w:rPr>
              <w:t> </w:t>
            </w:r>
          </w:p>
        </w:tc>
        <w:tc>
          <w:tcPr>
            <w:tcW w:w="963" w:type="dxa"/>
            <w:tcBorders>
              <w:top w:val="single" w:sz="12" w:space="0" w:color="auto"/>
              <w:left w:val="nil"/>
              <w:bottom w:val="single" w:sz="12" w:space="0" w:color="auto"/>
              <w:right w:val="nil"/>
            </w:tcBorders>
            <w:shd w:val="clear" w:color="000000" w:fill="B4C6E7"/>
            <w:vAlign w:val="center"/>
            <w:hideMark/>
          </w:tcPr>
          <w:p w14:paraId="1E62742C" w14:textId="77777777" w:rsidR="0055063C" w:rsidRPr="0055063C" w:rsidRDefault="0055063C" w:rsidP="0055063C">
            <w:pPr>
              <w:spacing w:after="0" w:line="240" w:lineRule="auto"/>
              <w:jc w:val="center"/>
              <w:rPr>
                <w:rFonts w:eastAsia="Times New Roman" w:cs="Calibri"/>
                <w:b/>
                <w:bCs/>
                <w:color w:val="000000"/>
                <w:sz w:val="18"/>
                <w:szCs w:val="18"/>
                <w:lang w:eastAsia="el-GR"/>
              </w:rPr>
            </w:pPr>
            <w:r w:rsidRPr="0055063C">
              <w:rPr>
                <w:rFonts w:eastAsia="Times New Roman" w:cs="Calibri"/>
                <w:b/>
                <w:bCs/>
                <w:color w:val="000000"/>
                <w:sz w:val="18"/>
                <w:szCs w:val="18"/>
                <w:lang w:val="en-US" w:eastAsia="el-GR"/>
              </w:rPr>
              <w:t>2018</w:t>
            </w:r>
          </w:p>
        </w:tc>
        <w:tc>
          <w:tcPr>
            <w:tcW w:w="963" w:type="dxa"/>
            <w:tcBorders>
              <w:top w:val="single" w:sz="12" w:space="0" w:color="auto"/>
              <w:left w:val="nil"/>
              <w:bottom w:val="single" w:sz="12" w:space="0" w:color="auto"/>
              <w:right w:val="nil"/>
            </w:tcBorders>
            <w:shd w:val="clear" w:color="000000" w:fill="B4C6E7"/>
            <w:vAlign w:val="center"/>
            <w:hideMark/>
          </w:tcPr>
          <w:p w14:paraId="420F88A3" w14:textId="77777777" w:rsidR="0055063C" w:rsidRPr="0055063C" w:rsidRDefault="0055063C" w:rsidP="0055063C">
            <w:pPr>
              <w:spacing w:after="0" w:line="240" w:lineRule="auto"/>
              <w:jc w:val="center"/>
              <w:rPr>
                <w:rFonts w:eastAsia="Times New Roman" w:cs="Calibri"/>
                <w:b/>
                <w:bCs/>
                <w:color w:val="000000"/>
                <w:sz w:val="18"/>
                <w:szCs w:val="18"/>
                <w:lang w:eastAsia="el-GR"/>
              </w:rPr>
            </w:pPr>
            <w:r w:rsidRPr="0055063C">
              <w:rPr>
                <w:rFonts w:eastAsia="Times New Roman" w:cs="Calibri"/>
                <w:b/>
                <w:bCs/>
                <w:color w:val="000000"/>
                <w:sz w:val="18"/>
                <w:szCs w:val="18"/>
                <w:lang w:val="en-US" w:eastAsia="el-GR"/>
              </w:rPr>
              <w:t>2019</w:t>
            </w:r>
          </w:p>
        </w:tc>
        <w:tc>
          <w:tcPr>
            <w:tcW w:w="963" w:type="dxa"/>
            <w:tcBorders>
              <w:top w:val="single" w:sz="12" w:space="0" w:color="auto"/>
              <w:left w:val="nil"/>
              <w:bottom w:val="single" w:sz="12" w:space="0" w:color="auto"/>
              <w:right w:val="nil"/>
            </w:tcBorders>
            <w:shd w:val="clear" w:color="000000" w:fill="B4C6E7"/>
            <w:vAlign w:val="center"/>
            <w:hideMark/>
          </w:tcPr>
          <w:p w14:paraId="68F9A815" w14:textId="77777777" w:rsidR="0055063C" w:rsidRPr="0055063C" w:rsidRDefault="0055063C" w:rsidP="0055063C">
            <w:pPr>
              <w:spacing w:after="0" w:line="240" w:lineRule="auto"/>
              <w:jc w:val="center"/>
              <w:rPr>
                <w:rFonts w:eastAsia="Times New Roman" w:cs="Calibri"/>
                <w:b/>
                <w:bCs/>
                <w:color w:val="000000"/>
                <w:sz w:val="18"/>
                <w:szCs w:val="18"/>
                <w:lang w:eastAsia="el-GR"/>
              </w:rPr>
            </w:pPr>
            <w:r w:rsidRPr="0055063C">
              <w:rPr>
                <w:rFonts w:eastAsia="Times New Roman" w:cs="Calibri"/>
                <w:b/>
                <w:bCs/>
                <w:color w:val="000000"/>
                <w:sz w:val="18"/>
                <w:szCs w:val="18"/>
                <w:lang w:val="en-US" w:eastAsia="el-GR"/>
              </w:rPr>
              <w:t>2020</w:t>
            </w:r>
          </w:p>
        </w:tc>
        <w:tc>
          <w:tcPr>
            <w:tcW w:w="963" w:type="dxa"/>
            <w:tcBorders>
              <w:top w:val="single" w:sz="12" w:space="0" w:color="auto"/>
              <w:left w:val="nil"/>
              <w:bottom w:val="single" w:sz="12" w:space="0" w:color="auto"/>
              <w:right w:val="nil"/>
            </w:tcBorders>
            <w:shd w:val="clear" w:color="000000" w:fill="B4C6E7"/>
            <w:vAlign w:val="center"/>
            <w:hideMark/>
          </w:tcPr>
          <w:p w14:paraId="4CB229C9" w14:textId="77777777" w:rsidR="0055063C" w:rsidRPr="0055063C" w:rsidRDefault="0055063C" w:rsidP="0055063C">
            <w:pPr>
              <w:spacing w:after="0" w:line="240" w:lineRule="auto"/>
              <w:jc w:val="center"/>
              <w:rPr>
                <w:rFonts w:eastAsia="Times New Roman" w:cs="Calibri"/>
                <w:b/>
                <w:bCs/>
                <w:color w:val="000000"/>
                <w:sz w:val="18"/>
                <w:szCs w:val="18"/>
                <w:lang w:eastAsia="el-GR"/>
              </w:rPr>
            </w:pPr>
            <w:r w:rsidRPr="0055063C">
              <w:rPr>
                <w:rFonts w:eastAsia="Times New Roman" w:cs="Calibri"/>
                <w:b/>
                <w:bCs/>
                <w:color w:val="000000"/>
                <w:sz w:val="18"/>
                <w:szCs w:val="18"/>
                <w:lang w:val="en-US" w:eastAsia="el-GR"/>
              </w:rPr>
              <w:t>2021*</w:t>
            </w:r>
          </w:p>
        </w:tc>
        <w:tc>
          <w:tcPr>
            <w:tcW w:w="963" w:type="dxa"/>
            <w:tcBorders>
              <w:top w:val="single" w:sz="12" w:space="0" w:color="auto"/>
              <w:left w:val="nil"/>
              <w:bottom w:val="single" w:sz="12" w:space="0" w:color="auto"/>
              <w:right w:val="nil"/>
            </w:tcBorders>
            <w:shd w:val="clear" w:color="000000" w:fill="B4C6E7"/>
            <w:vAlign w:val="center"/>
            <w:hideMark/>
          </w:tcPr>
          <w:p w14:paraId="69F9DD08" w14:textId="77777777" w:rsidR="0055063C" w:rsidRPr="0055063C" w:rsidRDefault="0055063C" w:rsidP="0055063C">
            <w:pPr>
              <w:spacing w:after="0" w:line="240" w:lineRule="auto"/>
              <w:jc w:val="center"/>
              <w:rPr>
                <w:rFonts w:eastAsia="Times New Roman" w:cs="Calibri"/>
                <w:b/>
                <w:bCs/>
                <w:color w:val="000000"/>
                <w:sz w:val="18"/>
                <w:szCs w:val="18"/>
                <w:lang w:eastAsia="el-GR"/>
              </w:rPr>
            </w:pPr>
            <w:r w:rsidRPr="0055063C">
              <w:rPr>
                <w:rFonts w:eastAsia="Times New Roman" w:cs="Calibri"/>
                <w:b/>
                <w:bCs/>
                <w:color w:val="000000"/>
                <w:sz w:val="18"/>
                <w:szCs w:val="18"/>
                <w:lang w:val="en-US" w:eastAsia="el-GR"/>
              </w:rPr>
              <w:t>2022**</w:t>
            </w:r>
          </w:p>
        </w:tc>
      </w:tr>
      <w:tr w:rsidR="0055063C" w:rsidRPr="0055063C" w14:paraId="20DF0C03" w14:textId="77777777" w:rsidTr="0055063C">
        <w:trPr>
          <w:trHeight w:val="348"/>
        </w:trPr>
        <w:tc>
          <w:tcPr>
            <w:tcW w:w="3051" w:type="dxa"/>
            <w:tcBorders>
              <w:top w:val="nil"/>
              <w:left w:val="nil"/>
              <w:bottom w:val="nil"/>
              <w:right w:val="nil"/>
            </w:tcBorders>
            <w:shd w:val="clear" w:color="auto" w:fill="auto"/>
            <w:vAlign w:val="center"/>
            <w:hideMark/>
          </w:tcPr>
          <w:p w14:paraId="19EC9DD0" w14:textId="77777777" w:rsidR="0055063C" w:rsidRPr="0055063C" w:rsidRDefault="0055063C" w:rsidP="0055063C">
            <w:pPr>
              <w:spacing w:after="0" w:line="240" w:lineRule="auto"/>
              <w:jc w:val="center"/>
              <w:rPr>
                <w:rFonts w:eastAsia="Times New Roman" w:cs="Calibri"/>
                <w:b/>
                <w:bCs/>
                <w:i/>
                <w:iCs/>
                <w:color w:val="000000"/>
                <w:sz w:val="18"/>
                <w:szCs w:val="18"/>
                <w:lang w:eastAsia="el-GR"/>
              </w:rPr>
            </w:pPr>
            <w:r w:rsidRPr="0055063C">
              <w:rPr>
                <w:rFonts w:eastAsia="Times New Roman" w:cs="Calibri"/>
                <w:b/>
                <w:bCs/>
                <w:i/>
                <w:iCs/>
                <w:color w:val="000000"/>
                <w:sz w:val="18"/>
                <w:szCs w:val="18"/>
                <w:lang w:val="en-US" w:eastAsia="el-GR"/>
              </w:rPr>
              <w:t>Έμμεσοι φόροι</w:t>
            </w:r>
          </w:p>
        </w:tc>
        <w:tc>
          <w:tcPr>
            <w:tcW w:w="963" w:type="dxa"/>
            <w:tcBorders>
              <w:top w:val="nil"/>
              <w:left w:val="nil"/>
              <w:bottom w:val="nil"/>
              <w:right w:val="nil"/>
            </w:tcBorders>
            <w:shd w:val="clear" w:color="auto" w:fill="auto"/>
            <w:vAlign w:val="center"/>
            <w:hideMark/>
          </w:tcPr>
          <w:p w14:paraId="256EFEAB"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27.486</w:t>
            </w:r>
          </w:p>
        </w:tc>
        <w:tc>
          <w:tcPr>
            <w:tcW w:w="963" w:type="dxa"/>
            <w:tcBorders>
              <w:top w:val="nil"/>
              <w:left w:val="nil"/>
              <w:bottom w:val="nil"/>
              <w:right w:val="nil"/>
            </w:tcBorders>
            <w:shd w:val="clear" w:color="auto" w:fill="auto"/>
            <w:noWrap/>
            <w:vAlign w:val="center"/>
            <w:hideMark/>
          </w:tcPr>
          <w:p w14:paraId="2E2CB240"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27.869</w:t>
            </w:r>
          </w:p>
        </w:tc>
        <w:tc>
          <w:tcPr>
            <w:tcW w:w="963" w:type="dxa"/>
            <w:tcBorders>
              <w:top w:val="nil"/>
              <w:left w:val="nil"/>
              <w:bottom w:val="nil"/>
              <w:right w:val="nil"/>
            </w:tcBorders>
            <w:shd w:val="clear" w:color="auto" w:fill="auto"/>
            <w:vAlign w:val="center"/>
            <w:hideMark/>
          </w:tcPr>
          <w:p w14:paraId="03BF09B6"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24.219</w:t>
            </w:r>
          </w:p>
        </w:tc>
        <w:tc>
          <w:tcPr>
            <w:tcW w:w="963" w:type="dxa"/>
            <w:tcBorders>
              <w:top w:val="nil"/>
              <w:left w:val="nil"/>
              <w:bottom w:val="nil"/>
              <w:right w:val="nil"/>
            </w:tcBorders>
            <w:shd w:val="clear" w:color="auto" w:fill="auto"/>
            <w:noWrap/>
            <w:vAlign w:val="center"/>
            <w:hideMark/>
          </w:tcPr>
          <w:p w14:paraId="52E43108"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26.199</w:t>
            </w:r>
          </w:p>
        </w:tc>
        <w:tc>
          <w:tcPr>
            <w:tcW w:w="963" w:type="dxa"/>
            <w:tcBorders>
              <w:top w:val="nil"/>
              <w:left w:val="nil"/>
              <w:bottom w:val="nil"/>
              <w:right w:val="nil"/>
            </w:tcBorders>
            <w:shd w:val="clear" w:color="auto" w:fill="auto"/>
            <w:noWrap/>
            <w:vAlign w:val="center"/>
            <w:hideMark/>
          </w:tcPr>
          <w:p w14:paraId="1739D64D"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28.407</w:t>
            </w:r>
          </w:p>
        </w:tc>
      </w:tr>
      <w:tr w:rsidR="0055063C" w:rsidRPr="0055063C" w14:paraId="4CDB92D8" w14:textId="77777777" w:rsidTr="0055063C">
        <w:trPr>
          <w:trHeight w:val="332"/>
        </w:trPr>
        <w:tc>
          <w:tcPr>
            <w:tcW w:w="3051" w:type="dxa"/>
            <w:tcBorders>
              <w:top w:val="nil"/>
              <w:left w:val="nil"/>
              <w:bottom w:val="nil"/>
              <w:right w:val="nil"/>
            </w:tcBorders>
            <w:shd w:val="clear" w:color="auto" w:fill="auto"/>
            <w:vAlign w:val="center"/>
            <w:hideMark/>
          </w:tcPr>
          <w:p w14:paraId="27DC7FDF" w14:textId="77777777" w:rsidR="0055063C" w:rsidRPr="0055063C" w:rsidRDefault="0055063C" w:rsidP="0055063C">
            <w:pPr>
              <w:spacing w:after="0" w:line="240" w:lineRule="auto"/>
              <w:jc w:val="center"/>
              <w:rPr>
                <w:rFonts w:eastAsia="Times New Roman" w:cs="Calibri"/>
                <w:i/>
                <w:iCs/>
                <w:color w:val="000000"/>
                <w:sz w:val="18"/>
                <w:szCs w:val="18"/>
                <w:lang w:eastAsia="el-GR"/>
              </w:rPr>
            </w:pPr>
            <w:r w:rsidRPr="0055063C">
              <w:rPr>
                <w:rFonts w:eastAsia="Times New Roman" w:cs="Calibri"/>
                <w:i/>
                <w:iCs/>
                <w:color w:val="000000"/>
                <w:sz w:val="18"/>
                <w:szCs w:val="18"/>
                <w:lang w:val="en-US" w:eastAsia="el-GR"/>
              </w:rPr>
              <w:t>Δασμοί</w:t>
            </w:r>
          </w:p>
        </w:tc>
        <w:tc>
          <w:tcPr>
            <w:tcW w:w="963" w:type="dxa"/>
            <w:tcBorders>
              <w:top w:val="nil"/>
              <w:left w:val="nil"/>
              <w:bottom w:val="nil"/>
              <w:right w:val="nil"/>
            </w:tcBorders>
            <w:shd w:val="clear" w:color="auto" w:fill="auto"/>
            <w:vAlign w:val="center"/>
            <w:hideMark/>
          </w:tcPr>
          <w:p w14:paraId="51224B01"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232</w:t>
            </w:r>
          </w:p>
        </w:tc>
        <w:tc>
          <w:tcPr>
            <w:tcW w:w="963" w:type="dxa"/>
            <w:tcBorders>
              <w:top w:val="nil"/>
              <w:left w:val="nil"/>
              <w:bottom w:val="nil"/>
              <w:right w:val="nil"/>
            </w:tcBorders>
            <w:shd w:val="clear" w:color="auto" w:fill="auto"/>
            <w:noWrap/>
            <w:vAlign w:val="center"/>
            <w:hideMark/>
          </w:tcPr>
          <w:p w14:paraId="2BA439A9"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298</w:t>
            </w:r>
          </w:p>
        </w:tc>
        <w:tc>
          <w:tcPr>
            <w:tcW w:w="963" w:type="dxa"/>
            <w:tcBorders>
              <w:top w:val="nil"/>
              <w:left w:val="nil"/>
              <w:bottom w:val="nil"/>
              <w:right w:val="nil"/>
            </w:tcBorders>
            <w:shd w:val="clear" w:color="auto" w:fill="auto"/>
            <w:vAlign w:val="center"/>
            <w:hideMark/>
          </w:tcPr>
          <w:p w14:paraId="5644C922"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245</w:t>
            </w:r>
          </w:p>
        </w:tc>
        <w:tc>
          <w:tcPr>
            <w:tcW w:w="963" w:type="dxa"/>
            <w:tcBorders>
              <w:top w:val="nil"/>
              <w:left w:val="nil"/>
              <w:bottom w:val="nil"/>
              <w:right w:val="nil"/>
            </w:tcBorders>
            <w:shd w:val="clear" w:color="auto" w:fill="auto"/>
            <w:noWrap/>
            <w:vAlign w:val="center"/>
            <w:hideMark/>
          </w:tcPr>
          <w:p w14:paraId="27E4F4CB"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261</w:t>
            </w:r>
          </w:p>
        </w:tc>
        <w:tc>
          <w:tcPr>
            <w:tcW w:w="963" w:type="dxa"/>
            <w:tcBorders>
              <w:top w:val="nil"/>
              <w:left w:val="nil"/>
              <w:bottom w:val="nil"/>
              <w:right w:val="nil"/>
            </w:tcBorders>
            <w:shd w:val="clear" w:color="auto" w:fill="auto"/>
            <w:noWrap/>
            <w:vAlign w:val="center"/>
            <w:hideMark/>
          </w:tcPr>
          <w:p w14:paraId="158FE89D"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283</w:t>
            </w:r>
          </w:p>
        </w:tc>
      </w:tr>
      <w:tr w:rsidR="0055063C" w:rsidRPr="0055063C" w14:paraId="0D119064" w14:textId="77777777" w:rsidTr="0055063C">
        <w:trPr>
          <w:trHeight w:val="332"/>
        </w:trPr>
        <w:tc>
          <w:tcPr>
            <w:tcW w:w="3051" w:type="dxa"/>
            <w:tcBorders>
              <w:top w:val="nil"/>
              <w:left w:val="nil"/>
              <w:bottom w:val="nil"/>
              <w:right w:val="nil"/>
            </w:tcBorders>
            <w:shd w:val="clear" w:color="auto" w:fill="auto"/>
            <w:vAlign w:val="center"/>
            <w:hideMark/>
          </w:tcPr>
          <w:p w14:paraId="1E9D5112" w14:textId="77777777" w:rsidR="0055063C" w:rsidRPr="0055063C" w:rsidRDefault="0055063C" w:rsidP="0055063C">
            <w:pPr>
              <w:spacing w:after="0" w:line="240" w:lineRule="auto"/>
              <w:jc w:val="center"/>
              <w:rPr>
                <w:rFonts w:eastAsia="Times New Roman" w:cs="Calibri"/>
                <w:i/>
                <w:iCs/>
                <w:color w:val="000000"/>
                <w:sz w:val="18"/>
                <w:szCs w:val="18"/>
                <w:lang w:eastAsia="el-GR"/>
              </w:rPr>
            </w:pPr>
            <w:r w:rsidRPr="0055063C">
              <w:rPr>
                <w:rFonts w:eastAsia="Times New Roman" w:cs="Calibri"/>
                <w:i/>
                <w:iCs/>
                <w:color w:val="000000"/>
                <w:sz w:val="18"/>
                <w:szCs w:val="18"/>
                <w:lang w:val="en-US" w:eastAsia="el-GR"/>
              </w:rPr>
              <w:t>Φόροι Περιουσίας</w:t>
            </w:r>
          </w:p>
        </w:tc>
        <w:tc>
          <w:tcPr>
            <w:tcW w:w="963" w:type="dxa"/>
            <w:tcBorders>
              <w:top w:val="nil"/>
              <w:left w:val="nil"/>
              <w:bottom w:val="nil"/>
              <w:right w:val="nil"/>
            </w:tcBorders>
            <w:shd w:val="clear" w:color="auto" w:fill="auto"/>
            <w:vAlign w:val="center"/>
            <w:hideMark/>
          </w:tcPr>
          <w:p w14:paraId="143BE8E6"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3.057</w:t>
            </w:r>
          </w:p>
        </w:tc>
        <w:tc>
          <w:tcPr>
            <w:tcW w:w="963" w:type="dxa"/>
            <w:tcBorders>
              <w:top w:val="nil"/>
              <w:left w:val="nil"/>
              <w:bottom w:val="nil"/>
              <w:right w:val="nil"/>
            </w:tcBorders>
            <w:shd w:val="clear" w:color="auto" w:fill="auto"/>
            <w:noWrap/>
            <w:vAlign w:val="center"/>
            <w:hideMark/>
          </w:tcPr>
          <w:p w14:paraId="59626C5C"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2.722</w:t>
            </w:r>
          </w:p>
        </w:tc>
        <w:tc>
          <w:tcPr>
            <w:tcW w:w="963" w:type="dxa"/>
            <w:tcBorders>
              <w:top w:val="nil"/>
              <w:left w:val="nil"/>
              <w:bottom w:val="nil"/>
              <w:right w:val="nil"/>
            </w:tcBorders>
            <w:shd w:val="clear" w:color="auto" w:fill="auto"/>
            <w:vAlign w:val="center"/>
            <w:hideMark/>
          </w:tcPr>
          <w:p w14:paraId="2FE3F717"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2.536</w:t>
            </w:r>
          </w:p>
        </w:tc>
        <w:tc>
          <w:tcPr>
            <w:tcW w:w="963" w:type="dxa"/>
            <w:tcBorders>
              <w:top w:val="nil"/>
              <w:left w:val="nil"/>
              <w:bottom w:val="nil"/>
              <w:right w:val="nil"/>
            </w:tcBorders>
            <w:shd w:val="clear" w:color="auto" w:fill="auto"/>
            <w:noWrap/>
            <w:vAlign w:val="center"/>
            <w:hideMark/>
          </w:tcPr>
          <w:p w14:paraId="578AF5E3"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2.562</w:t>
            </w:r>
          </w:p>
        </w:tc>
        <w:tc>
          <w:tcPr>
            <w:tcW w:w="963" w:type="dxa"/>
            <w:tcBorders>
              <w:top w:val="nil"/>
              <w:left w:val="nil"/>
              <w:bottom w:val="nil"/>
              <w:right w:val="nil"/>
            </w:tcBorders>
            <w:shd w:val="clear" w:color="auto" w:fill="auto"/>
            <w:noWrap/>
            <w:vAlign w:val="center"/>
            <w:hideMark/>
          </w:tcPr>
          <w:p w14:paraId="0907D8B7"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2.502</w:t>
            </w:r>
          </w:p>
        </w:tc>
      </w:tr>
      <w:tr w:rsidR="0055063C" w:rsidRPr="0055063C" w14:paraId="74970644" w14:textId="77777777" w:rsidTr="0055063C">
        <w:trPr>
          <w:trHeight w:val="332"/>
        </w:trPr>
        <w:tc>
          <w:tcPr>
            <w:tcW w:w="3051" w:type="dxa"/>
            <w:tcBorders>
              <w:top w:val="nil"/>
              <w:left w:val="nil"/>
              <w:bottom w:val="nil"/>
              <w:right w:val="nil"/>
            </w:tcBorders>
            <w:shd w:val="clear" w:color="auto" w:fill="auto"/>
            <w:vAlign w:val="center"/>
            <w:hideMark/>
          </w:tcPr>
          <w:p w14:paraId="75DD10BC" w14:textId="77777777" w:rsidR="0055063C" w:rsidRPr="0055063C" w:rsidRDefault="0055063C" w:rsidP="0055063C">
            <w:pPr>
              <w:spacing w:after="0" w:line="240" w:lineRule="auto"/>
              <w:jc w:val="center"/>
              <w:rPr>
                <w:rFonts w:eastAsia="Times New Roman" w:cs="Calibri"/>
                <w:i/>
                <w:iCs/>
                <w:color w:val="000000"/>
                <w:sz w:val="18"/>
                <w:szCs w:val="18"/>
                <w:lang w:eastAsia="el-GR"/>
              </w:rPr>
            </w:pPr>
            <w:r w:rsidRPr="0055063C">
              <w:rPr>
                <w:rFonts w:eastAsia="Times New Roman" w:cs="Calibri"/>
                <w:i/>
                <w:iCs/>
                <w:color w:val="000000"/>
                <w:sz w:val="18"/>
                <w:szCs w:val="18"/>
                <w:lang w:val="en-US" w:eastAsia="el-GR"/>
              </w:rPr>
              <w:t>Φόροι Εισοδήματος Φ.Π.</w:t>
            </w:r>
          </w:p>
        </w:tc>
        <w:tc>
          <w:tcPr>
            <w:tcW w:w="963" w:type="dxa"/>
            <w:tcBorders>
              <w:top w:val="nil"/>
              <w:left w:val="nil"/>
              <w:bottom w:val="nil"/>
              <w:right w:val="nil"/>
            </w:tcBorders>
            <w:shd w:val="clear" w:color="auto" w:fill="auto"/>
            <w:vAlign w:val="center"/>
            <w:hideMark/>
          </w:tcPr>
          <w:p w14:paraId="3CD7F648"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10.885</w:t>
            </w:r>
          </w:p>
        </w:tc>
        <w:tc>
          <w:tcPr>
            <w:tcW w:w="963" w:type="dxa"/>
            <w:tcBorders>
              <w:top w:val="nil"/>
              <w:left w:val="nil"/>
              <w:bottom w:val="nil"/>
              <w:right w:val="nil"/>
            </w:tcBorders>
            <w:shd w:val="clear" w:color="auto" w:fill="auto"/>
            <w:noWrap/>
            <w:vAlign w:val="center"/>
            <w:hideMark/>
          </w:tcPr>
          <w:p w14:paraId="440FF6E8"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10.920</w:t>
            </w:r>
          </w:p>
        </w:tc>
        <w:tc>
          <w:tcPr>
            <w:tcW w:w="963" w:type="dxa"/>
            <w:tcBorders>
              <w:top w:val="nil"/>
              <w:left w:val="nil"/>
              <w:bottom w:val="nil"/>
              <w:right w:val="nil"/>
            </w:tcBorders>
            <w:shd w:val="clear" w:color="auto" w:fill="auto"/>
            <w:vAlign w:val="center"/>
            <w:hideMark/>
          </w:tcPr>
          <w:p w14:paraId="337FF873"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10.234</w:t>
            </w:r>
          </w:p>
        </w:tc>
        <w:tc>
          <w:tcPr>
            <w:tcW w:w="963" w:type="dxa"/>
            <w:tcBorders>
              <w:top w:val="nil"/>
              <w:left w:val="nil"/>
              <w:bottom w:val="nil"/>
              <w:right w:val="nil"/>
            </w:tcBorders>
            <w:shd w:val="clear" w:color="auto" w:fill="auto"/>
            <w:noWrap/>
            <w:vAlign w:val="center"/>
            <w:hideMark/>
          </w:tcPr>
          <w:p w14:paraId="4F6B2945"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9.460</w:t>
            </w:r>
          </w:p>
        </w:tc>
        <w:tc>
          <w:tcPr>
            <w:tcW w:w="963" w:type="dxa"/>
            <w:tcBorders>
              <w:top w:val="nil"/>
              <w:left w:val="nil"/>
              <w:bottom w:val="nil"/>
              <w:right w:val="nil"/>
            </w:tcBorders>
            <w:shd w:val="clear" w:color="auto" w:fill="auto"/>
            <w:noWrap/>
            <w:vAlign w:val="center"/>
            <w:hideMark/>
          </w:tcPr>
          <w:p w14:paraId="5D1B1F92"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10.111</w:t>
            </w:r>
          </w:p>
        </w:tc>
      </w:tr>
      <w:tr w:rsidR="0055063C" w:rsidRPr="0055063C" w14:paraId="63D39D10" w14:textId="77777777" w:rsidTr="0055063C">
        <w:trPr>
          <w:trHeight w:val="332"/>
        </w:trPr>
        <w:tc>
          <w:tcPr>
            <w:tcW w:w="3051" w:type="dxa"/>
            <w:tcBorders>
              <w:top w:val="nil"/>
              <w:left w:val="nil"/>
              <w:bottom w:val="nil"/>
              <w:right w:val="nil"/>
            </w:tcBorders>
            <w:shd w:val="clear" w:color="auto" w:fill="auto"/>
            <w:vAlign w:val="center"/>
            <w:hideMark/>
          </w:tcPr>
          <w:p w14:paraId="60D863ED" w14:textId="77777777" w:rsidR="0055063C" w:rsidRPr="0055063C" w:rsidRDefault="0055063C" w:rsidP="0055063C">
            <w:pPr>
              <w:spacing w:after="0" w:line="240" w:lineRule="auto"/>
              <w:jc w:val="center"/>
              <w:rPr>
                <w:rFonts w:eastAsia="Times New Roman" w:cs="Calibri"/>
                <w:i/>
                <w:iCs/>
                <w:color w:val="000000"/>
                <w:sz w:val="18"/>
                <w:szCs w:val="18"/>
                <w:lang w:eastAsia="el-GR"/>
              </w:rPr>
            </w:pPr>
            <w:r w:rsidRPr="0055063C">
              <w:rPr>
                <w:rFonts w:eastAsia="Times New Roman" w:cs="Calibri"/>
                <w:i/>
                <w:iCs/>
                <w:color w:val="000000"/>
                <w:sz w:val="18"/>
                <w:szCs w:val="18"/>
                <w:lang w:val="en-US" w:eastAsia="el-GR"/>
              </w:rPr>
              <w:t>Φόροι εισοδήματος Ν.Π.</w:t>
            </w:r>
          </w:p>
        </w:tc>
        <w:tc>
          <w:tcPr>
            <w:tcW w:w="963" w:type="dxa"/>
            <w:tcBorders>
              <w:top w:val="nil"/>
              <w:left w:val="nil"/>
              <w:bottom w:val="nil"/>
              <w:right w:val="nil"/>
            </w:tcBorders>
            <w:shd w:val="clear" w:color="auto" w:fill="auto"/>
            <w:vAlign w:val="center"/>
            <w:hideMark/>
          </w:tcPr>
          <w:p w14:paraId="687E5370"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4.429</w:t>
            </w:r>
          </w:p>
        </w:tc>
        <w:tc>
          <w:tcPr>
            <w:tcW w:w="963" w:type="dxa"/>
            <w:tcBorders>
              <w:top w:val="nil"/>
              <w:left w:val="nil"/>
              <w:bottom w:val="nil"/>
              <w:right w:val="nil"/>
            </w:tcBorders>
            <w:shd w:val="clear" w:color="auto" w:fill="auto"/>
            <w:noWrap/>
            <w:vAlign w:val="center"/>
            <w:hideMark/>
          </w:tcPr>
          <w:p w14:paraId="5153CF72"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4.485</w:t>
            </w:r>
          </w:p>
        </w:tc>
        <w:tc>
          <w:tcPr>
            <w:tcW w:w="963" w:type="dxa"/>
            <w:tcBorders>
              <w:top w:val="nil"/>
              <w:left w:val="nil"/>
              <w:bottom w:val="nil"/>
              <w:right w:val="nil"/>
            </w:tcBorders>
            <w:shd w:val="clear" w:color="auto" w:fill="auto"/>
            <w:vAlign w:val="center"/>
            <w:hideMark/>
          </w:tcPr>
          <w:p w14:paraId="174A2780"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2.638</w:t>
            </w:r>
          </w:p>
        </w:tc>
        <w:tc>
          <w:tcPr>
            <w:tcW w:w="963" w:type="dxa"/>
            <w:tcBorders>
              <w:top w:val="nil"/>
              <w:left w:val="nil"/>
              <w:bottom w:val="nil"/>
              <w:right w:val="nil"/>
            </w:tcBorders>
            <w:shd w:val="clear" w:color="auto" w:fill="auto"/>
            <w:noWrap/>
            <w:vAlign w:val="center"/>
            <w:hideMark/>
          </w:tcPr>
          <w:p w14:paraId="12DA203C"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2.348</w:t>
            </w:r>
          </w:p>
        </w:tc>
        <w:tc>
          <w:tcPr>
            <w:tcW w:w="963" w:type="dxa"/>
            <w:tcBorders>
              <w:top w:val="nil"/>
              <w:left w:val="nil"/>
              <w:bottom w:val="nil"/>
              <w:right w:val="nil"/>
            </w:tcBorders>
            <w:shd w:val="clear" w:color="auto" w:fill="auto"/>
            <w:noWrap/>
            <w:vAlign w:val="center"/>
            <w:hideMark/>
          </w:tcPr>
          <w:p w14:paraId="55136341"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3.595</w:t>
            </w:r>
          </w:p>
        </w:tc>
      </w:tr>
      <w:tr w:rsidR="0055063C" w:rsidRPr="0055063C" w14:paraId="3FC41B05" w14:textId="77777777" w:rsidTr="0055063C">
        <w:trPr>
          <w:trHeight w:val="332"/>
        </w:trPr>
        <w:tc>
          <w:tcPr>
            <w:tcW w:w="3051" w:type="dxa"/>
            <w:tcBorders>
              <w:top w:val="nil"/>
              <w:left w:val="nil"/>
              <w:bottom w:val="nil"/>
              <w:right w:val="nil"/>
            </w:tcBorders>
            <w:shd w:val="clear" w:color="auto" w:fill="auto"/>
            <w:vAlign w:val="center"/>
            <w:hideMark/>
          </w:tcPr>
          <w:p w14:paraId="483D5098" w14:textId="77777777" w:rsidR="0055063C" w:rsidRPr="0055063C" w:rsidRDefault="0055063C" w:rsidP="0055063C">
            <w:pPr>
              <w:spacing w:after="0" w:line="240" w:lineRule="auto"/>
              <w:jc w:val="center"/>
              <w:rPr>
                <w:rFonts w:eastAsia="Times New Roman" w:cs="Calibri"/>
                <w:i/>
                <w:iCs/>
                <w:color w:val="000000"/>
                <w:sz w:val="18"/>
                <w:szCs w:val="18"/>
                <w:lang w:eastAsia="el-GR"/>
              </w:rPr>
            </w:pPr>
            <w:r w:rsidRPr="0055063C">
              <w:rPr>
                <w:rFonts w:eastAsia="Times New Roman" w:cs="Calibri"/>
                <w:i/>
                <w:iCs/>
                <w:color w:val="000000"/>
                <w:sz w:val="18"/>
                <w:szCs w:val="18"/>
                <w:lang w:val="en-US" w:eastAsia="el-GR"/>
              </w:rPr>
              <w:t>Λοιποί άμεσοι φόροι</w:t>
            </w:r>
          </w:p>
        </w:tc>
        <w:tc>
          <w:tcPr>
            <w:tcW w:w="963" w:type="dxa"/>
            <w:tcBorders>
              <w:top w:val="nil"/>
              <w:left w:val="nil"/>
              <w:bottom w:val="nil"/>
              <w:right w:val="nil"/>
            </w:tcBorders>
            <w:shd w:val="clear" w:color="auto" w:fill="auto"/>
            <w:vAlign w:val="center"/>
            <w:hideMark/>
          </w:tcPr>
          <w:p w14:paraId="7349B2A1"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1.207</w:t>
            </w:r>
          </w:p>
        </w:tc>
        <w:tc>
          <w:tcPr>
            <w:tcW w:w="963" w:type="dxa"/>
            <w:tcBorders>
              <w:top w:val="nil"/>
              <w:left w:val="nil"/>
              <w:bottom w:val="nil"/>
              <w:right w:val="nil"/>
            </w:tcBorders>
            <w:shd w:val="clear" w:color="auto" w:fill="auto"/>
            <w:noWrap/>
            <w:vAlign w:val="center"/>
            <w:hideMark/>
          </w:tcPr>
          <w:p w14:paraId="6D56BB67"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1.163</w:t>
            </w:r>
          </w:p>
        </w:tc>
        <w:tc>
          <w:tcPr>
            <w:tcW w:w="963" w:type="dxa"/>
            <w:tcBorders>
              <w:top w:val="nil"/>
              <w:left w:val="nil"/>
              <w:bottom w:val="nil"/>
              <w:right w:val="nil"/>
            </w:tcBorders>
            <w:shd w:val="clear" w:color="auto" w:fill="auto"/>
            <w:vAlign w:val="center"/>
            <w:hideMark/>
          </w:tcPr>
          <w:p w14:paraId="3360546E"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999</w:t>
            </w:r>
          </w:p>
        </w:tc>
        <w:tc>
          <w:tcPr>
            <w:tcW w:w="963" w:type="dxa"/>
            <w:tcBorders>
              <w:top w:val="nil"/>
              <w:left w:val="nil"/>
              <w:bottom w:val="nil"/>
              <w:right w:val="nil"/>
            </w:tcBorders>
            <w:shd w:val="clear" w:color="auto" w:fill="auto"/>
            <w:noWrap/>
            <w:vAlign w:val="center"/>
            <w:hideMark/>
          </w:tcPr>
          <w:p w14:paraId="1193DD1A"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1.144</w:t>
            </w:r>
          </w:p>
        </w:tc>
        <w:tc>
          <w:tcPr>
            <w:tcW w:w="963" w:type="dxa"/>
            <w:tcBorders>
              <w:top w:val="nil"/>
              <w:left w:val="nil"/>
              <w:bottom w:val="nil"/>
              <w:right w:val="nil"/>
            </w:tcBorders>
            <w:shd w:val="clear" w:color="auto" w:fill="auto"/>
            <w:noWrap/>
            <w:vAlign w:val="center"/>
            <w:hideMark/>
          </w:tcPr>
          <w:p w14:paraId="7095D974"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1.185</w:t>
            </w:r>
          </w:p>
        </w:tc>
      </w:tr>
      <w:tr w:rsidR="0055063C" w:rsidRPr="0055063C" w14:paraId="0F589B0D" w14:textId="77777777" w:rsidTr="0055063C">
        <w:trPr>
          <w:trHeight w:val="332"/>
        </w:trPr>
        <w:tc>
          <w:tcPr>
            <w:tcW w:w="3051" w:type="dxa"/>
            <w:tcBorders>
              <w:top w:val="nil"/>
              <w:left w:val="nil"/>
              <w:bottom w:val="nil"/>
              <w:right w:val="nil"/>
            </w:tcBorders>
            <w:shd w:val="clear" w:color="auto" w:fill="auto"/>
            <w:vAlign w:val="center"/>
            <w:hideMark/>
          </w:tcPr>
          <w:p w14:paraId="614D6D99" w14:textId="77777777" w:rsidR="0055063C" w:rsidRPr="0055063C" w:rsidRDefault="0055063C" w:rsidP="0055063C">
            <w:pPr>
              <w:spacing w:after="0" w:line="240" w:lineRule="auto"/>
              <w:jc w:val="center"/>
              <w:rPr>
                <w:rFonts w:eastAsia="Times New Roman" w:cs="Calibri"/>
                <w:i/>
                <w:iCs/>
                <w:color w:val="000000"/>
                <w:sz w:val="18"/>
                <w:szCs w:val="18"/>
                <w:lang w:eastAsia="el-GR"/>
              </w:rPr>
            </w:pPr>
            <w:r w:rsidRPr="0055063C">
              <w:rPr>
                <w:rFonts w:eastAsia="Times New Roman" w:cs="Calibri"/>
                <w:i/>
                <w:iCs/>
                <w:color w:val="000000"/>
                <w:sz w:val="18"/>
                <w:szCs w:val="18"/>
                <w:lang w:val="en-US" w:eastAsia="el-GR"/>
              </w:rPr>
              <w:t>Φόροι κεφαλαίου</w:t>
            </w:r>
          </w:p>
        </w:tc>
        <w:tc>
          <w:tcPr>
            <w:tcW w:w="963" w:type="dxa"/>
            <w:tcBorders>
              <w:top w:val="nil"/>
              <w:left w:val="nil"/>
              <w:bottom w:val="nil"/>
              <w:right w:val="nil"/>
            </w:tcBorders>
            <w:shd w:val="clear" w:color="auto" w:fill="auto"/>
            <w:vAlign w:val="center"/>
            <w:hideMark/>
          </w:tcPr>
          <w:p w14:paraId="72727E2A"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236</w:t>
            </w:r>
          </w:p>
        </w:tc>
        <w:tc>
          <w:tcPr>
            <w:tcW w:w="963" w:type="dxa"/>
            <w:tcBorders>
              <w:top w:val="nil"/>
              <w:left w:val="nil"/>
              <w:bottom w:val="nil"/>
              <w:right w:val="nil"/>
            </w:tcBorders>
            <w:shd w:val="clear" w:color="auto" w:fill="auto"/>
            <w:noWrap/>
            <w:vAlign w:val="center"/>
            <w:hideMark/>
          </w:tcPr>
          <w:p w14:paraId="2D5F0D91"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249</w:t>
            </w:r>
          </w:p>
        </w:tc>
        <w:tc>
          <w:tcPr>
            <w:tcW w:w="963" w:type="dxa"/>
            <w:tcBorders>
              <w:top w:val="nil"/>
              <w:left w:val="nil"/>
              <w:bottom w:val="nil"/>
              <w:right w:val="nil"/>
            </w:tcBorders>
            <w:shd w:val="clear" w:color="auto" w:fill="auto"/>
            <w:vAlign w:val="center"/>
            <w:hideMark/>
          </w:tcPr>
          <w:p w14:paraId="32983457"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173</w:t>
            </w:r>
          </w:p>
        </w:tc>
        <w:tc>
          <w:tcPr>
            <w:tcW w:w="963" w:type="dxa"/>
            <w:tcBorders>
              <w:top w:val="nil"/>
              <w:left w:val="nil"/>
              <w:bottom w:val="nil"/>
              <w:right w:val="nil"/>
            </w:tcBorders>
            <w:shd w:val="clear" w:color="auto" w:fill="auto"/>
            <w:noWrap/>
            <w:vAlign w:val="center"/>
            <w:hideMark/>
          </w:tcPr>
          <w:p w14:paraId="141CBE15"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181</w:t>
            </w:r>
          </w:p>
        </w:tc>
        <w:tc>
          <w:tcPr>
            <w:tcW w:w="963" w:type="dxa"/>
            <w:tcBorders>
              <w:top w:val="nil"/>
              <w:left w:val="nil"/>
              <w:bottom w:val="nil"/>
              <w:right w:val="nil"/>
            </w:tcBorders>
            <w:shd w:val="clear" w:color="auto" w:fill="auto"/>
            <w:noWrap/>
            <w:vAlign w:val="center"/>
            <w:hideMark/>
          </w:tcPr>
          <w:p w14:paraId="2DB4E241"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169</w:t>
            </w:r>
          </w:p>
        </w:tc>
      </w:tr>
      <w:tr w:rsidR="0055063C" w:rsidRPr="0055063C" w14:paraId="1DAA8FEA" w14:textId="77777777" w:rsidTr="0055063C">
        <w:trPr>
          <w:trHeight w:val="332"/>
        </w:trPr>
        <w:tc>
          <w:tcPr>
            <w:tcW w:w="3051" w:type="dxa"/>
            <w:tcBorders>
              <w:top w:val="nil"/>
              <w:left w:val="nil"/>
              <w:bottom w:val="nil"/>
              <w:right w:val="nil"/>
            </w:tcBorders>
            <w:shd w:val="clear" w:color="auto" w:fill="auto"/>
            <w:vAlign w:val="center"/>
            <w:hideMark/>
          </w:tcPr>
          <w:p w14:paraId="5541077B" w14:textId="77777777" w:rsidR="0055063C" w:rsidRPr="0055063C" w:rsidRDefault="0055063C" w:rsidP="0055063C">
            <w:pPr>
              <w:spacing w:after="0" w:line="240" w:lineRule="auto"/>
              <w:jc w:val="center"/>
              <w:rPr>
                <w:rFonts w:eastAsia="Times New Roman" w:cs="Calibri"/>
                <w:i/>
                <w:iCs/>
                <w:color w:val="000000"/>
                <w:sz w:val="18"/>
                <w:szCs w:val="18"/>
                <w:lang w:eastAsia="el-GR"/>
              </w:rPr>
            </w:pPr>
            <w:r w:rsidRPr="0055063C">
              <w:rPr>
                <w:rFonts w:eastAsia="Times New Roman" w:cs="Calibri"/>
                <w:i/>
                <w:iCs/>
                <w:color w:val="000000"/>
                <w:sz w:val="18"/>
                <w:szCs w:val="18"/>
                <w:lang w:val="en-US" w:eastAsia="el-GR"/>
              </w:rPr>
              <w:t>Λοιποί φόροι παραγωγής</w:t>
            </w:r>
          </w:p>
        </w:tc>
        <w:tc>
          <w:tcPr>
            <w:tcW w:w="963" w:type="dxa"/>
            <w:tcBorders>
              <w:top w:val="nil"/>
              <w:left w:val="nil"/>
              <w:bottom w:val="nil"/>
              <w:right w:val="nil"/>
            </w:tcBorders>
            <w:shd w:val="clear" w:color="auto" w:fill="auto"/>
            <w:vAlign w:val="center"/>
            <w:hideMark/>
          </w:tcPr>
          <w:p w14:paraId="3AC8D7A5"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1.295</w:t>
            </w:r>
          </w:p>
        </w:tc>
        <w:tc>
          <w:tcPr>
            <w:tcW w:w="963" w:type="dxa"/>
            <w:tcBorders>
              <w:top w:val="nil"/>
              <w:left w:val="nil"/>
              <w:bottom w:val="nil"/>
              <w:right w:val="nil"/>
            </w:tcBorders>
            <w:shd w:val="clear" w:color="auto" w:fill="auto"/>
            <w:noWrap/>
            <w:vAlign w:val="center"/>
            <w:hideMark/>
          </w:tcPr>
          <w:p w14:paraId="4605A63D"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1.060</w:t>
            </w:r>
          </w:p>
        </w:tc>
        <w:tc>
          <w:tcPr>
            <w:tcW w:w="963" w:type="dxa"/>
            <w:tcBorders>
              <w:top w:val="nil"/>
              <w:left w:val="nil"/>
              <w:bottom w:val="nil"/>
              <w:right w:val="nil"/>
            </w:tcBorders>
            <w:shd w:val="clear" w:color="auto" w:fill="auto"/>
            <w:vAlign w:val="center"/>
            <w:hideMark/>
          </w:tcPr>
          <w:p w14:paraId="61C74F12"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1.160</w:t>
            </w:r>
          </w:p>
        </w:tc>
        <w:tc>
          <w:tcPr>
            <w:tcW w:w="963" w:type="dxa"/>
            <w:tcBorders>
              <w:top w:val="nil"/>
              <w:left w:val="nil"/>
              <w:bottom w:val="nil"/>
              <w:right w:val="nil"/>
            </w:tcBorders>
            <w:shd w:val="clear" w:color="auto" w:fill="auto"/>
            <w:noWrap/>
            <w:vAlign w:val="center"/>
            <w:hideMark/>
          </w:tcPr>
          <w:p w14:paraId="3631485F"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1.116</w:t>
            </w:r>
          </w:p>
        </w:tc>
        <w:tc>
          <w:tcPr>
            <w:tcW w:w="963" w:type="dxa"/>
            <w:tcBorders>
              <w:top w:val="nil"/>
              <w:left w:val="nil"/>
              <w:bottom w:val="nil"/>
              <w:right w:val="nil"/>
            </w:tcBorders>
            <w:shd w:val="clear" w:color="auto" w:fill="auto"/>
            <w:noWrap/>
            <w:vAlign w:val="center"/>
            <w:hideMark/>
          </w:tcPr>
          <w:p w14:paraId="1BB22E65"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1.046</w:t>
            </w:r>
          </w:p>
        </w:tc>
      </w:tr>
      <w:tr w:rsidR="0055063C" w:rsidRPr="0055063C" w14:paraId="1257587F" w14:textId="77777777" w:rsidTr="0055063C">
        <w:trPr>
          <w:trHeight w:val="332"/>
        </w:trPr>
        <w:tc>
          <w:tcPr>
            <w:tcW w:w="3051" w:type="dxa"/>
            <w:tcBorders>
              <w:top w:val="nil"/>
              <w:left w:val="nil"/>
              <w:bottom w:val="nil"/>
              <w:right w:val="nil"/>
            </w:tcBorders>
            <w:shd w:val="clear" w:color="auto" w:fill="auto"/>
            <w:vAlign w:val="center"/>
            <w:hideMark/>
          </w:tcPr>
          <w:p w14:paraId="335FD8D4" w14:textId="77777777" w:rsidR="0055063C" w:rsidRPr="0055063C" w:rsidRDefault="0055063C" w:rsidP="0055063C">
            <w:pPr>
              <w:spacing w:after="0" w:line="240" w:lineRule="auto"/>
              <w:jc w:val="center"/>
              <w:rPr>
                <w:rFonts w:eastAsia="Times New Roman" w:cs="Calibri"/>
                <w:i/>
                <w:iCs/>
                <w:color w:val="000000"/>
                <w:sz w:val="18"/>
                <w:szCs w:val="18"/>
                <w:lang w:eastAsia="el-GR"/>
              </w:rPr>
            </w:pPr>
            <w:r w:rsidRPr="0055063C">
              <w:rPr>
                <w:rFonts w:eastAsia="Times New Roman" w:cs="Calibri"/>
                <w:i/>
                <w:iCs/>
                <w:color w:val="000000"/>
                <w:sz w:val="18"/>
                <w:szCs w:val="18"/>
                <w:lang w:val="en-US" w:eastAsia="el-GR"/>
              </w:rPr>
              <w:t xml:space="preserve">Λοιποί φόροι </w:t>
            </w:r>
          </w:p>
        </w:tc>
        <w:tc>
          <w:tcPr>
            <w:tcW w:w="963" w:type="dxa"/>
            <w:tcBorders>
              <w:top w:val="nil"/>
              <w:left w:val="nil"/>
              <w:bottom w:val="nil"/>
              <w:right w:val="nil"/>
            </w:tcBorders>
            <w:shd w:val="clear" w:color="auto" w:fill="auto"/>
            <w:vAlign w:val="center"/>
            <w:hideMark/>
          </w:tcPr>
          <w:p w14:paraId="7F0E082A"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2.469</w:t>
            </w:r>
          </w:p>
        </w:tc>
        <w:tc>
          <w:tcPr>
            <w:tcW w:w="963" w:type="dxa"/>
            <w:tcBorders>
              <w:top w:val="nil"/>
              <w:left w:val="nil"/>
              <w:bottom w:val="nil"/>
              <w:right w:val="nil"/>
            </w:tcBorders>
            <w:shd w:val="clear" w:color="auto" w:fill="auto"/>
            <w:noWrap/>
            <w:vAlign w:val="center"/>
            <w:hideMark/>
          </w:tcPr>
          <w:p w14:paraId="585C3A94"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2.423</w:t>
            </w:r>
          </w:p>
        </w:tc>
        <w:tc>
          <w:tcPr>
            <w:tcW w:w="963" w:type="dxa"/>
            <w:tcBorders>
              <w:top w:val="nil"/>
              <w:left w:val="nil"/>
              <w:bottom w:val="nil"/>
              <w:right w:val="nil"/>
            </w:tcBorders>
            <w:shd w:val="clear" w:color="auto" w:fill="auto"/>
            <w:vAlign w:val="center"/>
            <w:hideMark/>
          </w:tcPr>
          <w:p w14:paraId="65401B67"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2.308</w:t>
            </w:r>
          </w:p>
        </w:tc>
        <w:tc>
          <w:tcPr>
            <w:tcW w:w="963" w:type="dxa"/>
            <w:tcBorders>
              <w:top w:val="nil"/>
              <w:left w:val="nil"/>
              <w:bottom w:val="nil"/>
              <w:right w:val="nil"/>
            </w:tcBorders>
            <w:shd w:val="clear" w:color="auto" w:fill="auto"/>
            <w:noWrap/>
            <w:vAlign w:val="center"/>
            <w:hideMark/>
          </w:tcPr>
          <w:p w14:paraId="67681DE0"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2.170</w:t>
            </w:r>
          </w:p>
        </w:tc>
        <w:tc>
          <w:tcPr>
            <w:tcW w:w="963" w:type="dxa"/>
            <w:tcBorders>
              <w:top w:val="nil"/>
              <w:left w:val="nil"/>
              <w:bottom w:val="nil"/>
              <w:right w:val="nil"/>
            </w:tcBorders>
            <w:shd w:val="clear" w:color="auto" w:fill="auto"/>
            <w:noWrap/>
            <w:vAlign w:val="center"/>
            <w:hideMark/>
          </w:tcPr>
          <w:p w14:paraId="204F03F4"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2.222</w:t>
            </w:r>
          </w:p>
        </w:tc>
      </w:tr>
      <w:tr w:rsidR="0055063C" w:rsidRPr="0055063C" w14:paraId="6A14448E" w14:textId="77777777" w:rsidTr="0055063C">
        <w:trPr>
          <w:trHeight w:val="664"/>
        </w:trPr>
        <w:tc>
          <w:tcPr>
            <w:tcW w:w="3051" w:type="dxa"/>
            <w:tcBorders>
              <w:top w:val="nil"/>
              <w:left w:val="nil"/>
              <w:bottom w:val="nil"/>
              <w:right w:val="nil"/>
            </w:tcBorders>
            <w:shd w:val="clear" w:color="auto" w:fill="auto"/>
            <w:vAlign w:val="center"/>
            <w:hideMark/>
          </w:tcPr>
          <w:p w14:paraId="3BEAC419" w14:textId="77777777" w:rsidR="0055063C" w:rsidRPr="0055063C" w:rsidRDefault="0055063C" w:rsidP="0055063C">
            <w:pPr>
              <w:spacing w:after="0" w:line="240" w:lineRule="auto"/>
              <w:jc w:val="center"/>
              <w:rPr>
                <w:rFonts w:eastAsia="Times New Roman" w:cs="Calibri"/>
                <w:b/>
                <w:bCs/>
                <w:i/>
                <w:iCs/>
                <w:color w:val="000000"/>
                <w:sz w:val="18"/>
                <w:szCs w:val="18"/>
                <w:lang w:eastAsia="el-GR"/>
              </w:rPr>
            </w:pPr>
            <w:r w:rsidRPr="0055063C">
              <w:rPr>
                <w:rFonts w:eastAsia="Times New Roman" w:cs="Calibri"/>
                <w:b/>
                <w:bCs/>
                <w:i/>
                <w:iCs/>
                <w:color w:val="000000"/>
                <w:sz w:val="18"/>
                <w:szCs w:val="18"/>
                <w:lang w:eastAsia="el-GR"/>
              </w:rPr>
              <w:t>Σύνολο φορολογικών εσόδων Κ.Π</w:t>
            </w:r>
          </w:p>
        </w:tc>
        <w:tc>
          <w:tcPr>
            <w:tcW w:w="963" w:type="dxa"/>
            <w:tcBorders>
              <w:top w:val="nil"/>
              <w:left w:val="nil"/>
              <w:bottom w:val="nil"/>
              <w:right w:val="nil"/>
            </w:tcBorders>
            <w:shd w:val="clear" w:color="auto" w:fill="auto"/>
            <w:noWrap/>
            <w:vAlign w:val="center"/>
            <w:hideMark/>
          </w:tcPr>
          <w:p w14:paraId="3871C342"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51.296</w:t>
            </w:r>
          </w:p>
        </w:tc>
        <w:tc>
          <w:tcPr>
            <w:tcW w:w="963" w:type="dxa"/>
            <w:tcBorders>
              <w:top w:val="nil"/>
              <w:left w:val="nil"/>
              <w:bottom w:val="nil"/>
              <w:right w:val="nil"/>
            </w:tcBorders>
            <w:shd w:val="clear" w:color="auto" w:fill="auto"/>
            <w:noWrap/>
            <w:vAlign w:val="center"/>
            <w:hideMark/>
          </w:tcPr>
          <w:p w14:paraId="7F5C7C16"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51.189</w:t>
            </w:r>
          </w:p>
        </w:tc>
        <w:tc>
          <w:tcPr>
            <w:tcW w:w="963" w:type="dxa"/>
            <w:tcBorders>
              <w:top w:val="nil"/>
              <w:left w:val="nil"/>
              <w:bottom w:val="nil"/>
              <w:right w:val="nil"/>
            </w:tcBorders>
            <w:shd w:val="clear" w:color="auto" w:fill="auto"/>
            <w:noWrap/>
            <w:vAlign w:val="center"/>
            <w:hideMark/>
          </w:tcPr>
          <w:p w14:paraId="1A115247"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44.512</w:t>
            </w:r>
          </w:p>
        </w:tc>
        <w:tc>
          <w:tcPr>
            <w:tcW w:w="963" w:type="dxa"/>
            <w:tcBorders>
              <w:top w:val="nil"/>
              <w:left w:val="nil"/>
              <w:bottom w:val="nil"/>
              <w:right w:val="nil"/>
            </w:tcBorders>
            <w:shd w:val="clear" w:color="auto" w:fill="auto"/>
            <w:noWrap/>
            <w:vAlign w:val="center"/>
            <w:hideMark/>
          </w:tcPr>
          <w:p w14:paraId="258E320E"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45.441</w:t>
            </w:r>
          </w:p>
        </w:tc>
        <w:tc>
          <w:tcPr>
            <w:tcW w:w="963" w:type="dxa"/>
            <w:tcBorders>
              <w:top w:val="nil"/>
              <w:left w:val="nil"/>
              <w:bottom w:val="nil"/>
              <w:right w:val="nil"/>
            </w:tcBorders>
            <w:shd w:val="clear" w:color="auto" w:fill="auto"/>
            <w:noWrap/>
            <w:vAlign w:val="center"/>
            <w:hideMark/>
          </w:tcPr>
          <w:p w14:paraId="5B2308C5"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49.520</w:t>
            </w:r>
          </w:p>
        </w:tc>
      </w:tr>
      <w:tr w:rsidR="0055063C" w:rsidRPr="0055063C" w14:paraId="7595DFBF" w14:textId="77777777" w:rsidTr="0055063C">
        <w:trPr>
          <w:trHeight w:val="332"/>
        </w:trPr>
        <w:tc>
          <w:tcPr>
            <w:tcW w:w="3051" w:type="dxa"/>
            <w:tcBorders>
              <w:top w:val="nil"/>
              <w:left w:val="nil"/>
              <w:bottom w:val="nil"/>
              <w:right w:val="nil"/>
            </w:tcBorders>
            <w:shd w:val="clear" w:color="auto" w:fill="auto"/>
            <w:vAlign w:val="center"/>
            <w:hideMark/>
          </w:tcPr>
          <w:p w14:paraId="2696F75F" w14:textId="77777777" w:rsidR="0055063C" w:rsidRPr="0055063C" w:rsidRDefault="0055063C" w:rsidP="0055063C">
            <w:pPr>
              <w:spacing w:after="0" w:line="240" w:lineRule="auto"/>
              <w:jc w:val="center"/>
              <w:rPr>
                <w:rFonts w:eastAsia="Times New Roman" w:cs="Calibri"/>
                <w:i/>
                <w:iCs/>
                <w:color w:val="000000"/>
                <w:sz w:val="18"/>
                <w:szCs w:val="18"/>
                <w:lang w:eastAsia="el-GR"/>
              </w:rPr>
            </w:pPr>
            <w:r w:rsidRPr="0055063C">
              <w:rPr>
                <w:rFonts w:eastAsia="Times New Roman" w:cs="Calibri"/>
                <w:i/>
                <w:iCs/>
                <w:color w:val="000000"/>
                <w:sz w:val="18"/>
                <w:szCs w:val="18"/>
                <w:lang w:val="en-US" w:eastAsia="el-GR"/>
              </w:rPr>
              <w:t>Ασφαλιστικές εισφορές</w:t>
            </w:r>
          </w:p>
        </w:tc>
        <w:tc>
          <w:tcPr>
            <w:tcW w:w="963" w:type="dxa"/>
            <w:tcBorders>
              <w:top w:val="nil"/>
              <w:left w:val="nil"/>
              <w:bottom w:val="nil"/>
              <w:right w:val="nil"/>
            </w:tcBorders>
            <w:shd w:val="clear" w:color="auto" w:fill="auto"/>
            <w:noWrap/>
            <w:vAlign w:val="center"/>
            <w:hideMark/>
          </w:tcPr>
          <w:p w14:paraId="089CADB0"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21.351</w:t>
            </w:r>
          </w:p>
        </w:tc>
        <w:tc>
          <w:tcPr>
            <w:tcW w:w="963" w:type="dxa"/>
            <w:tcBorders>
              <w:top w:val="nil"/>
              <w:left w:val="nil"/>
              <w:bottom w:val="nil"/>
              <w:right w:val="nil"/>
            </w:tcBorders>
            <w:shd w:val="clear" w:color="auto" w:fill="auto"/>
            <w:noWrap/>
            <w:vAlign w:val="center"/>
            <w:hideMark/>
          </w:tcPr>
          <w:p w14:paraId="7DBFF8EC"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22.409</w:t>
            </w:r>
          </w:p>
        </w:tc>
        <w:tc>
          <w:tcPr>
            <w:tcW w:w="963" w:type="dxa"/>
            <w:tcBorders>
              <w:top w:val="nil"/>
              <w:left w:val="nil"/>
              <w:bottom w:val="nil"/>
              <w:right w:val="nil"/>
            </w:tcBorders>
            <w:shd w:val="clear" w:color="auto" w:fill="auto"/>
            <w:noWrap/>
            <w:vAlign w:val="center"/>
            <w:hideMark/>
          </w:tcPr>
          <w:p w14:paraId="48BD7A95"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21.737</w:t>
            </w:r>
          </w:p>
        </w:tc>
        <w:tc>
          <w:tcPr>
            <w:tcW w:w="963" w:type="dxa"/>
            <w:tcBorders>
              <w:top w:val="nil"/>
              <w:left w:val="nil"/>
              <w:bottom w:val="nil"/>
              <w:right w:val="nil"/>
            </w:tcBorders>
            <w:shd w:val="clear" w:color="auto" w:fill="auto"/>
            <w:noWrap/>
            <w:vAlign w:val="center"/>
            <w:hideMark/>
          </w:tcPr>
          <w:p w14:paraId="281481EB"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22.029</w:t>
            </w:r>
          </w:p>
        </w:tc>
        <w:tc>
          <w:tcPr>
            <w:tcW w:w="963" w:type="dxa"/>
            <w:tcBorders>
              <w:top w:val="nil"/>
              <w:left w:val="nil"/>
              <w:bottom w:val="nil"/>
              <w:right w:val="nil"/>
            </w:tcBorders>
            <w:shd w:val="clear" w:color="auto" w:fill="auto"/>
            <w:noWrap/>
            <w:vAlign w:val="center"/>
            <w:hideMark/>
          </w:tcPr>
          <w:p w14:paraId="35C8DB67" w14:textId="77777777" w:rsidR="0055063C" w:rsidRPr="0055063C" w:rsidRDefault="0055063C" w:rsidP="0055063C">
            <w:pPr>
              <w:spacing w:after="0" w:line="240" w:lineRule="auto"/>
              <w:jc w:val="center"/>
              <w:rPr>
                <w:rFonts w:eastAsia="Times New Roman" w:cs="Calibri"/>
                <w:color w:val="000000"/>
                <w:sz w:val="18"/>
                <w:szCs w:val="18"/>
                <w:lang w:eastAsia="el-GR"/>
              </w:rPr>
            </w:pPr>
            <w:r w:rsidRPr="0055063C">
              <w:rPr>
                <w:rFonts w:eastAsia="Times New Roman" w:cs="Calibri"/>
                <w:color w:val="000000"/>
                <w:sz w:val="18"/>
                <w:szCs w:val="18"/>
                <w:lang w:val="en-US" w:eastAsia="el-GR"/>
              </w:rPr>
              <w:t>22.541</w:t>
            </w:r>
          </w:p>
        </w:tc>
      </w:tr>
      <w:tr w:rsidR="0055063C" w:rsidRPr="0055063C" w14:paraId="597BFB59" w14:textId="77777777" w:rsidTr="0055063C">
        <w:trPr>
          <w:trHeight w:val="348"/>
        </w:trPr>
        <w:tc>
          <w:tcPr>
            <w:tcW w:w="3051" w:type="dxa"/>
            <w:tcBorders>
              <w:top w:val="nil"/>
              <w:left w:val="nil"/>
              <w:bottom w:val="single" w:sz="12" w:space="0" w:color="auto"/>
              <w:right w:val="nil"/>
            </w:tcBorders>
            <w:shd w:val="clear" w:color="auto" w:fill="auto"/>
            <w:vAlign w:val="center"/>
            <w:hideMark/>
          </w:tcPr>
          <w:p w14:paraId="11B5A0B8" w14:textId="77777777" w:rsidR="0055063C" w:rsidRPr="0055063C" w:rsidRDefault="0055063C" w:rsidP="0055063C">
            <w:pPr>
              <w:spacing w:after="0" w:line="240" w:lineRule="auto"/>
              <w:jc w:val="center"/>
              <w:rPr>
                <w:rFonts w:eastAsia="Times New Roman" w:cs="Calibri"/>
                <w:b/>
                <w:bCs/>
                <w:color w:val="000000"/>
                <w:sz w:val="18"/>
                <w:szCs w:val="18"/>
                <w:lang w:eastAsia="el-GR"/>
              </w:rPr>
            </w:pPr>
            <w:r w:rsidRPr="0055063C">
              <w:rPr>
                <w:rFonts w:eastAsia="Times New Roman" w:cs="Calibri"/>
                <w:b/>
                <w:bCs/>
                <w:color w:val="000000"/>
                <w:sz w:val="18"/>
                <w:szCs w:val="18"/>
                <w:lang w:val="en-US" w:eastAsia="el-GR"/>
              </w:rPr>
              <w:t>Μεταβολή πραγματικού ΑΕΠ</w:t>
            </w:r>
          </w:p>
        </w:tc>
        <w:tc>
          <w:tcPr>
            <w:tcW w:w="963" w:type="dxa"/>
            <w:tcBorders>
              <w:top w:val="nil"/>
              <w:left w:val="nil"/>
              <w:bottom w:val="single" w:sz="12" w:space="0" w:color="auto"/>
              <w:right w:val="nil"/>
            </w:tcBorders>
            <w:shd w:val="clear" w:color="auto" w:fill="auto"/>
            <w:vAlign w:val="center"/>
            <w:hideMark/>
          </w:tcPr>
          <w:p w14:paraId="7FE36FE8" w14:textId="77777777" w:rsidR="0055063C" w:rsidRPr="0055063C" w:rsidRDefault="0055063C" w:rsidP="0055063C">
            <w:pPr>
              <w:spacing w:after="0" w:line="240" w:lineRule="auto"/>
              <w:jc w:val="center"/>
              <w:rPr>
                <w:rFonts w:eastAsia="Times New Roman" w:cs="Calibri"/>
                <w:b/>
                <w:bCs/>
                <w:color w:val="000000"/>
                <w:sz w:val="18"/>
                <w:szCs w:val="18"/>
                <w:lang w:eastAsia="el-GR"/>
              </w:rPr>
            </w:pPr>
            <w:r w:rsidRPr="0055063C">
              <w:rPr>
                <w:rFonts w:eastAsia="Times New Roman" w:cs="Calibri"/>
                <w:b/>
                <w:bCs/>
                <w:color w:val="000000"/>
                <w:sz w:val="18"/>
                <w:szCs w:val="18"/>
                <w:lang w:val="en-US" w:eastAsia="el-GR"/>
              </w:rPr>
              <w:t>1,5</w:t>
            </w:r>
          </w:p>
        </w:tc>
        <w:tc>
          <w:tcPr>
            <w:tcW w:w="963" w:type="dxa"/>
            <w:tcBorders>
              <w:top w:val="nil"/>
              <w:left w:val="nil"/>
              <w:bottom w:val="single" w:sz="12" w:space="0" w:color="auto"/>
              <w:right w:val="nil"/>
            </w:tcBorders>
            <w:shd w:val="clear" w:color="auto" w:fill="auto"/>
            <w:vAlign w:val="center"/>
            <w:hideMark/>
          </w:tcPr>
          <w:p w14:paraId="534918E8" w14:textId="77777777" w:rsidR="0055063C" w:rsidRPr="0055063C" w:rsidRDefault="0055063C" w:rsidP="0055063C">
            <w:pPr>
              <w:spacing w:after="0" w:line="240" w:lineRule="auto"/>
              <w:jc w:val="center"/>
              <w:rPr>
                <w:rFonts w:eastAsia="Times New Roman" w:cs="Calibri"/>
                <w:b/>
                <w:bCs/>
                <w:color w:val="000000"/>
                <w:sz w:val="18"/>
                <w:szCs w:val="18"/>
                <w:lang w:eastAsia="el-GR"/>
              </w:rPr>
            </w:pPr>
            <w:r w:rsidRPr="0055063C">
              <w:rPr>
                <w:rFonts w:eastAsia="Times New Roman" w:cs="Calibri"/>
                <w:b/>
                <w:bCs/>
                <w:color w:val="000000"/>
                <w:sz w:val="18"/>
                <w:szCs w:val="18"/>
                <w:lang w:val="en-US" w:eastAsia="el-GR"/>
              </w:rPr>
              <w:t>2,1</w:t>
            </w:r>
          </w:p>
        </w:tc>
        <w:tc>
          <w:tcPr>
            <w:tcW w:w="963" w:type="dxa"/>
            <w:tcBorders>
              <w:top w:val="nil"/>
              <w:left w:val="nil"/>
              <w:bottom w:val="single" w:sz="12" w:space="0" w:color="auto"/>
              <w:right w:val="nil"/>
            </w:tcBorders>
            <w:shd w:val="clear" w:color="auto" w:fill="auto"/>
            <w:vAlign w:val="center"/>
            <w:hideMark/>
          </w:tcPr>
          <w:p w14:paraId="364D5F6A" w14:textId="77777777" w:rsidR="0055063C" w:rsidRPr="0055063C" w:rsidRDefault="0055063C" w:rsidP="0055063C">
            <w:pPr>
              <w:spacing w:after="0" w:line="240" w:lineRule="auto"/>
              <w:jc w:val="center"/>
              <w:rPr>
                <w:rFonts w:eastAsia="Times New Roman" w:cs="Calibri"/>
                <w:b/>
                <w:bCs/>
                <w:color w:val="000000"/>
                <w:sz w:val="18"/>
                <w:szCs w:val="18"/>
                <w:lang w:eastAsia="el-GR"/>
              </w:rPr>
            </w:pPr>
            <w:r w:rsidRPr="0055063C">
              <w:rPr>
                <w:rFonts w:eastAsia="Times New Roman" w:cs="Calibri"/>
                <w:b/>
                <w:bCs/>
                <w:color w:val="000000"/>
                <w:sz w:val="18"/>
                <w:szCs w:val="18"/>
                <w:lang w:val="en-US" w:eastAsia="el-GR"/>
              </w:rPr>
              <w:t>-9,0</w:t>
            </w:r>
          </w:p>
        </w:tc>
        <w:tc>
          <w:tcPr>
            <w:tcW w:w="963" w:type="dxa"/>
            <w:tcBorders>
              <w:top w:val="nil"/>
              <w:left w:val="nil"/>
              <w:bottom w:val="single" w:sz="12" w:space="0" w:color="auto"/>
              <w:right w:val="nil"/>
            </w:tcBorders>
            <w:shd w:val="clear" w:color="auto" w:fill="auto"/>
            <w:vAlign w:val="center"/>
            <w:hideMark/>
          </w:tcPr>
          <w:p w14:paraId="515224E5" w14:textId="77777777" w:rsidR="0055063C" w:rsidRPr="0055063C" w:rsidRDefault="0055063C" w:rsidP="0055063C">
            <w:pPr>
              <w:spacing w:after="0" w:line="240" w:lineRule="auto"/>
              <w:jc w:val="center"/>
              <w:rPr>
                <w:rFonts w:eastAsia="Times New Roman" w:cs="Calibri"/>
                <w:b/>
                <w:bCs/>
                <w:color w:val="000000"/>
                <w:sz w:val="18"/>
                <w:szCs w:val="18"/>
                <w:lang w:eastAsia="el-GR"/>
              </w:rPr>
            </w:pPr>
            <w:r w:rsidRPr="0055063C">
              <w:rPr>
                <w:rFonts w:eastAsia="Times New Roman" w:cs="Calibri"/>
                <w:b/>
                <w:bCs/>
                <w:color w:val="000000"/>
                <w:sz w:val="18"/>
                <w:szCs w:val="18"/>
                <w:lang w:eastAsia="el-GR"/>
              </w:rPr>
              <w:t>6,9</w:t>
            </w:r>
          </w:p>
        </w:tc>
        <w:tc>
          <w:tcPr>
            <w:tcW w:w="963" w:type="dxa"/>
            <w:tcBorders>
              <w:top w:val="nil"/>
              <w:left w:val="nil"/>
              <w:bottom w:val="single" w:sz="12" w:space="0" w:color="auto"/>
              <w:right w:val="nil"/>
            </w:tcBorders>
            <w:shd w:val="clear" w:color="auto" w:fill="auto"/>
            <w:vAlign w:val="center"/>
            <w:hideMark/>
          </w:tcPr>
          <w:p w14:paraId="575E58A8" w14:textId="77777777" w:rsidR="0055063C" w:rsidRPr="0055063C" w:rsidRDefault="0055063C" w:rsidP="0055063C">
            <w:pPr>
              <w:spacing w:after="0" w:line="240" w:lineRule="auto"/>
              <w:jc w:val="center"/>
              <w:rPr>
                <w:rFonts w:eastAsia="Times New Roman" w:cs="Calibri"/>
                <w:b/>
                <w:bCs/>
                <w:color w:val="000000"/>
                <w:sz w:val="18"/>
                <w:szCs w:val="18"/>
                <w:lang w:eastAsia="el-GR"/>
              </w:rPr>
            </w:pPr>
            <w:r w:rsidRPr="0055063C">
              <w:rPr>
                <w:rFonts w:eastAsia="Times New Roman" w:cs="Calibri"/>
                <w:b/>
                <w:bCs/>
                <w:color w:val="000000"/>
                <w:sz w:val="18"/>
                <w:szCs w:val="18"/>
                <w:lang w:eastAsia="el-GR"/>
              </w:rPr>
              <w:t>4,5</w:t>
            </w:r>
          </w:p>
        </w:tc>
      </w:tr>
    </w:tbl>
    <w:p w14:paraId="0D4D4F5D" w14:textId="20535973" w:rsidR="0055063C" w:rsidRDefault="0055063C" w:rsidP="0055063C">
      <w:pPr>
        <w:spacing w:after="0" w:line="240" w:lineRule="auto"/>
        <w:rPr>
          <w:rFonts w:eastAsia="Calibri" w:cs="Times New Roman"/>
          <w:color w:val="00A3E0"/>
          <w:sz w:val="20"/>
          <w:szCs w:val="20"/>
        </w:rPr>
      </w:pPr>
      <w:r w:rsidRPr="00F360C9">
        <w:rPr>
          <w:rFonts w:eastAsia="Calibri" w:cs="Times New Roman"/>
          <w:color w:val="7F7F7F" w:themeColor="text1" w:themeTint="80"/>
          <w:sz w:val="18"/>
          <w:szCs w:val="18"/>
        </w:rPr>
        <w:t xml:space="preserve">Πηγή: </w:t>
      </w:r>
      <w:r w:rsidRPr="00D25A31">
        <w:rPr>
          <w:rFonts w:eastAsia="Calibri" w:cs="Times New Roman"/>
          <w:color w:val="00A3E0"/>
          <w:sz w:val="18"/>
          <w:szCs w:val="18"/>
        </w:rPr>
        <w:t>ΓΛΚ - δελτίο εκτέλεσης Κρατικού Προϋπολογισμού, προσχέδ</w:t>
      </w:r>
      <w:r>
        <w:rPr>
          <w:rFonts w:eastAsia="Calibri" w:cs="Times New Roman"/>
          <w:color w:val="00A3E0"/>
          <w:sz w:val="18"/>
          <w:szCs w:val="18"/>
        </w:rPr>
        <w:t>ιο Κρατικού Προϋπολογισμού 2022</w:t>
      </w:r>
      <w:r w:rsidRPr="00D25A31">
        <w:rPr>
          <w:rFonts w:eastAsia="Calibri" w:cs="Times New Roman"/>
          <w:color w:val="00A3E0"/>
          <w:sz w:val="18"/>
          <w:szCs w:val="18"/>
        </w:rPr>
        <w:t>, υπολογισμοί ΕΔΣ. * Εκτιμήσεις , ** Προβλέψεις</w:t>
      </w:r>
    </w:p>
    <w:p w14:paraId="23710C98" w14:textId="77777777" w:rsidR="0055063C" w:rsidRDefault="0055063C" w:rsidP="0055063C">
      <w:pPr>
        <w:spacing w:after="0" w:line="240" w:lineRule="auto"/>
        <w:rPr>
          <w:rFonts w:eastAsia="Calibri" w:cs="Times New Roman"/>
          <w:color w:val="00A3E0"/>
          <w:sz w:val="20"/>
          <w:szCs w:val="20"/>
        </w:rPr>
      </w:pPr>
    </w:p>
    <w:p w14:paraId="16EAAE5D" w14:textId="77777777" w:rsidR="0055063C" w:rsidRDefault="0055063C" w:rsidP="0055063C">
      <w:pPr>
        <w:spacing w:after="0" w:line="240" w:lineRule="auto"/>
        <w:rPr>
          <w:rFonts w:eastAsia="Calibri" w:cs="Times New Roman"/>
          <w:color w:val="00A3E0"/>
          <w:sz w:val="20"/>
          <w:szCs w:val="20"/>
        </w:rPr>
      </w:pPr>
    </w:p>
    <w:p w14:paraId="7A53326B" w14:textId="77777777" w:rsidR="0055063C" w:rsidRDefault="0055063C" w:rsidP="0055063C">
      <w:pPr>
        <w:spacing w:after="0" w:line="240" w:lineRule="auto"/>
        <w:rPr>
          <w:rFonts w:eastAsia="Calibri" w:cs="Times New Roman"/>
          <w:color w:val="00A3E0"/>
          <w:sz w:val="20"/>
          <w:szCs w:val="20"/>
        </w:rPr>
      </w:pPr>
    </w:p>
    <w:p w14:paraId="7D20B255" w14:textId="3AA607A0" w:rsidR="00D25A31" w:rsidRPr="00D25A31" w:rsidRDefault="0027772F" w:rsidP="00D25A31">
      <w:pPr>
        <w:spacing w:after="120"/>
        <w:rPr>
          <w:rFonts w:eastAsia="Calibri" w:cs="Times New Roman"/>
          <w:color w:val="auto"/>
        </w:rPr>
      </w:pPr>
      <w:bookmarkStart w:id="164" w:name="_Hlk86859867"/>
      <w:r>
        <w:rPr>
          <w:rFonts w:eastAsia="Calibri" w:cs="Times New Roman"/>
          <w:color w:val="auto"/>
        </w:rPr>
        <w:t>Σ</w:t>
      </w:r>
      <w:r w:rsidR="00D25A31" w:rsidRPr="00D25A31">
        <w:rPr>
          <w:rFonts w:eastAsia="Calibri" w:cs="Times New Roman"/>
          <w:color w:val="auto"/>
        </w:rPr>
        <w:t xml:space="preserve">ημαντικό μέρος της απώλειας των φορολογικών εσόδων </w:t>
      </w:r>
      <w:r>
        <w:rPr>
          <w:rFonts w:eastAsia="Calibri" w:cs="Times New Roman"/>
          <w:color w:val="auto"/>
        </w:rPr>
        <w:t>οφείλεται</w:t>
      </w:r>
      <w:r w:rsidR="00D25A31" w:rsidRPr="00D25A31">
        <w:rPr>
          <w:rFonts w:eastAsia="Calibri" w:cs="Times New Roman"/>
          <w:color w:val="auto"/>
        </w:rPr>
        <w:t xml:space="preserve"> </w:t>
      </w:r>
      <w:r>
        <w:rPr>
          <w:rFonts w:eastAsia="Calibri" w:cs="Times New Roman"/>
          <w:color w:val="auto"/>
        </w:rPr>
        <w:t>στ</w:t>
      </w:r>
      <w:r w:rsidR="00D25A31" w:rsidRPr="00D25A31">
        <w:rPr>
          <w:rFonts w:eastAsia="Calibri" w:cs="Times New Roman"/>
          <w:color w:val="auto"/>
        </w:rPr>
        <w:t xml:space="preserve">ην έμμεση φορολογία. </w:t>
      </w:r>
      <w:r>
        <w:rPr>
          <w:rFonts w:eastAsia="Calibri" w:cs="Times New Roman"/>
          <w:color w:val="auto"/>
        </w:rPr>
        <w:t xml:space="preserve">Οι </w:t>
      </w:r>
      <w:r w:rsidR="00D25A31" w:rsidRPr="00D25A31">
        <w:rPr>
          <w:rFonts w:eastAsia="Calibri" w:cs="Times New Roman"/>
          <w:color w:val="auto"/>
        </w:rPr>
        <w:t>απώλει</w:t>
      </w:r>
      <w:r>
        <w:rPr>
          <w:rFonts w:eastAsia="Calibri" w:cs="Times New Roman"/>
          <w:color w:val="auto"/>
        </w:rPr>
        <w:t>ες</w:t>
      </w:r>
      <w:r w:rsidR="00D25A31" w:rsidRPr="00D25A31">
        <w:rPr>
          <w:rFonts w:eastAsia="Calibri" w:cs="Times New Roman"/>
          <w:color w:val="auto"/>
        </w:rPr>
        <w:t xml:space="preserve"> από φόρους κατανάλωσης αν</w:t>
      </w:r>
      <w:r w:rsidR="0055063C">
        <w:rPr>
          <w:rFonts w:eastAsia="Calibri" w:cs="Times New Roman"/>
          <w:color w:val="auto"/>
        </w:rPr>
        <w:t>ήλθ</w:t>
      </w:r>
      <w:r>
        <w:rPr>
          <w:rFonts w:eastAsia="Calibri" w:cs="Times New Roman"/>
          <w:color w:val="auto"/>
        </w:rPr>
        <w:t>αν</w:t>
      </w:r>
      <w:r w:rsidR="0055063C">
        <w:rPr>
          <w:rFonts w:eastAsia="Calibri" w:cs="Times New Roman"/>
          <w:color w:val="auto"/>
        </w:rPr>
        <w:t xml:space="preserve"> το 2020 στα 3,65 δισ. ευρώ, </w:t>
      </w:r>
      <w:r w:rsidR="00D25A31" w:rsidRPr="00D25A31">
        <w:rPr>
          <w:rFonts w:eastAsia="Calibri" w:cs="Times New Roman"/>
          <w:color w:val="auto"/>
        </w:rPr>
        <w:t xml:space="preserve">ενώ </w:t>
      </w:r>
      <w:r w:rsidR="0055063C">
        <w:rPr>
          <w:rFonts w:eastAsia="Calibri" w:cs="Times New Roman"/>
          <w:color w:val="auto"/>
        </w:rPr>
        <w:t>η</w:t>
      </w:r>
      <w:r w:rsidR="00D25A31" w:rsidRPr="00D25A31">
        <w:rPr>
          <w:rFonts w:eastAsia="Calibri" w:cs="Times New Roman"/>
          <w:color w:val="auto"/>
        </w:rPr>
        <w:t xml:space="preserve"> καλύτερη μακροοικονομική επίδοση το 2021</w:t>
      </w:r>
      <w:r w:rsidR="0055063C">
        <w:rPr>
          <w:rFonts w:eastAsia="Calibri" w:cs="Times New Roman"/>
          <w:color w:val="auto"/>
        </w:rPr>
        <w:t>,</w:t>
      </w:r>
      <w:r w:rsidR="00D25A31" w:rsidRPr="00D25A31">
        <w:rPr>
          <w:rFonts w:eastAsia="Calibri" w:cs="Times New Roman"/>
          <w:color w:val="auto"/>
        </w:rPr>
        <w:t xml:space="preserve"> που σχετίζεται και με την αυξημένη ιδιωτική κατανάλωση</w:t>
      </w:r>
      <w:r w:rsidR="0055063C">
        <w:rPr>
          <w:rFonts w:eastAsia="Calibri" w:cs="Times New Roman"/>
          <w:color w:val="auto"/>
        </w:rPr>
        <w:t>,</w:t>
      </w:r>
      <w:r w:rsidR="00D25A31" w:rsidRPr="00D25A31">
        <w:rPr>
          <w:rFonts w:eastAsia="Calibri" w:cs="Times New Roman"/>
          <w:color w:val="auto"/>
        </w:rPr>
        <w:t xml:space="preserve"> αλλά και τον υψηλότερο αριθμό τουριστικών αφίξεων,  οδηγεί σε υψηλότερα έσοδα από φόρους κατανάλωσης σε σχέση με 2020 κατά περίπου 2 δισ. ευρώ. </w:t>
      </w:r>
      <w:bookmarkEnd w:id="164"/>
      <w:r w:rsidR="00D25A31" w:rsidRPr="00D25A31">
        <w:rPr>
          <w:rFonts w:eastAsia="Calibri" w:cs="Times New Roman"/>
          <w:color w:val="auto"/>
        </w:rPr>
        <w:t>Οι φόροι περιουσίας παρουσιάζουν διαχρονικά  σταθερότητα καθώς είναι σε μεγάλο βαθμό ανεπηρέαστοι από την οικονομική ύφεση. Οι φόροι εισοδήματος φυσικών προσώπων μειώθηκαν κατά 686 εκ. ευρώ το 2020</w:t>
      </w:r>
      <w:r w:rsidR="0055063C">
        <w:rPr>
          <w:rFonts w:eastAsia="Calibri" w:cs="Times New Roman"/>
          <w:color w:val="auto"/>
        </w:rPr>
        <w:t>,</w:t>
      </w:r>
      <w:r w:rsidR="00D25A31" w:rsidRPr="00D25A31">
        <w:rPr>
          <w:rFonts w:eastAsia="Calibri" w:cs="Times New Roman"/>
          <w:color w:val="auto"/>
        </w:rPr>
        <w:t xml:space="preserve"> ενώ το 2021 αναμένεται μια </w:t>
      </w:r>
      <w:r>
        <w:rPr>
          <w:rFonts w:eastAsia="Calibri" w:cs="Times New Roman"/>
          <w:color w:val="auto"/>
        </w:rPr>
        <w:t>περαιτέρω</w:t>
      </w:r>
      <w:r w:rsidR="00D25A31" w:rsidRPr="00D25A31">
        <w:rPr>
          <w:rFonts w:eastAsia="Calibri" w:cs="Times New Roman"/>
          <w:color w:val="auto"/>
        </w:rPr>
        <w:t xml:space="preserve"> επιδείνωση κατά 774 εκ. ευρώ. παρά την προσδοκώμενη θετική μεταβολή του ΑΕΠ. Επίσης, μειωμένα σε σχέση με το 2020 θα είναι το 2021 και τα έσοδα από τον φόρο εισοδήματος νομικών προσώπων. Οι υπόλοιπες κατηγορίες φορολογικών εσόδων δεν παρουσιάζουν κάποια ιδιαίτερη μεταβλητότητα. </w:t>
      </w:r>
    </w:p>
    <w:p w14:paraId="6A6655C5" w14:textId="51561BBC" w:rsidR="00D25A31" w:rsidRPr="00D25A31" w:rsidRDefault="00D25A31" w:rsidP="00D25A31">
      <w:pPr>
        <w:spacing w:after="120"/>
        <w:rPr>
          <w:rFonts w:eastAsia="Calibri" w:cs="Times New Roman"/>
          <w:color w:val="auto"/>
        </w:rPr>
      </w:pPr>
      <w:r w:rsidRPr="00D25A31">
        <w:rPr>
          <w:rFonts w:eastAsia="Calibri" w:cs="Times New Roman"/>
          <w:color w:val="auto"/>
        </w:rPr>
        <w:t>Παρά την αναμενόμενη αύξηση των φορολογικών εσόδων το 2021 κατά  929 εκ. ευρώ σε σχέση με το 2020, γεγονός που</w:t>
      </w:r>
      <w:r w:rsidR="0055063C">
        <w:rPr>
          <w:rFonts w:eastAsia="Calibri" w:cs="Times New Roman"/>
          <w:color w:val="auto"/>
        </w:rPr>
        <w:t>,</w:t>
      </w:r>
      <w:r w:rsidRPr="00D25A31">
        <w:rPr>
          <w:rFonts w:eastAsia="Calibri" w:cs="Times New Roman"/>
          <w:color w:val="auto"/>
        </w:rPr>
        <w:t xml:space="preserve"> </w:t>
      </w:r>
      <w:r w:rsidR="0055063C" w:rsidRPr="00D25A31">
        <w:rPr>
          <w:rFonts w:eastAsia="Calibri" w:cs="Times New Roman"/>
          <w:color w:val="auto"/>
        </w:rPr>
        <w:t>όπως προαναφέρθηκε</w:t>
      </w:r>
      <w:r w:rsidR="0055063C">
        <w:rPr>
          <w:rFonts w:eastAsia="Calibri" w:cs="Times New Roman"/>
          <w:color w:val="auto"/>
        </w:rPr>
        <w:t>,</w:t>
      </w:r>
      <w:r w:rsidR="0055063C" w:rsidRPr="00D25A31">
        <w:rPr>
          <w:rFonts w:eastAsia="Calibri" w:cs="Times New Roman"/>
          <w:color w:val="auto"/>
        </w:rPr>
        <w:t xml:space="preserve"> </w:t>
      </w:r>
      <w:r w:rsidRPr="00D25A31">
        <w:rPr>
          <w:rFonts w:eastAsia="Calibri" w:cs="Times New Roman"/>
          <w:color w:val="auto"/>
        </w:rPr>
        <w:t xml:space="preserve">αποδίδεται κατά κύριο λόγο στους φόρους κατανάλωσης, τα συνολικά έσοδα του ΚΠ παρουσιάζονται μειωμένα το 2021 συγκρινόμενα με το 2020 παρά την αύξηση του ΑΕΠ. Αυτό οφείλεται στα μειωμένα έσοδα από τις άλλες πηγές και κυρίως από τα διαρθρωτικά ταμεία τα οποία ναι μεν στήριξαν σε μεγάλο βαθμό τον κρατικό προϋπολογισμό το 2020 αντισταθμίζοντας έτσι και την μεγάλη μείωση των φορολογικών εσόδων, το 2021 όμως περιορίστηκαν σημαντικά. Πιο συγκεκριμένα, τα έσοδα από το ΠΔΕ ανήλθαν το 2020 στα 6,8 δισ. ενώ αναμένεται να διαμορφωθούν στα 4,8 δισ. το 2021. </w:t>
      </w:r>
    </w:p>
    <w:p w14:paraId="72F5602C" w14:textId="4E650D1A" w:rsidR="00D25A31" w:rsidRDefault="00D25A31" w:rsidP="00D25A31">
      <w:pPr>
        <w:spacing w:after="120"/>
        <w:rPr>
          <w:rFonts w:eastAsia="Calibri" w:cs="Times New Roman"/>
          <w:color w:val="auto"/>
        </w:rPr>
      </w:pPr>
    </w:p>
    <w:p w14:paraId="15B47298" w14:textId="77777777" w:rsidR="0055063C" w:rsidRPr="00D25A31" w:rsidRDefault="0055063C" w:rsidP="00D25A31">
      <w:pPr>
        <w:spacing w:after="120"/>
        <w:rPr>
          <w:rFonts w:eastAsia="Calibri" w:cs="Times New Roman"/>
          <w:color w:val="auto"/>
        </w:rPr>
      </w:pPr>
    </w:p>
    <w:p w14:paraId="4A77709E" w14:textId="77777777" w:rsidR="00D25A31" w:rsidRPr="00D25A31" w:rsidRDefault="00D25A31" w:rsidP="00D25A31">
      <w:pPr>
        <w:pStyle w:val="a1"/>
        <w:numPr>
          <w:ilvl w:val="1"/>
          <w:numId w:val="3"/>
        </w:numPr>
        <w:ind w:left="0"/>
        <w:rPr>
          <w:color w:val="00B0F0"/>
          <w:sz w:val="28"/>
          <w:szCs w:val="28"/>
        </w:rPr>
      </w:pPr>
      <w:bookmarkStart w:id="165" w:name="_Toc89172844"/>
      <w:r w:rsidRPr="00D25A31">
        <w:rPr>
          <w:color w:val="00B0F0"/>
          <w:sz w:val="28"/>
          <w:szCs w:val="28"/>
        </w:rPr>
        <w:lastRenderedPageBreak/>
        <w:t>Δημοσιονομικές προβλέψεις για το 2022</w:t>
      </w:r>
      <w:bookmarkEnd w:id="165"/>
    </w:p>
    <w:p w14:paraId="4DFEEE98" w14:textId="77777777" w:rsidR="0027772F" w:rsidRPr="0027772F" w:rsidRDefault="0027772F" w:rsidP="0027772F">
      <w:pPr>
        <w:spacing w:after="120"/>
        <w:rPr>
          <w:rFonts w:eastAsia="Calibri" w:cs="Times New Roman"/>
          <w:color w:val="auto"/>
        </w:rPr>
      </w:pPr>
      <w:r w:rsidRPr="0027772F">
        <w:rPr>
          <w:rFonts w:eastAsia="Calibri" w:cs="Times New Roman"/>
          <w:color w:val="auto"/>
        </w:rPr>
        <w:t xml:space="preserve">Σύμφωνα με το προσχέδιο το Κρατικού Προϋπολογισμού, το αποτέλεσμα της Γενικής Κυβέρνησης προβλέπεται να είναι ελλειμματικό και να διαμορφωθεί σε έλλειμμα 6,7 δισ.  ευρώ στο οποίο αντιστοιχεί πρωτογενές έλλειμμα της τάξης των 2 δισ. ευρώ και -1,09 % ως ποσοστό του ΑΕΠ. </w:t>
      </w:r>
    </w:p>
    <w:p w14:paraId="481421C6" w14:textId="77777777" w:rsidR="0027772F" w:rsidRPr="0027772F" w:rsidRDefault="0027772F" w:rsidP="0027772F">
      <w:pPr>
        <w:spacing w:after="120"/>
        <w:rPr>
          <w:rFonts w:eastAsia="Calibri" w:cs="Times New Roman"/>
          <w:color w:val="auto"/>
        </w:rPr>
      </w:pPr>
      <w:r w:rsidRPr="0027772F">
        <w:rPr>
          <w:rFonts w:eastAsia="Calibri" w:cs="Times New Roman"/>
          <w:color w:val="auto"/>
        </w:rPr>
        <w:t xml:space="preserve">Τα συνολικά έσοδα του Κρατικού Προϋπολογισμού αναμένονται αυξημένα κατά 4,85 δισ. ευρώ σε σχέση με το 2021 γεγονός που αποδίδεται κυρίως στην προβλεπόμενη αύξηση των εσόδων από έμμεσους φόρους κατά 2,2 δισ. ευρώ, των φόρων εισοδήματος φυσικών προσώπων κατά 651 εκατ. ευρώ, και των εσόδων από φόρους εισοδήματος νομικών προσώπων κατά 1,2 δισ. ευρώ. Οι προβλέψεις αυτές αξιολογούνται ως εύλογες, εφόσον η συνολική μεταβολή του πραγματικού ΑΕΠ φθάσει το  4,5 % και αυξηθεί η ιδιωτική κατανάλωση κατά 3%. </w:t>
      </w:r>
    </w:p>
    <w:p w14:paraId="476079A1" w14:textId="611F8B74" w:rsidR="0027772F" w:rsidRPr="0027772F" w:rsidRDefault="0027772F" w:rsidP="0027772F">
      <w:pPr>
        <w:spacing w:after="120"/>
        <w:rPr>
          <w:rFonts w:eastAsia="Calibri" w:cs="Times New Roman"/>
          <w:color w:val="auto"/>
        </w:rPr>
      </w:pPr>
      <w:r w:rsidRPr="0027772F">
        <w:rPr>
          <w:rFonts w:eastAsia="Calibri" w:cs="Times New Roman"/>
          <w:color w:val="auto"/>
        </w:rPr>
        <w:t>Αντίστοιχα,  οι δαπάνες του Κρατικού Προϋπολογισμού  σε σχέση με το 2021 προϋπολογίζεται να μειωθούν κατά 6,3 δισ. ευρώ, καθώς τα μέτρα στήριξης της οικονομίας που τέθηκαν σε εφαρμογή περιορίζονται σε μεγάλο βαθμό. Οι μεταβιβάσεις από τον Κρατικό Προϋπολογισμού προς τη Γενική Κυβέρνηση θα μειωθούν σε μεγαλύτερο βαθμό (κατά 7,8 δισ. ευρώ), ενώ θα παρουσιάσουν αύξηση οι  πιστώσεις υπό κατανομή λόγω της συμπερ</w:t>
      </w:r>
      <w:r w:rsidR="00791466">
        <w:rPr>
          <w:rFonts w:eastAsia="Calibri" w:cs="Times New Roman"/>
          <w:color w:val="auto"/>
        </w:rPr>
        <w:t>ίληψης των εκταμιεύσεων από το Ταμείο Ανάκαμψης και Α</w:t>
      </w:r>
      <w:r w:rsidRPr="0027772F">
        <w:rPr>
          <w:rFonts w:eastAsia="Calibri" w:cs="Times New Roman"/>
          <w:color w:val="auto"/>
        </w:rPr>
        <w:t xml:space="preserve">νθεκτικότητας, καθώς και οι δαπάνες για αγορές παγίων λόγω εξοπλιστικών προγραμμάτων. </w:t>
      </w:r>
    </w:p>
    <w:p w14:paraId="5B26E104" w14:textId="77777777" w:rsidR="0027772F" w:rsidRPr="0027772F" w:rsidRDefault="0027772F" w:rsidP="0027772F">
      <w:pPr>
        <w:spacing w:after="120"/>
        <w:rPr>
          <w:rFonts w:eastAsia="Calibri" w:cs="Times New Roman"/>
          <w:color w:val="auto"/>
        </w:rPr>
      </w:pPr>
      <w:r w:rsidRPr="0027772F">
        <w:rPr>
          <w:rFonts w:eastAsia="Calibri" w:cs="Times New Roman"/>
          <w:color w:val="auto"/>
        </w:rPr>
        <w:t xml:space="preserve">Λαμβάνοντας ως αφετηρία την προσδοκώμενη επάνοδο στη οικονομική κανονικότητα, όπως αυτή αποτυπώνεται στα μεγέθη του προσχεδίου του προϋπολογισμού, ενδιαφέρον παρουσιάζει η σύγκριση των δημοσιονομικών μεγεθών του 2022 με τα δημοσιονομικά μεγέθη του 2019. Τούτο διότι αφενός το 2019 υπήρξε το τελευταίο οικονομικό έτος όπου δεν παρατηρήθηκαν εξωγενείς διαταραχές στη δημοσιονομική διαχείριση, αφετέρου δε ο βασικός στόχος για πρωτογενές πλεόνασμα στο πλαίσιο ενισχυμένης εποπτείας υπερκαλύφθηκε. </w:t>
      </w:r>
    </w:p>
    <w:p w14:paraId="67C2C2A1" w14:textId="7D9333E3" w:rsidR="00D25A31" w:rsidRPr="00D25A31" w:rsidRDefault="0027772F" w:rsidP="0027772F">
      <w:pPr>
        <w:spacing w:after="120"/>
        <w:rPr>
          <w:rFonts w:eastAsia="Calibri" w:cs="Times New Roman"/>
          <w:color w:val="auto"/>
        </w:rPr>
      </w:pPr>
      <w:r w:rsidRPr="0027772F">
        <w:rPr>
          <w:rFonts w:eastAsia="Calibri" w:cs="Times New Roman"/>
          <w:color w:val="auto"/>
        </w:rPr>
        <w:t>Τα έσοδα από έμμεσους φόρους το 2022 προβλέπεται να ανέλθουν στα 28,4 δισ. ευρώ ξεπερνώντας τα αντίστοιχα έσοδα του 2019 κατά 600 εκ. ευρώ, λόγω του μεγαλύτερου ονομαστικού ΑΕΠ. Τα έσοδα όμως από φόρους εισοδήματος (κάθε είδους) παρουσιάζονται μειωμένα κατά 1,6 δισ. ευρώ, παρά την αξιοσημείωτη ανάκαμψη της οικονομίας. Αυτό μπορεί να αποδοθεί εν μέρει στην κατάργηση της εισφοράς αλληλεγγύης (για τους εργαζόμενους στον ιδιωτικό τομέα) η οποία θα συνεχιστεί και για το 2022, αποστερώντας από τον κρατικό προϋπολογισμό περίπου 800 εκ. ευρώ. Επίσης προς την παραπάνω κατεύθυνση επενεργεί η μείωση του φόρου εισοδήματος νομικών προσώπων κατά δύο ποσοστιαίες μονάδες (από 24% σε 22%)</w:t>
      </w:r>
      <w:r w:rsidR="00D25A31" w:rsidRPr="00D25A31">
        <w:rPr>
          <w:rFonts w:eastAsia="Calibri" w:cs="Times New Roman"/>
          <w:color w:val="auto"/>
        </w:rPr>
        <w:t xml:space="preserve">. </w:t>
      </w:r>
    </w:p>
    <w:p w14:paraId="35B17B26" w14:textId="2FC8C46A" w:rsidR="00D25A31" w:rsidRPr="00D25A31" w:rsidRDefault="00D25A31" w:rsidP="00702B0F">
      <w:pPr>
        <w:spacing w:after="120"/>
        <w:rPr>
          <w:rFonts w:eastAsia="Calibri" w:cs="Times New Roman"/>
          <w:color w:val="auto"/>
        </w:rPr>
      </w:pPr>
      <w:r w:rsidRPr="00D25A31">
        <w:rPr>
          <w:rFonts w:eastAsia="Calibri" w:cs="Times New Roman"/>
          <w:color w:val="auto"/>
        </w:rPr>
        <w:t xml:space="preserve">Σε σχέση με τις δαπάνες, η σύγκριση του 2019 με τον προϋπολογισμό του 2022 </w:t>
      </w:r>
      <w:r w:rsidR="0027772F">
        <w:rPr>
          <w:rFonts w:eastAsia="Calibri" w:cs="Times New Roman"/>
          <w:color w:val="auto"/>
        </w:rPr>
        <w:t>δείχνει</w:t>
      </w:r>
      <w:r w:rsidRPr="00D25A31">
        <w:rPr>
          <w:rFonts w:eastAsia="Calibri" w:cs="Times New Roman"/>
          <w:color w:val="auto"/>
        </w:rPr>
        <w:t xml:space="preserve">: </w:t>
      </w:r>
    </w:p>
    <w:p w14:paraId="74CE206A" w14:textId="27909D3F" w:rsidR="00D25A31" w:rsidRPr="00D25A31" w:rsidRDefault="00D25A31" w:rsidP="00403469">
      <w:pPr>
        <w:numPr>
          <w:ilvl w:val="0"/>
          <w:numId w:val="38"/>
        </w:numPr>
        <w:spacing w:after="120"/>
        <w:contextualSpacing/>
        <w:rPr>
          <w:rFonts w:eastAsia="Calibri" w:cs="Times New Roman"/>
          <w:color w:val="auto"/>
        </w:rPr>
      </w:pPr>
      <w:r w:rsidRPr="00D25A31">
        <w:rPr>
          <w:rFonts w:eastAsia="Calibri" w:cs="Times New Roman"/>
          <w:color w:val="auto"/>
        </w:rPr>
        <w:t>Υψηλότερο μισθολογικό κόστος της Γενική</w:t>
      </w:r>
      <w:r w:rsidR="00403469">
        <w:rPr>
          <w:rFonts w:eastAsia="Calibri" w:cs="Times New Roman"/>
          <w:color w:val="auto"/>
        </w:rPr>
        <w:t>ς Κυβέρνησης κατά 843 εκ. ευρώ</w:t>
      </w:r>
      <w:r w:rsidRPr="00D25A31">
        <w:rPr>
          <w:rFonts w:eastAsia="Calibri" w:cs="Times New Roman"/>
          <w:color w:val="auto"/>
        </w:rPr>
        <w:t>, εκ των οποίων περίπου 700 εκ. ευρώ. αφορούν την Κεντρική Κυβέρνηση και τα υπόλοιπα τους ΟΤΑ</w:t>
      </w:r>
      <w:r w:rsidRPr="00D25A31">
        <w:rPr>
          <w:rFonts w:eastAsia="Calibri" w:cs="Times New Roman"/>
          <w:color w:val="auto"/>
          <w:vertAlign w:val="superscript"/>
        </w:rPr>
        <w:footnoteReference w:id="31"/>
      </w:r>
      <w:r w:rsidRPr="00D25A31">
        <w:rPr>
          <w:rFonts w:eastAsia="Calibri" w:cs="Times New Roman"/>
          <w:color w:val="auto"/>
        </w:rPr>
        <w:t xml:space="preserve">. </w:t>
      </w:r>
    </w:p>
    <w:p w14:paraId="22BE8AE1" w14:textId="77777777" w:rsidR="00D25A31" w:rsidRPr="00D25A31" w:rsidRDefault="00D25A31" w:rsidP="00403469">
      <w:pPr>
        <w:numPr>
          <w:ilvl w:val="0"/>
          <w:numId w:val="38"/>
        </w:numPr>
        <w:spacing w:after="120"/>
        <w:contextualSpacing/>
        <w:rPr>
          <w:rFonts w:eastAsia="Calibri" w:cs="Times New Roman"/>
          <w:color w:val="auto"/>
        </w:rPr>
      </w:pPr>
      <w:r w:rsidRPr="00D25A31">
        <w:rPr>
          <w:rFonts w:eastAsia="Calibri" w:cs="Times New Roman"/>
          <w:color w:val="auto"/>
        </w:rPr>
        <w:lastRenderedPageBreak/>
        <w:t xml:space="preserve">Αύξηση των μεταβιβάσεων κατά 1,3 δισ. ευρώ ως αποτέλεσμα της διατήρησης κάποιων μέτρων στήριξης της πραγματικής οικονομίας. </w:t>
      </w:r>
    </w:p>
    <w:p w14:paraId="02E2A3B2" w14:textId="5BBEBECD" w:rsidR="00D25A31" w:rsidRPr="00D25A31" w:rsidRDefault="00D25A31" w:rsidP="00403469">
      <w:pPr>
        <w:numPr>
          <w:ilvl w:val="0"/>
          <w:numId w:val="38"/>
        </w:numPr>
        <w:spacing w:after="120"/>
        <w:contextualSpacing/>
        <w:rPr>
          <w:rFonts w:eastAsia="Calibri" w:cs="Times New Roman"/>
          <w:color w:val="auto"/>
        </w:rPr>
      </w:pPr>
      <w:r w:rsidRPr="00D25A31">
        <w:rPr>
          <w:rFonts w:eastAsia="Calibri" w:cs="Times New Roman"/>
          <w:color w:val="auto"/>
        </w:rPr>
        <w:t xml:space="preserve">Αύξηση των δαπανών για αγορά περιουσιακών στοιχείων κατά 901 εκ. ευρώ λόγω νέων εξοπλιστικών προγραμμάτων. </w:t>
      </w:r>
    </w:p>
    <w:p w14:paraId="4BAEA1DB" w14:textId="0E2FE881" w:rsidR="00D25A31" w:rsidRDefault="00D25A31" w:rsidP="00403469">
      <w:pPr>
        <w:numPr>
          <w:ilvl w:val="0"/>
          <w:numId w:val="38"/>
        </w:numPr>
        <w:spacing w:after="120"/>
        <w:contextualSpacing/>
        <w:rPr>
          <w:rFonts w:eastAsia="Calibri" w:cs="Times New Roman"/>
          <w:color w:val="auto"/>
        </w:rPr>
      </w:pPr>
      <w:r w:rsidRPr="00D25A31">
        <w:rPr>
          <w:rFonts w:eastAsia="Calibri" w:cs="Times New Roman"/>
          <w:color w:val="auto"/>
        </w:rPr>
        <w:t>Τέλος , αύξηση των πιστώσεων υπό κατανομή κατά 5,6 δισ. ευρώ. Η αύξηση αυτή οφείλεται κατά 3,1 δισ. ευρώ στις δαπάνες που ε</w:t>
      </w:r>
      <w:r w:rsidR="0069612F">
        <w:rPr>
          <w:rFonts w:eastAsia="Calibri" w:cs="Times New Roman"/>
          <w:color w:val="auto"/>
        </w:rPr>
        <w:t>ντάσσονται στα προγράμματα του Τ</w:t>
      </w:r>
      <w:r w:rsidRPr="00D25A31">
        <w:rPr>
          <w:rFonts w:eastAsia="Calibri" w:cs="Times New Roman"/>
          <w:color w:val="auto"/>
        </w:rPr>
        <w:t xml:space="preserve">αμείου </w:t>
      </w:r>
      <w:r w:rsidR="0069612F">
        <w:rPr>
          <w:rFonts w:eastAsia="Calibri" w:cs="Times New Roman"/>
          <w:color w:val="auto"/>
        </w:rPr>
        <w:t>Α</w:t>
      </w:r>
      <w:r w:rsidRPr="00D25A31">
        <w:rPr>
          <w:rFonts w:eastAsia="Calibri" w:cs="Times New Roman"/>
          <w:color w:val="auto"/>
        </w:rPr>
        <w:t xml:space="preserve">νάκαμψης </w:t>
      </w:r>
      <w:r w:rsidR="0027772F">
        <w:rPr>
          <w:rFonts w:eastAsia="Calibri" w:cs="Times New Roman"/>
          <w:color w:val="auto"/>
        </w:rPr>
        <w:t xml:space="preserve">και </w:t>
      </w:r>
      <w:r w:rsidR="0069612F">
        <w:rPr>
          <w:rFonts w:eastAsia="Calibri" w:cs="Times New Roman"/>
          <w:color w:val="auto"/>
        </w:rPr>
        <w:t>Α</w:t>
      </w:r>
      <w:r w:rsidRPr="00D25A31">
        <w:rPr>
          <w:rFonts w:eastAsia="Calibri" w:cs="Times New Roman"/>
          <w:color w:val="auto"/>
        </w:rPr>
        <w:t>νθεκτικότητας και αντικρίζονται από τα αντίστοιχα έσοδα.   Οι δε δαπάνες του ΠΔΕ εμφανίζονται αυξημένες κατά 1,2 δισ. ευρώ σε σχέση με τις πραγματοποι</w:t>
      </w:r>
      <w:r w:rsidR="0027772F">
        <w:rPr>
          <w:rFonts w:eastAsia="Calibri" w:cs="Times New Roman"/>
          <w:color w:val="auto"/>
        </w:rPr>
        <w:t>η</w:t>
      </w:r>
      <w:r w:rsidRPr="00D25A31">
        <w:rPr>
          <w:rFonts w:eastAsia="Calibri" w:cs="Times New Roman"/>
          <w:color w:val="auto"/>
        </w:rPr>
        <w:t xml:space="preserve">θείσες το 2019 ενώ το υπόλοιπο 1,2 δισ. ευρώ κατανέμεται κυρίως στο γενικό αποθεματικό. </w:t>
      </w:r>
    </w:p>
    <w:p w14:paraId="036B22F7" w14:textId="77777777" w:rsidR="00403469" w:rsidRPr="00D25A31" w:rsidRDefault="00403469" w:rsidP="00403469">
      <w:pPr>
        <w:spacing w:after="120"/>
        <w:ind w:left="720"/>
        <w:contextualSpacing/>
        <w:rPr>
          <w:rFonts w:eastAsia="Calibri" w:cs="Times New Roman"/>
          <w:color w:val="auto"/>
        </w:rPr>
      </w:pPr>
    </w:p>
    <w:p w14:paraId="05841F43" w14:textId="1039D43B" w:rsidR="00D25A31" w:rsidRDefault="00D25A31" w:rsidP="00D25A31">
      <w:pPr>
        <w:spacing w:after="120"/>
        <w:rPr>
          <w:rFonts w:eastAsia="Calibri" w:cs="Times New Roman"/>
          <w:color w:val="auto"/>
        </w:rPr>
      </w:pPr>
      <w:r w:rsidRPr="00D25A31">
        <w:rPr>
          <w:rFonts w:eastAsia="Calibri" w:cs="Times New Roman"/>
          <w:color w:val="auto"/>
        </w:rPr>
        <w:t>Συνολικά</w:t>
      </w:r>
      <w:r w:rsidR="0069612F">
        <w:rPr>
          <w:rFonts w:eastAsia="Calibri" w:cs="Times New Roman"/>
          <w:color w:val="auto"/>
        </w:rPr>
        <w:t xml:space="preserve">, </w:t>
      </w:r>
      <w:r w:rsidRPr="00D25A31">
        <w:rPr>
          <w:rFonts w:eastAsia="Calibri" w:cs="Times New Roman"/>
          <w:color w:val="auto"/>
        </w:rPr>
        <w:t xml:space="preserve">η δημοσιονομική πρόβλεψη του Υπουργείου Οικονομικών </w:t>
      </w:r>
      <w:r w:rsidRPr="00D25A31">
        <w:rPr>
          <w:rFonts w:cs="Calibri"/>
          <w:color w:val="auto"/>
        </w:rPr>
        <w:t xml:space="preserve">για δημοσιονομικό έλλειμμα </w:t>
      </w:r>
      <w:r w:rsidR="00605A6E">
        <w:rPr>
          <w:rFonts w:cs="Calibri"/>
          <w:color w:val="auto"/>
        </w:rPr>
        <w:t>4,0</w:t>
      </w:r>
      <w:r w:rsidRPr="00D25A31">
        <w:rPr>
          <w:rFonts w:cs="Calibri"/>
          <w:color w:val="auto"/>
        </w:rPr>
        <w:t>% ως ποσοστό επί του ΑΕΠ</w:t>
      </w:r>
      <w:r w:rsidRPr="00D25A31">
        <w:rPr>
          <w:rFonts w:eastAsia="Calibri" w:cs="Times New Roman"/>
          <w:color w:val="auto"/>
        </w:rPr>
        <w:t xml:space="preserve"> το 2022 θεωρείται ρεαλιστική, ενώ παρεμφερείς προβλέψεις έχουν πραγματοποιήσει και διεθνείς οργανισμοί </w:t>
      </w:r>
      <w:r w:rsidRPr="0027772F">
        <w:rPr>
          <w:rFonts w:eastAsia="Calibri" w:cs="Times New Roman"/>
          <w:color w:val="auto"/>
        </w:rPr>
        <w:t>(</w:t>
      </w:r>
      <w:r w:rsidR="00403469" w:rsidRPr="0027772F">
        <w:rPr>
          <w:rFonts w:eastAsia="Calibri" w:cs="Times New Roman"/>
          <w:color w:val="auto"/>
        </w:rPr>
        <w:fldChar w:fldCharType="begin"/>
      </w:r>
      <w:r w:rsidR="00403469" w:rsidRPr="0027772F">
        <w:rPr>
          <w:rFonts w:eastAsia="Calibri" w:cs="Times New Roman"/>
          <w:color w:val="auto"/>
        </w:rPr>
        <w:instrText xml:space="preserve"> REF _Ref88231699 \h </w:instrText>
      </w:r>
      <w:r w:rsidR="0027772F" w:rsidRPr="0027772F">
        <w:rPr>
          <w:rFonts w:eastAsia="Calibri" w:cs="Times New Roman"/>
          <w:color w:val="auto"/>
        </w:rPr>
        <w:instrText xml:space="preserve"> \* MERGEFORMAT </w:instrText>
      </w:r>
      <w:r w:rsidR="00403469" w:rsidRPr="0027772F">
        <w:rPr>
          <w:rFonts w:eastAsia="Calibri" w:cs="Times New Roman"/>
          <w:color w:val="auto"/>
        </w:rPr>
      </w:r>
      <w:r w:rsidR="00403469" w:rsidRPr="0027772F">
        <w:rPr>
          <w:rFonts w:eastAsia="Calibri" w:cs="Times New Roman"/>
          <w:color w:val="auto"/>
        </w:rPr>
        <w:fldChar w:fldCharType="separate"/>
      </w:r>
      <w:r w:rsidR="0038196B" w:rsidRPr="0038196B">
        <w:rPr>
          <w:iCs/>
          <w:color w:val="auto"/>
        </w:rPr>
        <w:t xml:space="preserve">Πίνακας </w:t>
      </w:r>
      <w:r w:rsidR="0038196B" w:rsidRPr="0038196B">
        <w:rPr>
          <w:iCs/>
          <w:noProof/>
          <w:color w:val="auto"/>
        </w:rPr>
        <w:t>17</w:t>
      </w:r>
      <w:r w:rsidR="00403469" w:rsidRPr="0027772F">
        <w:rPr>
          <w:rFonts w:eastAsia="Calibri" w:cs="Times New Roman"/>
          <w:color w:val="auto"/>
        </w:rPr>
        <w:fldChar w:fldCharType="end"/>
      </w:r>
      <w:r w:rsidR="00403469" w:rsidRPr="0027772F">
        <w:rPr>
          <w:rFonts w:eastAsia="Calibri" w:cs="Times New Roman"/>
          <w:color w:val="auto"/>
        </w:rPr>
        <w:t>)</w:t>
      </w:r>
      <w:r w:rsidRPr="0027772F">
        <w:rPr>
          <w:rFonts w:eastAsia="Calibri" w:cs="Times New Roman"/>
          <w:color w:val="auto"/>
        </w:rPr>
        <w:t xml:space="preserve">. </w:t>
      </w:r>
    </w:p>
    <w:p w14:paraId="46F1904F" w14:textId="77777777" w:rsidR="00403469" w:rsidRPr="00D25A31" w:rsidRDefault="00403469" w:rsidP="00D25A31">
      <w:pPr>
        <w:spacing w:after="120"/>
        <w:rPr>
          <w:rFonts w:eastAsia="Calibri" w:cs="Times New Roman"/>
          <w:color w:val="auto"/>
        </w:rPr>
      </w:pPr>
    </w:p>
    <w:p w14:paraId="38B00982" w14:textId="7BB1BEB3" w:rsidR="00D25A31" w:rsidRPr="00D25A31" w:rsidRDefault="00403469" w:rsidP="00403469">
      <w:pPr>
        <w:shd w:val="clear" w:color="auto" w:fill="FFFFFF"/>
        <w:spacing w:after="60" w:line="240" w:lineRule="auto"/>
        <w:ind w:left="1134" w:hanging="1134"/>
        <w:rPr>
          <w:rFonts w:eastAsia="Calibri" w:cs="Times New Roman"/>
          <w:i/>
          <w:color w:val="00A3E0"/>
          <w:sz w:val="20"/>
          <w:szCs w:val="20"/>
        </w:rPr>
      </w:pPr>
      <w:bookmarkStart w:id="166" w:name="_Ref88231699"/>
      <w:bookmarkStart w:id="167" w:name="_Toc89172862"/>
      <w:r w:rsidRPr="00FD791B">
        <w:rPr>
          <w:b/>
          <w:iCs/>
          <w:color w:val="808080" w:themeColor="background1" w:themeShade="80"/>
          <w:sz w:val="20"/>
          <w:szCs w:val="20"/>
        </w:rPr>
        <w:t xml:space="preserve">Πίνακας </w:t>
      </w:r>
      <w:r w:rsidRPr="00FD791B">
        <w:rPr>
          <w:b/>
          <w:iCs/>
          <w:color w:val="808080" w:themeColor="background1" w:themeShade="80"/>
          <w:sz w:val="20"/>
          <w:szCs w:val="20"/>
        </w:rPr>
        <w:fldChar w:fldCharType="begin"/>
      </w:r>
      <w:r w:rsidRPr="00FD791B">
        <w:rPr>
          <w:b/>
          <w:iCs/>
          <w:color w:val="808080" w:themeColor="background1" w:themeShade="80"/>
          <w:sz w:val="20"/>
          <w:szCs w:val="20"/>
        </w:rPr>
        <w:instrText xml:space="preserve"> SEQ Πίνακας \* ARABIC </w:instrText>
      </w:r>
      <w:r w:rsidRPr="00FD791B">
        <w:rPr>
          <w:b/>
          <w:iCs/>
          <w:color w:val="808080" w:themeColor="background1" w:themeShade="80"/>
          <w:sz w:val="20"/>
          <w:szCs w:val="20"/>
        </w:rPr>
        <w:fldChar w:fldCharType="separate"/>
      </w:r>
      <w:r w:rsidR="0038196B">
        <w:rPr>
          <w:b/>
          <w:iCs/>
          <w:noProof/>
          <w:color w:val="808080" w:themeColor="background1" w:themeShade="80"/>
          <w:sz w:val="20"/>
          <w:szCs w:val="20"/>
        </w:rPr>
        <w:t>17</w:t>
      </w:r>
      <w:r w:rsidRPr="00FD791B">
        <w:rPr>
          <w:b/>
          <w:iCs/>
          <w:color w:val="808080" w:themeColor="background1" w:themeShade="80"/>
          <w:sz w:val="20"/>
          <w:szCs w:val="20"/>
        </w:rPr>
        <w:fldChar w:fldCharType="end"/>
      </w:r>
      <w:bookmarkEnd w:id="166"/>
      <w:r w:rsidRPr="00FD791B">
        <w:rPr>
          <w:b/>
          <w:iCs/>
          <w:color w:val="808080" w:themeColor="background1" w:themeShade="80"/>
          <w:sz w:val="20"/>
          <w:szCs w:val="20"/>
        </w:rPr>
        <w:t>:</w:t>
      </w:r>
      <w:r w:rsidRPr="00FD791B">
        <w:rPr>
          <w:b/>
          <w:iCs/>
          <w:color w:val="808080" w:themeColor="background1" w:themeShade="80"/>
        </w:rPr>
        <w:t xml:space="preserve"> </w:t>
      </w:r>
      <w:r w:rsidR="00D25A31" w:rsidRPr="00D25A31">
        <w:rPr>
          <w:rFonts w:eastAsia="Calibri" w:cs="Times New Roman"/>
          <w:color w:val="00A3E0"/>
          <w:sz w:val="20"/>
          <w:szCs w:val="20"/>
        </w:rPr>
        <w:t>Προβλέψεις για τη</w:t>
      </w:r>
      <w:r w:rsidR="0027772F">
        <w:rPr>
          <w:rFonts w:eastAsia="Calibri" w:cs="Times New Roman"/>
          <w:color w:val="00A3E0"/>
          <w:sz w:val="20"/>
          <w:szCs w:val="20"/>
        </w:rPr>
        <w:t>ν</w:t>
      </w:r>
      <w:r w:rsidR="00D25A31" w:rsidRPr="00D25A31">
        <w:rPr>
          <w:rFonts w:eastAsia="Calibri" w:cs="Times New Roman"/>
          <w:color w:val="00A3E0"/>
          <w:sz w:val="20"/>
          <w:szCs w:val="20"/>
        </w:rPr>
        <w:t xml:space="preserve"> πορεία του ελλείματος</w:t>
      </w:r>
      <w:r>
        <w:rPr>
          <w:rFonts w:eastAsia="Calibri" w:cs="Times New Roman"/>
          <w:color w:val="00A3E0"/>
          <w:sz w:val="20"/>
          <w:szCs w:val="20"/>
        </w:rPr>
        <w:t xml:space="preserve"> (ως % του ΑΕΠ)</w:t>
      </w:r>
      <w:r w:rsidR="00D25A31" w:rsidRPr="00D25A31">
        <w:rPr>
          <w:rFonts w:eastAsia="Calibri" w:cs="Times New Roman"/>
          <w:color w:val="00A3E0"/>
          <w:sz w:val="20"/>
          <w:szCs w:val="20"/>
        </w:rPr>
        <w:t xml:space="preserve">, σύμφωνα με διεθνείς </w:t>
      </w:r>
      <w:r>
        <w:rPr>
          <w:rFonts w:eastAsia="Calibri" w:cs="Times New Roman"/>
          <w:color w:val="00A3E0"/>
          <w:sz w:val="20"/>
          <w:szCs w:val="20"/>
        </w:rPr>
        <w:t>οργανισμούς</w:t>
      </w:r>
      <w:bookmarkEnd w:id="167"/>
    </w:p>
    <w:tbl>
      <w:tblPr>
        <w:tblW w:w="8574" w:type="dxa"/>
        <w:jc w:val="center"/>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2170"/>
        <w:gridCol w:w="1908"/>
        <w:gridCol w:w="2043"/>
        <w:gridCol w:w="2453"/>
      </w:tblGrid>
      <w:tr w:rsidR="00D25A31" w:rsidRPr="00D25A31" w14:paraId="372CC06A" w14:textId="77777777" w:rsidTr="00403469">
        <w:trPr>
          <w:trHeight w:val="472"/>
          <w:jc w:val="center"/>
        </w:trPr>
        <w:tc>
          <w:tcPr>
            <w:tcW w:w="2170" w:type="dxa"/>
            <w:tcBorders>
              <w:top w:val="single" w:sz="8" w:space="0" w:color="00B0F0"/>
              <w:left w:val="single" w:sz="8" w:space="0" w:color="00B0F0"/>
              <w:bottom w:val="single" w:sz="8" w:space="0" w:color="00B0F0"/>
              <w:right w:val="single" w:sz="8" w:space="0" w:color="00B0F0"/>
            </w:tcBorders>
            <w:shd w:val="clear" w:color="auto" w:fill="BDD6EE" w:themeFill="accent1" w:themeFillTint="66"/>
            <w:hideMark/>
          </w:tcPr>
          <w:p w14:paraId="54699498" w14:textId="79960323" w:rsidR="00D25A31" w:rsidRPr="00D25A31" w:rsidRDefault="00D25A31" w:rsidP="00D25A31">
            <w:pPr>
              <w:spacing w:after="0" w:line="240" w:lineRule="auto"/>
              <w:jc w:val="left"/>
              <w:rPr>
                <w:rFonts w:eastAsia="Calibri" w:cs="Times New Roman"/>
                <w:b/>
                <w:color w:val="auto"/>
                <w:sz w:val="20"/>
                <w:szCs w:val="20"/>
              </w:rPr>
            </w:pPr>
          </w:p>
        </w:tc>
        <w:tc>
          <w:tcPr>
            <w:tcW w:w="1908" w:type="dxa"/>
            <w:tcBorders>
              <w:top w:val="single" w:sz="8" w:space="0" w:color="00B0F0"/>
              <w:left w:val="single" w:sz="8" w:space="0" w:color="00B0F0"/>
              <w:bottom w:val="single" w:sz="8" w:space="0" w:color="00B0F0"/>
              <w:right w:val="single" w:sz="8" w:space="0" w:color="00B0F0"/>
            </w:tcBorders>
            <w:shd w:val="clear" w:color="auto" w:fill="BDD6EE" w:themeFill="accent1" w:themeFillTint="66"/>
            <w:hideMark/>
          </w:tcPr>
          <w:p w14:paraId="71767949" w14:textId="77777777" w:rsidR="00D25A31" w:rsidRPr="00D25A31" w:rsidRDefault="00D25A31" w:rsidP="00D25A31">
            <w:pPr>
              <w:spacing w:after="0" w:line="240" w:lineRule="auto"/>
              <w:jc w:val="left"/>
              <w:rPr>
                <w:rFonts w:eastAsia="Calibri" w:cs="Times New Roman"/>
                <w:b/>
                <w:color w:val="auto"/>
                <w:sz w:val="20"/>
                <w:szCs w:val="20"/>
              </w:rPr>
            </w:pPr>
            <w:r w:rsidRPr="00D25A31">
              <w:rPr>
                <w:rFonts w:eastAsia="Calibri" w:cs="Times New Roman"/>
                <w:b/>
                <w:color w:val="auto"/>
                <w:sz w:val="20"/>
                <w:szCs w:val="20"/>
              </w:rPr>
              <w:t>Ημερομηνία</w:t>
            </w:r>
          </w:p>
          <w:p w14:paraId="6917DF33" w14:textId="77777777" w:rsidR="00D25A31" w:rsidRPr="00D25A31" w:rsidRDefault="00D25A31" w:rsidP="00D25A31">
            <w:pPr>
              <w:spacing w:after="0" w:line="240" w:lineRule="auto"/>
              <w:jc w:val="left"/>
              <w:rPr>
                <w:rFonts w:eastAsia="Calibri" w:cs="Times New Roman"/>
                <w:b/>
                <w:color w:val="auto"/>
                <w:sz w:val="20"/>
                <w:szCs w:val="20"/>
              </w:rPr>
            </w:pPr>
            <w:r w:rsidRPr="00D25A31">
              <w:rPr>
                <w:rFonts w:eastAsia="Calibri" w:cs="Times New Roman"/>
                <w:b/>
                <w:color w:val="auto"/>
                <w:sz w:val="20"/>
                <w:szCs w:val="20"/>
              </w:rPr>
              <w:t>δημοσίευσης</w:t>
            </w:r>
          </w:p>
        </w:tc>
        <w:tc>
          <w:tcPr>
            <w:tcW w:w="2043" w:type="dxa"/>
            <w:tcBorders>
              <w:top w:val="single" w:sz="8" w:space="0" w:color="00B0F0"/>
              <w:left w:val="single" w:sz="8" w:space="0" w:color="00B0F0"/>
              <w:bottom w:val="single" w:sz="8" w:space="0" w:color="00B0F0"/>
              <w:right w:val="single" w:sz="8" w:space="0" w:color="00B0F0"/>
            </w:tcBorders>
            <w:shd w:val="clear" w:color="auto" w:fill="BDD6EE" w:themeFill="accent1" w:themeFillTint="66"/>
            <w:hideMark/>
          </w:tcPr>
          <w:p w14:paraId="53DAA721" w14:textId="77777777" w:rsidR="00D25A31" w:rsidRPr="00D25A31" w:rsidRDefault="00D25A31" w:rsidP="00D25A31">
            <w:pPr>
              <w:spacing w:after="0" w:line="240" w:lineRule="auto"/>
              <w:jc w:val="center"/>
              <w:rPr>
                <w:rFonts w:eastAsia="Calibri" w:cs="Times New Roman"/>
                <w:b/>
                <w:color w:val="auto"/>
                <w:sz w:val="20"/>
                <w:szCs w:val="20"/>
              </w:rPr>
            </w:pPr>
            <w:r w:rsidRPr="00D25A31">
              <w:rPr>
                <w:rFonts w:eastAsia="Calibri" w:cs="Times New Roman"/>
                <w:b/>
                <w:color w:val="auto"/>
                <w:sz w:val="20"/>
                <w:szCs w:val="20"/>
                <w:lang w:val="en-US"/>
              </w:rPr>
              <w:t>202</w:t>
            </w:r>
            <w:r w:rsidRPr="00D25A31">
              <w:rPr>
                <w:rFonts w:eastAsia="Calibri" w:cs="Times New Roman"/>
                <w:b/>
                <w:color w:val="auto"/>
                <w:sz w:val="20"/>
                <w:szCs w:val="20"/>
              </w:rPr>
              <w:t>1</w:t>
            </w:r>
          </w:p>
          <w:p w14:paraId="064A83A5" w14:textId="77777777" w:rsidR="00D25A31" w:rsidRPr="00D25A31" w:rsidRDefault="00D25A31" w:rsidP="00D25A31">
            <w:pPr>
              <w:spacing w:after="0" w:line="240" w:lineRule="auto"/>
              <w:jc w:val="center"/>
              <w:rPr>
                <w:rFonts w:eastAsia="Calibri" w:cs="Times New Roman"/>
                <w:b/>
                <w:color w:val="auto"/>
                <w:sz w:val="20"/>
                <w:szCs w:val="20"/>
              </w:rPr>
            </w:pPr>
            <w:r w:rsidRPr="00D25A31">
              <w:rPr>
                <w:rFonts w:eastAsia="Calibri" w:cs="Times New Roman"/>
                <w:b/>
                <w:color w:val="auto"/>
                <w:sz w:val="20"/>
                <w:szCs w:val="20"/>
                <w:lang w:val="en-US"/>
              </w:rPr>
              <w:t>(</w:t>
            </w:r>
            <w:r w:rsidRPr="00D25A31">
              <w:rPr>
                <w:rFonts w:eastAsia="Calibri" w:cs="Times New Roman"/>
                <w:b/>
                <w:color w:val="auto"/>
                <w:sz w:val="20"/>
                <w:szCs w:val="20"/>
              </w:rPr>
              <w:t>εκτιμήσεις)</w:t>
            </w:r>
          </w:p>
        </w:tc>
        <w:tc>
          <w:tcPr>
            <w:tcW w:w="2453" w:type="dxa"/>
            <w:tcBorders>
              <w:top w:val="single" w:sz="8" w:space="0" w:color="00B0F0"/>
              <w:left w:val="single" w:sz="8" w:space="0" w:color="00B0F0"/>
              <w:bottom w:val="single" w:sz="8" w:space="0" w:color="00B0F0"/>
              <w:right w:val="single" w:sz="8" w:space="0" w:color="00B0F0"/>
            </w:tcBorders>
            <w:shd w:val="clear" w:color="auto" w:fill="BDD6EE" w:themeFill="accent1" w:themeFillTint="66"/>
            <w:hideMark/>
          </w:tcPr>
          <w:p w14:paraId="73A8FE92" w14:textId="77777777" w:rsidR="00D25A31" w:rsidRPr="00D25A31" w:rsidRDefault="00D25A31" w:rsidP="00D25A31">
            <w:pPr>
              <w:spacing w:after="0" w:line="240" w:lineRule="auto"/>
              <w:jc w:val="center"/>
              <w:rPr>
                <w:rFonts w:eastAsia="Calibri" w:cs="Times New Roman"/>
                <w:b/>
                <w:color w:val="auto"/>
                <w:sz w:val="20"/>
                <w:szCs w:val="20"/>
              </w:rPr>
            </w:pPr>
            <w:r w:rsidRPr="00D25A31">
              <w:rPr>
                <w:rFonts w:eastAsia="Calibri" w:cs="Times New Roman"/>
                <w:b/>
                <w:color w:val="auto"/>
                <w:sz w:val="20"/>
                <w:szCs w:val="20"/>
              </w:rPr>
              <w:t>2022</w:t>
            </w:r>
          </w:p>
          <w:p w14:paraId="353B18A2" w14:textId="77777777" w:rsidR="00D25A31" w:rsidRPr="00D25A31" w:rsidRDefault="00D25A31" w:rsidP="00D25A31">
            <w:pPr>
              <w:spacing w:after="0" w:line="240" w:lineRule="auto"/>
              <w:jc w:val="center"/>
              <w:rPr>
                <w:rFonts w:eastAsia="Calibri" w:cs="Times New Roman"/>
                <w:b/>
                <w:color w:val="auto"/>
                <w:sz w:val="20"/>
                <w:szCs w:val="20"/>
              </w:rPr>
            </w:pPr>
            <w:r w:rsidRPr="00D25A31">
              <w:rPr>
                <w:rFonts w:eastAsia="Calibri" w:cs="Times New Roman"/>
                <w:b/>
                <w:color w:val="auto"/>
                <w:sz w:val="20"/>
                <w:szCs w:val="20"/>
              </w:rPr>
              <w:t>(προβλέψεις)</w:t>
            </w:r>
          </w:p>
        </w:tc>
      </w:tr>
      <w:tr w:rsidR="00D25A31" w:rsidRPr="00D25A31" w14:paraId="78E3DF2E" w14:textId="77777777" w:rsidTr="00403469">
        <w:trPr>
          <w:trHeight w:val="472"/>
          <w:jc w:val="center"/>
        </w:trPr>
        <w:tc>
          <w:tcPr>
            <w:tcW w:w="2170" w:type="dxa"/>
            <w:tcBorders>
              <w:top w:val="single" w:sz="8" w:space="0" w:color="00B0F0"/>
              <w:left w:val="single" w:sz="8" w:space="0" w:color="00B0F0"/>
              <w:bottom w:val="single" w:sz="8" w:space="0" w:color="00B0F0"/>
              <w:right w:val="single" w:sz="8" w:space="0" w:color="00B0F0"/>
            </w:tcBorders>
            <w:shd w:val="clear" w:color="auto" w:fill="FFFFFF" w:themeFill="background1"/>
            <w:hideMark/>
          </w:tcPr>
          <w:p w14:paraId="4ADE79E0" w14:textId="77777777" w:rsidR="00D25A31" w:rsidRPr="00D25A31" w:rsidRDefault="00D25A31" w:rsidP="00D25A31">
            <w:pPr>
              <w:spacing w:after="0" w:line="240" w:lineRule="auto"/>
              <w:rPr>
                <w:rFonts w:eastAsia="Calibri" w:cs="Times New Roman"/>
                <w:b/>
                <w:color w:val="auto"/>
                <w:sz w:val="20"/>
                <w:szCs w:val="20"/>
              </w:rPr>
            </w:pPr>
            <w:r w:rsidRPr="00D25A31">
              <w:rPr>
                <w:rFonts w:eastAsia="Calibri" w:cs="Times New Roman"/>
                <w:color w:val="auto"/>
                <w:sz w:val="20"/>
                <w:szCs w:val="20"/>
              </w:rPr>
              <w:t>Ευρωπαϊκή Επιτροπή</w:t>
            </w:r>
            <w:r w:rsidRPr="00D25A31">
              <w:rPr>
                <w:rFonts w:eastAsia="Calibri" w:cs="Times New Roman"/>
                <w:color w:val="auto"/>
                <w:sz w:val="20"/>
                <w:szCs w:val="20"/>
                <w:vertAlign w:val="superscript"/>
              </w:rPr>
              <w:t>1</w:t>
            </w:r>
          </w:p>
        </w:tc>
        <w:tc>
          <w:tcPr>
            <w:tcW w:w="1908" w:type="dxa"/>
            <w:tcBorders>
              <w:top w:val="single" w:sz="8" w:space="0" w:color="00B0F0"/>
              <w:left w:val="single" w:sz="8" w:space="0" w:color="00B0F0"/>
              <w:bottom w:val="single" w:sz="8" w:space="0" w:color="00B0F0"/>
              <w:right w:val="single" w:sz="8" w:space="0" w:color="00B0F0"/>
            </w:tcBorders>
            <w:shd w:val="clear" w:color="auto" w:fill="FFFFFF" w:themeFill="background1"/>
            <w:hideMark/>
          </w:tcPr>
          <w:p w14:paraId="53F65845" w14:textId="77777777" w:rsidR="00D25A31" w:rsidRPr="00D25A31" w:rsidRDefault="00D25A31" w:rsidP="00D25A31">
            <w:pPr>
              <w:spacing w:after="0" w:line="240" w:lineRule="auto"/>
              <w:jc w:val="left"/>
              <w:rPr>
                <w:rFonts w:eastAsia="Calibri" w:cs="Times New Roman"/>
                <w:color w:val="auto"/>
                <w:sz w:val="20"/>
                <w:szCs w:val="20"/>
              </w:rPr>
            </w:pPr>
            <w:r w:rsidRPr="00D25A31">
              <w:rPr>
                <w:rFonts w:eastAsia="Calibri" w:cs="Times New Roman"/>
                <w:color w:val="auto"/>
                <w:sz w:val="20"/>
                <w:szCs w:val="20"/>
              </w:rPr>
              <w:t>Νοέμβριος 2021</w:t>
            </w:r>
          </w:p>
        </w:tc>
        <w:tc>
          <w:tcPr>
            <w:tcW w:w="2043" w:type="dxa"/>
            <w:tcBorders>
              <w:top w:val="single" w:sz="8" w:space="0" w:color="00B0F0"/>
              <w:left w:val="single" w:sz="8" w:space="0" w:color="00B0F0"/>
              <w:bottom w:val="single" w:sz="8" w:space="0" w:color="00B0F0"/>
              <w:right w:val="single" w:sz="8" w:space="0" w:color="00B0F0"/>
            </w:tcBorders>
            <w:shd w:val="clear" w:color="auto" w:fill="FFFFFF" w:themeFill="background1"/>
            <w:hideMark/>
          </w:tcPr>
          <w:p w14:paraId="2CA53D5D" w14:textId="77777777" w:rsidR="00D25A31" w:rsidRPr="00D25A31" w:rsidRDefault="00D25A31" w:rsidP="00D25A31">
            <w:pPr>
              <w:spacing w:after="0" w:line="240" w:lineRule="auto"/>
              <w:jc w:val="center"/>
              <w:rPr>
                <w:rFonts w:eastAsia="Calibri" w:cs="Times New Roman"/>
                <w:color w:val="auto"/>
                <w:sz w:val="20"/>
                <w:szCs w:val="20"/>
              </w:rPr>
            </w:pPr>
            <w:r w:rsidRPr="00D25A31">
              <w:rPr>
                <w:rFonts w:eastAsia="Calibri" w:cs="Times New Roman"/>
                <w:color w:val="auto"/>
                <w:sz w:val="20"/>
                <w:szCs w:val="20"/>
                <w:lang w:val="en-US"/>
              </w:rPr>
              <w:t>9</w:t>
            </w:r>
            <w:r w:rsidRPr="00D25A31">
              <w:rPr>
                <w:rFonts w:eastAsia="Calibri" w:cs="Times New Roman"/>
                <w:color w:val="auto"/>
                <w:sz w:val="20"/>
                <w:szCs w:val="20"/>
              </w:rPr>
              <w:t>,</w:t>
            </w:r>
            <w:r w:rsidRPr="00D25A31">
              <w:rPr>
                <w:rFonts w:eastAsia="Calibri" w:cs="Times New Roman"/>
                <w:color w:val="auto"/>
                <w:sz w:val="20"/>
                <w:szCs w:val="20"/>
                <w:lang w:val="en-US"/>
              </w:rPr>
              <w:t>9</w:t>
            </w:r>
            <w:r w:rsidRPr="00D25A31">
              <w:rPr>
                <w:rFonts w:eastAsia="Calibri" w:cs="Times New Roman"/>
                <w:color w:val="auto"/>
                <w:sz w:val="20"/>
                <w:szCs w:val="20"/>
              </w:rPr>
              <w:t>%</w:t>
            </w:r>
          </w:p>
        </w:tc>
        <w:tc>
          <w:tcPr>
            <w:tcW w:w="2453" w:type="dxa"/>
            <w:tcBorders>
              <w:top w:val="single" w:sz="8" w:space="0" w:color="00B0F0"/>
              <w:left w:val="single" w:sz="8" w:space="0" w:color="00B0F0"/>
              <w:bottom w:val="single" w:sz="8" w:space="0" w:color="00B0F0"/>
              <w:right w:val="single" w:sz="8" w:space="0" w:color="00B0F0"/>
            </w:tcBorders>
            <w:shd w:val="clear" w:color="auto" w:fill="FFFFFF" w:themeFill="background1"/>
            <w:hideMark/>
          </w:tcPr>
          <w:p w14:paraId="5A2FDAA5" w14:textId="77777777" w:rsidR="00D25A31" w:rsidRPr="00D25A31" w:rsidRDefault="00D25A31" w:rsidP="00D25A31">
            <w:pPr>
              <w:spacing w:after="0" w:line="240" w:lineRule="auto"/>
              <w:jc w:val="center"/>
              <w:rPr>
                <w:rFonts w:eastAsia="Calibri" w:cs="Times New Roman"/>
                <w:color w:val="auto"/>
                <w:sz w:val="20"/>
                <w:szCs w:val="20"/>
              </w:rPr>
            </w:pPr>
            <w:r w:rsidRPr="00D25A31">
              <w:rPr>
                <w:rFonts w:eastAsia="Calibri" w:cs="Times New Roman"/>
                <w:color w:val="auto"/>
                <w:sz w:val="20"/>
                <w:szCs w:val="20"/>
              </w:rPr>
              <w:t>3,</w:t>
            </w:r>
            <w:r w:rsidRPr="00D25A31">
              <w:rPr>
                <w:rFonts w:eastAsia="Calibri" w:cs="Times New Roman"/>
                <w:color w:val="auto"/>
                <w:sz w:val="20"/>
                <w:szCs w:val="20"/>
                <w:lang w:val="en-US"/>
              </w:rPr>
              <w:t>9</w:t>
            </w:r>
            <w:r w:rsidRPr="00D25A31">
              <w:rPr>
                <w:rFonts w:eastAsia="Calibri" w:cs="Times New Roman"/>
                <w:color w:val="auto"/>
                <w:sz w:val="20"/>
                <w:szCs w:val="20"/>
              </w:rPr>
              <w:t>%</w:t>
            </w:r>
          </w:p>
        </w:tc>
      </w:tr>
      <w:tr w:rsidR="00D25A31" w:rsidRPr="00D25A31" w14:paraId="261FD8A6" w14:textId="77777777" w:rsidTr="00403469">
        <w:trPr>
          <w:trHeight w:val="472"/>
          <w:jc w:val="center"/>
        </w:trPr>
        <w:tc>
          <w:tcPr>
            <w:tcW w:w="2170" w:type="dxa"/>
            <w:tcBorders>
              <w:top w:val="single" w:sz="8" w:space="0" w:color="00B0F0"/>
              <w:left w:val="single" w:sz="8" w:space="0" w:color="00B0F0"/>
              <w:bottom w:val="single" w:sz="8" w:space="0" w:color="00B0F0"/>
              <w:right w:val="single" w:sz="8" w:space="0" w:color="00B0F0"/>
            </w:tcBorders>
            <w:shd w:val="clear" w:color="auto" w:fill="D9D9D9" w:themeFill="background1" w:themeFillShade="D9"/>
            <w:hideMark/>
          </w:tcPr>
          <w:p w14:paraId="58F5CF7C" w14:textId="77777777" w:rsidR="00D25A31" w:rsidRPr="00D25A31" w:rsidRDefault="00D25A31" w:rsidP="00D25A31">
            <w:pPr>
              <w:spacing w:after="0" w:line="240" w:lineRule="auto"/>
              <w:rPr>
                <w:rFonts w:eastAsia="Calibri" w:cs="Times New Roman"/>
                <w:color w:val="auto"/>
                <w:sz w:val="20"/>
                <w:szCs w:val="20"/>
                <w:lang w:val="en-US"/>
              </w:rPr>
            </w:pPr>
            <w:r w:rsidRPr="00D25A31">
              <w:rPr>
                <w:rFonts w:eastAsia="Calibri" w:cs="Times New Roman"/>
                <w:color w:val="auto"/>
                <w:sz w:val="20"/>
                <w:szCs w:val="20"/>
              </w:rPr>
              <w:t>ΔΝΤ</w:t>
            </w:r>
            <w:r w:rsidRPr="00D25A31">
              <w:rPr>
                <w:rFonts w:eastAsia="Calibri" w:cs="Times New Roman"/>
                <w:color w:val="auto"/>
                <w:sz w:val="20"/>
                <w:szCs w:val="20"/>
                <w:vertAlign w:val="superscript"/>
                <w:lang w:val="en-US"/>
              </w:rPr>
              <w:t>2</w:t>
            </w:r>
          </w:p>
        </w:tc>
        <w:tc>
          <w:tcPr>
            <w:tcW w:w="1908" w:type="dxa"/>
            <w:tcBorders>
              <w:top w:val="single" w:sz="8" w:space="0" w:color="00B0F0"/>
              <w:left w:val="single" w:sz="8" w:space="0" w:color="00B0F0"/>
              <w:bottom w:val="single" w:sz="8" w:space="0" w:color="00B0F0"/>
              <w:right w:val="single" w:sz="8" w:space="0" w:color="00B0F0"/>
            </w:tcBorders>
            <w:shd w:val="clear" w:color="auto" w:fill="D9D9D9" w:themeFill="background1" w:themeFillShade="D9"/>
            <w:hideMark/>
          </w:tcPr>
          <w:p w14:paraId="6925B7EA" w14:textId="77777777" w:rsidR="00D25A31" w:rsidRPr="00D25A31" w:rsidRDefault="00D25A31" w:rsidP="00D25A31">
            <w:pPr>
              <w:spacing w:after="0" w:line="240" w:lineRule="auto"/>
              <w:jc w:val="left"/>
              <w:rPr>
                <w:rFonts w:eastAsia="Calibri" w:cs="Times New Roman"/>
                <w:color w:val="auto"/>
                <w:sz w:val="20"/>
                <w:szCs w:val="20"/>
              </w:rPr>
            </w:pPr>
            <w:r w:rsidRPr="00D25A31">
              <w:rPr>
                <w:rFonts w:eastAsia="Calibri" w:cs="Times New Roman"/>
                <w:color w:val="auto"/>
                <w:sz w:val="20"/>
                <w:szCs w:val="20"/>
              </w:rPr>
              <w:t>Οκτώβριος 2021</w:t>
            </w:r>
          </w:p>
        </w:tc>
        <w:tc>
          <w:tcPr>
            <w:tcW w:w="2043" w:type="dxa"/>
            <w:tcBorders>
              <w:top w:val="single" w:sz="8" w:space="0" w:color="00B0F0"/>
              <w:left w:val="single" w:sz="8" w:space="0" w:color="00B0F0"/>
              <w:bottom w:val="single" w:sz="8" w:space="0" w:color="00B0F0"/>
              <w:right w:val="single" w:sz="8" w:space="0" w:color="00B0F0"/>
            </w:tcBorders>
            <w:shd w:val="clear" w:color="auto" w:fill="D9D9D9" w:themeFill="background1" w:themeFillShade="D9"/>
            <w:hideMark/>
          </w:tcPr>
          <w:p w14:paraId="670D6D1D" w14:textId="77777777" w:rsidR="00D25A31" w:rsidRPr="00D25A31" w:rsidRDefault="00D25A31" w:rsidP="00D25A31">
            <w:pPr>
              <w:spacing w:after="0" w:line="240" w:lineRule="auto"/>
              <w:jc w:val="center"/>
              <w:rPr>
                <w:rFonts w:eastAsia="Calibri" w:cs="Times New Roman"/>
                <w:color w:val="auto"/>
                <w:sz w:val="20"/>
                <w:szCs w:val="20"/>
              </w:rPr>
            </w:pPr>
            <w:r w:rsidRPr="00D25A31">
              <w:rPr>
                <w:rFonts w:eastAsia="Calibri" w:cs="Times New Roman"/>
                <w:color w:val="auto"/>
                <w:sz w:val="20"/>
                <w:szCs w:val="20"/>
              </w:rPr>
              <w:t>10,3%</w:t>
            </w:r>
          </w:p>
        </w:tc>
        <w:tc>
          <w:tcPr>
            <w:tcW w:w="2453" w:type="dxa"/>
            <w:tcBorders>
              <w:top w:val="single" w:sz="8" w:space="0" w:color="00B0F0"/>
              <w:left w:val="single" w:sz="8" w:space="0" w:color="00B0F0"/>
              <w:bottom w:val="single" w:sz="8" w:space="0" w:color="00B0F0"/>
              <w:right w:val="single" w:sz="8" w:space="0" w:color="00B0F0"/>
            </w:tcBorders>
            <w:shd w:val="clear" w:color="auto" w:fill="D9D9D9" w:themeFill="background1" w:themeFillShade="D9"/>
            <w:hideMark/>
          </w:tcPr>
          <w:p w14:paraId="091FDAF7" w14:textId="77777777" w:rsidR="00D25A31" w:rsidRPr="00D25A31" w:rsidRDefault="00D25A31" w:rsidP="00D25A31">
            <w:pPr>
              <w:spacing w:after="0" w:line="240" w:lineRule="auto"/>
              <w:jc w:val="center"/>
              <w:rPr>
                <w:rFonts w:eastAsia="Calibri" w:cs="Times New Roman"/>
                <w:color w:val="auto"/>
                <w:sz w:val="20"/>
                <w:szCs w:val="20"/>
              </w:rPr>
            </w:pPr>
            <w:r w:rsidRPr="00D25A31">
              <w:rPr>
                <w:rFonts w:eastAsia="Calibri" w:cs="Times New Roman"/>
                <w:color w:val="auto"/>
                <w:sz w:val="20"/>
                <w:szCs w:val="20"/>
              </w:rPr>
              <w:t>4,3%</w:t>
            </w:r>
          </w:p>
        </w:tc>
      </w:tr>
      <w:tr w:rsidR="00D25A31" w:rsidRPr="00D25A31" w14:paraId="0EE804C0" w14:textId="77777777" w:rsidTr="00403469">
        <w:trPr>
          <w:trHeight w:val="472"/>
          <w:jc w:val="center"/>
        </w:trPr>
        <w:tc>
          <w:tcPr>
            <w:tcW w:w="2170" w:type="dxa"/>
            <w:tcBorders>
              <w:top w:val="single" w:sz="8" w:space="0" w:color="00B0F0"/>
              <w:left w:val="single" w:sz="8" w:space="0" w:color="00B0F0"/>
              <w:bottom w:val="single" w:sz="8" w:space="0" w:color="00B0F0"/>
              <w:right w:val="single" w:sz="8" w:space="0" w:color="00B0F0"/>
            </w:tcBorders>
            <w:shd w:val="clear" w:color="auto" w:fill="FFFFFF" w:themeFill="background1"/>
            <w:hideMark/>
          </w:tcPr>
          <w:p w14:paraId="2EC72482" w14:textId="77777777" w:rsidR="00D25A31" w:rsidRPr="00D25A31" w:rsidRDefault="00D25A31" w:rsidP="00D25A31">
            <w:pPr>
              <w:spacing w:after="0" w:line="240" w:lineRule="auto"/>
              <w:rPr>
                <w:rFonts w:eastAsia="Calibri" w:cs="Times New Roman"/>
                <w:color w:val="auto"/>
                <w:sz w:val="20"/>
                <w:szCs w:val="20"/>
                <w:lang w:val="en-US"/>
              </w:rPr>
            </w:pPr>
            <w:r w:rsidRPr="00D25A31">
              <w:rPr>
                <w:rFonts w:eastAsia="Calibri" w:cs="Times New Roman"/>
                <w:color w:val="auto"/>
                <w:sz w:val="20"/>
                <w:szCs w:val="20"/>
              </w:rPr>
              <w:t>ΟΟΣΑ</w:t>
            </w:r>
            <w:r w:rsidRPr="00D25A31">
              <w:rPr>
                <w:rFonts w:eastAsia="Calibri" w:cs="Times New Roman"/>
                <w:color w:val="auto"/>
                <w:sz w:val="20"/>
                <w:szCs w:val="20"/>
                <w:vertAlign w:val="superscript"/>
                <w:lang w:val="en-US"/>
              </w:rPr>
              <w:t xml:space="preserve">3  </w:t>
            </w:r>
          </w:p>
        </w:tc>
        <w:tc>
          <w:tcPr>
            <w:tcW w:w="1908" w:type="dxa"/>
            <w:tcBorders>
              <w:top w:val="single" w:sz="8" w:space="0" w:color="00B0F0"/>
              <w:left w:val="single" w:sz="8" w:space="0" w:color="00B0F0"/>
              <w:bottom w:val="single" w:sz="8" w:space="0" w:color="00B0F0"/>
              <w:right w:val="single" w:sz="8" w:space="0" w:color="00B0F0"/>
            </w:tcBorders>
            <w:shd w:val="clear" w:color="auto" w:fill="FFFFFF" w:themeFill="background1"/>
            <w:hideMark/>
          </w:tcPr>
          <w:p w14:paraId="28D05EA7" w14:textId="77777777" w:rsidR="00D25A31" w:rsidRPr="00D25A31" w:rsidRDefault="00D25A31" w:rsidP="00D25A31">
            <w:pPr>
              <w:spacing w:after="0" w:line="240" w:lineRule="auto"/>
              <w:jc w:val="left"/>
              <w:rPr>
                <w:rFonts w:eastAsia="Calibri" w:cs="Times New Roman"/>
                <w:color w:val="auto"/>
                <w:sz w:val="20"/>
                <w:szCs w:val="20"/>
              </w:rPr>
            </w:pPr>
            <w:r w:rsidRPr="00D25A31">
              <w:rPr>
                <w:rFonts w:eastAsia="Calibri" w:cs="Times New Roman"/>
                <w:color w:val="auto"/>
                <w:sz w:val="20"/>
                <w:szCs w:val="20"/>
              </w:rPr>
              <w:t>Μάιος 2021</w:t>
            </w:r>
          </w:p>
        </w:tc>
        <w:tc>
          <w:tcPr>
            <w:tcW w:w="2043" w:type="dxa"/>
            <w:tcBorders>
              <w:top w:val="single" w:sz="8" w:space="0" w:color="00B0F0"/>
              <w:left w:val="single" w:sz="8" w:space="0" w:color="00B0F0"/>
              <w:bottom w:val="single" w:sz="8" w:space="0" w:color="00B0F0"/>
              <w:right w:val="single" w:sz="8" w:space="0" w:color="00B0F0"/>
            </w:tcBorders>
            <w:shd w:val="clear" w:color="auto" w:fill="FFFFFF" w:themeFill="background1"/>
            <w:hideMark/>
          </w:tcPr>
          <w:p w14:paraId="5CCBF4D3" w14:textId="77777777" w:rsidR="00D25A31" w:rsidRPr="00D25A31" w:rsidRDefault="00D25A31" w:rsidP="00D25A31">
            <w:pPr>
              <w:spacing w:after="0" w:line="240" w:lineRule="auto"/>
              <w:jc w:val="center"/>
              <w:rPr>
                <w:rFonts w:eastAsia="Calibri" w:cs="Times New Roman"/>
                <w:color w:val="auto"/>
                <w:sz w:val="20"/>
                <w:szCs w:val="20"/>
              </w:rPr>
            </w:pPr>
            <w:r w:rsidRPr="00D25A31">
              <w:rPr>
                <w:rFonts w:eastAsia="Calibri" w:cs="Times New Roman"/>
                <w:color w:val="auto"/>
                <w:sz w:val="20"/>
                <w:szCs w:val="20"/>
              </w:rPr>
              <w:t>10,</w:t>
            </w:r>
            <w:r w:rsidRPr="00D25A31">
              <w:rPr>
                <w:rFonts w:eastAsia="Calibri" w:cs="Times New Roman"/>
                <w:color w:val="auto"/>
                <w:sz w:val="20"/>
                <w:szCs w:val="20"/>
                <w:lang w:val="en-US"/>
              </w:rPr>
              <w:t>1</w:t>
            </w:r>
            <w:r w:rsidRPr="00D25A31">
              <w:rPr>
                <w:rFonts w:eastAsia="Calibri" w:cs="Times New Roman"/>
                <w:color w:val="auto"/>
                <w:sz w:val="20"/>
                <w:szCs w:val="20"/>
              </w:rPr>
              <w:t>%</w:t>
            </w:r>
          </w:p>
        </w:tc>
        <w:tc>
          <w:tcPr>
            <w:tcW w:w="2453" w:type="dxa"/>
            <w:tcBorders>
              <w:top w:val="single" w:sz="8" w:space="0" w:color="00B0F0"/>
              <w:left w:val="single" w:sz="8" w:space="0" w:color="00B0F0"/>
              <w:bottom w:val="single" w:sz="8" w:space="0" w:color="00B0F0"/>
              <w:right w:val="single" w:sz="8" w:space="0" w:color="00B0F0"/>
            </w:tcBorders>
            <w:shd w:val="clear" w:color="auto" w:fill="FFFFFF" w:themeFill="background1"/>
            <w:hideMark/>
          </w:tcPr>
          <w:p w14:paraId="177C196C" w14:textId="77777777" w:rsidR="00D25A31" w:rsidRPr="00D25A31" w:rsidRDefault="00D25A31" w:rsidP="00D25A31">
            <w:pPr>
              <w:spacing w:after="0" w:line="240" w:lineRule="auto"/>
              <w:jc w:val="center"/>
              <w:rPr>
                <w:rFonts w:eastAsia="Calibri" w:cs="Times New Roman"/>
                <w:color w:val="auto"/>
                <w:sz w:val="20"/>
                <w:szCs w:val="20"/>
              </w:rPr>
            </w:pPr>
            <w:r w:rsidRPr="00D25A31">
              <w:rPr>
                <w:rFonts w:eastAsia="Calibri" w:cs="Times New Roman"/>
                <w:color w:val="auto"/>
                <w:sz w:val="20"/>
                <w:szCs w:val="20"/>
                <w:lang w:val="en-US"/>
              </w:rPr>
              <w:t>3</w:t>
            </w:r>
            <w:r w:rsidRPr="00D25A31">
              <w:rPr>
                <w:rFonts w:eastAsia="Calibri" w:cs="Times New Roman"/>
                <w:color w:val="auto"/>
                <w:sz w:val="20"/>
                <w:szCs w:val="20"/>
              </w:rPr>
              <w:t>,</w:t>
            </w:r>
            <w:r w:rsidRPr="00D25A31">
              <w:rPr>
                <w:rFonts w:eastAsia="Calibri" w:cs="Times New Roman"/>
                <w:color w:val="auto"/>
                <w:sz w:val="20"/>
                <w:szCs w:val="20"/>
                <w:lang w:val="en-US"/>
              </w:rPr>
              <w:t>7</w:t>
            </w:r>
            <w:r w:rsidRPr="00D25A31">
              <w:rPr>
                <w:rFonts w:eastAsia="Calibri" w:cs="Times New Roman"/>
                <w:color w:val="auto"/>
                <w:sz w:val="20"/>
                <w:szCs w:val="20"/>
              </w:rPr>
              <w:t>%</w:t>
            </w:r>
          </w:p>
        </w:tc>
      </w:tr>
    </w:tbl>
    <w:p w14:paraId="760AFC49" w14:textId="77777777" w:rsidR="00D25A31" w:rsidRPr="00D25A31" w:rsidRDefault="00D25A31" w:rsidP="00D25A31">
      <w:pPr>
        <w:autoSpaceDE w:val="0"/>
        <w:autoSpaceDN w:val="0"/>
        <w:adjustRightInd w:val="0"/>
        <w:spacing w:after="0" w:line="240" w:lineRule="auto"/>
        <w:rPr>
          <w:rFonts w:eastAsia="Calibri" w:cs="Calibri"/>
          <w:color w:val="00A3E0"/>
          <w:sz w:val="16"/>
          <w:szCs w:val="16"/>
        </w:rPr>
      </w:pPr>
      <w:r w:rsidRPr="00D25A31">
        <w:rPr>
          <w:rFonts w:eastAsia="Calibri" w:cs="Times New Roman"/>
          <w:b/>
          <w:color w:val="808080"/>
          <w:sz w:val="16"/>
          <w:szCs w:val="16"/>
        </w:rPr>
        <w:t>Πηγές</w:t>
      </w:r>
      <w:r w:rsidRPr="00D25A31">
        <w:rPr>
          <w:rFonts w:eastAsia="Calibri" w:cs="Times New Roman"/>
          <w:b/>
          <w:color w:val="808080"/>
          <w:sz w:val="16"/>
          <w:szCs w:val="16"/>
          <w:lang w:val="en-US"/>
        </w:rPr>
        <w:t xml:space="preserve">:  </w:t>
      </w:r>
      <w:r w:rsidRPr="00D25A31">
        <w:rPr>
          <w:rFonts w:eastAsia="Calibri" w:cs="Calibri"/>
          <w:b/>
          <w:bCs/>
          <w:color w:val="00A3E0"/>
          <w:sz w:val="16"/>
          <w:szCs w:val="16"/>
          <w:lang w:val="en-US"/>
        </w:rPr>
        <w:t>1</w:t>
      </w:r>
      <w:r w:rsidRPr="00D25A31">
        <w:rPr>
          <w:rFonts w:eastAsia="Calibri" w:cs="Calibri"/>
          <w:b/>
          <w:color w:val="00A3E0"/>
          <w:sz w:val="16"/>
          <w:szCs w:val="16"/>
          <w:lang w:val="en-US"/>
        </w:rPr>
        <w:t>)</w:t>
      </w:r>
      <w:r w:rsidRPr="00D25A31">
        <w:rPr>
          <w:rFonts w:eastAsia="Calibri" w:cs="Calibri"/>
          <w:color w:val="00A3E0"/>
          <w:sz w:val="16"/>
          <w:szCs w:val="16"/>
          <w:lang w:val="en-US"/>
        </w:rPr>
        <w:t xml:space="preserve"> European Commission, AMECO (EDP). </w:t>
      </w:r>
      <w:r w:rsidRPr="00D25A31">
        <w:rPr>
          <w:rFonts w:eastAsia="Calibri" w:cs="Calibri"/>
          <w:b/>
          <w:color w:val="00A3E0"/>
          <w:sz w:val="16"/>
          <w:szCs w:val="16"/>
          <w:lang w:val="en-US"/>
        </w:rPr>
        <w:t>2)</w:t>
      </w:r>
      <w:r w:rsidRPr="00D25A31">
        <w:rPr>
          <w:rFonts w:eastAsia="Calibri" w:cs="Calibri"/>
          <w:color w:val="00A3E0"/>
          <w:sz w:val="16"/>
          <w:szCs w:val="16"/>
          <w:lang w:val="en-US"/>
        </w:rPr>
        <w:t xml:space="preserve"> IMF, World Economic Outlook: Recovery during a pandemic, Οκτώβριος 2021. </w:t>
      </w:r>
      <w:r w:rsidRPr="00D25A31">
        <w:rPr>
          <w:rFonts w:eastAsia="Calibri" w:cs="Calibri"/>
          <w:b/>
          <w:color w:val="00A3E0"/>
          <w:sz w:val="16"/>
          <w:szCs w:val="16"/>
        </w:rPr>
        <w:t>3)</w:t>
      </w:r>
      <w:r w:rsidRPr="00D25A31">
        <w:rPr>
          <w:rFonts w:eastAsia="Calibri" w:cs="Calibri"/>
          <w:color w:val="00A3E0"/>
          <w:sz w:val="16"/>
          <w:szCs w:val="16"/>
        </w:rPr>
        <w:t xml:space="preserve"> </w:t>
      </w:r>
      <w:r w:rsidRPr="00D25A31">
        <w:rPr>
          <w:rFonts w:eastAsia="Calibri" w:cs="Calibri"/>
          <w:color w:val="00A3E0"/>
          <w:sz w:val="16"/>
          <w:szCs w:val="16"/>
          <w:lang w:val="en-US"/>
        </w:rPr>
        <w:t>OECD</w:t>
      </w:r>
      <w:r w:rsidRPr="00D25A31">
        <w:rPr>
          <w:rFonts w:eastAsia="Calibri" w:cs="Calibri"/>
          <w:color w:val="00A3E0"/>
          <w:sz w:val="16"/>
          <w:szCs w:val="16"/>
        </w:rPr>
        <w:t>, “</w:t>
      </w:r>
      <w:r w:rsidRPr="00D25A31">
        <w:rPr>
          <w:rFonts w:eastAsia="Calibri" w:cs="Calibri"/>
          <w:color w:val="00A3E0"/>
          <w:sz w:val="16"/>
          <w:szCs w:val="16"/>
          <w:lang w:val="en-US"/>
        </w:rPr>
        <w:t>Economic</w:t>
      </w:r>
      <w:r w:rsidRPr="00D25A31">
        <w:rPr>
          <w:rFonts w:eastAsia="Calibri" w:cs="Calibri"/>
          <w:color w:val="00A3E0"/>
          <w:sz w:val="16"/>
          <w:szCs w:val="16"/>
        </w:rPr>
        <w:t xml:space="preserve"> </w:t>
      </w:r>
      <w:r w:rsidRPr="00D25A31">
        <w:rPr>
          <w:rFonts w:eastAsia="Calibri" w:cs="Calibri"/>
          <w:color w:val="00A3E0"/>
          <w:sz w:val="16"/>
          <w:szCs w:val="16"/>
          <w:lang w:val="en-US"/>
        </w:rPr>
        <w:t>Outlook</w:t>
      </w:r>
      <w:r w:rsidRPr="00D25A31">
        <w:rPr>
          <w:rFonts w:eastAsia="Calibri" w:cs="Calibri"/>
          <w:color w:val="00A3E0"/>
          <w:sz w:val="16"/>
          <w:szCs w:val="16"/>
        </w:rPr>
        <w:t xml:space="preserve"> </w:t>
      </w:r>
      <w:r w:rsidRPr="00D25A31">
        <w:rPr>
          <w:rFonts w:eastAsia="Calibri" w:cs="Calibri"/>
          <w:color w:val="00A3E0"/>
          <w:sz w:val="16"/>
          <w:szCs w:val="16"/>
          <w:lang w:val="en-US"/>
        </w:rPr>
        <w:t>No</w:t>
      </w:r>
      <w:r w:rsidRPr="00D25A31">
        <w:rPr>
          <w:rFonts w:eastAsia="Calibri" w:cs="Calibri"/>
          <w:color w:val="00A3E0"/>
          <w:sz w:val="16"/>
          <w:szCs w:val="16"/>
        </w:rPr>
        <w:t xml:space="preserve"> 109”, Μάϊος 2021.</w:t>
      </w:r>
      <w:r w:rsidRPr="00D25A31">
        <w:rPr>
          <w:rFonts w:eastAsia="Calibri" w:cs="Calibri"/>
          <w:b/>
          <w:bCs/>
          <w:color w:val="00A3E0"/>
          <w:sz w:val="16"/>
          <w:szCs w:val="16"/>
        </w:rPr>
        <w:t xml:space="preserve"> </w:t>
      </w:r>
    </w:p>
    <w:p w14:paraId="1E7D61C0" w14:textId="77777777" w:rsidR="00D25A31" w:rsidRPr="00D25A31" w:rsidRDefault="00D25A31" w:rsidP="00D25A31">
      <w:pPr>
        <w:spacing w:after="120"/>
        <w:rPr>
          <w:rFonts w:eastAsia="Calibri" w:cs="Times New Roman"/>
          <w:color w:val="auto"/>
        </w:rPr>
      </w:pPr>
    </w:p>
    <w:p w14:paraId="4B1BC583" w14:textId="65B1A94B" w:rsidR="00D25A31" w:rsidRPr="00D25A31" w:rsidRDefault="00D25A31" w:rsidP="00D25A31">
      <w:pPr>
        <w:spacing w:after="120"/>
        <w:rPr>
          <w:rFonts w:eastAsia="Calibri" w:cs="Times New Roman"/>
          <w:color w:val="auto"/>
        </w:rPr>
      </w:pPr>
      <w:r w:rsidRPr="00D25A31">
        <w:rPr>
          <w:rFonts w:eastAsia="Calibri" w:cs="Times New Roman"/>
          <w:color w:val="auto"/>
        </w:rPr>
        <w:t>Δημοσιονομικοί κίνδυνοι κατά την εκτέλεση του Προϋπολογισμού του 2022 μπορεί να προκύψουν από τυχόν αναζωπύρωση της πανδημίας που θα απαιτήσει νέα μέτρα στήριξης της οικονομίας και ενίσχυσης του συστήματος υγείας, τυχόν καταπτώσεις κρατικών εγγυήσεων και έκδοση δικαστικών αποφάσεων με αρνητικό δημοσιονομικό αντίκτυπο.</w:t>
      </w:r>
      <w:r w:rsidR="000414BC" w:rsidRPr="000414BC">
        <w:rPr>
          <w:rFonts w:eastAsia="Calibri" w:cs="Times New Roman"/>
          <w:color w:val="auto"/>
        </w:rPr>
        <w:t xml:space="preserve"> </w:t>
      </w:r>
      <w:r w:rsidR="000414BC">
        <w:rPr>
          <w:rFonts w:eastAsia="Calibri" w:cs="Times New Roman"/>
          <w:color w:val="auto"/>
        </w:rPr>
        <w:t>Τέλος</w:t>
      </w:r>
      <w:r w:rsidR="000414BC" w:rsidRPr="000414BC">
        <w:rPr>
          <w:rFonts w:eastAsia="Calibri" w:cs="Times New Roman"/>
          <w:color w:val="auto"/>
        </w:rPr>
        <w:t xml:space="preserve"> </w:t>
      </w:r>
      <w:r w:rsidR="000414BC">
        <w:rPr>
          <w:rFonts w:eastAsia="Calibri" w:cs="Times New Roman"/>
          <w:color w:val="auto"/>
        </w:rPr>
        <w:t>ενδεχόμενες</w:t>
      </w:r>
      <w:r w:rsidR="000414BC" w:rsidRPr="00D25A31">
        <w:rPr>
          <w:rFonts w:eastAsia="Calibri" w:cs="Times New Roman"/>
          <w:color w:val="auto"/>
        </w:rPr>
        <w:t xml:space="preserve"> παρατεταμένες πληθωριστικές πιέσεις -ιδίως στην ενέργεια- </w:t>
      </w:r>
      <w:r w:rsidR="000414BC">
        <w:rPr>
          <w:rFonts w:eastAsia="Calibri" w:cs="Times New Roman"/>
          <w:color w:val="auto"/>
        </w:rPr>
        <w:t>πιθανώς ν</w:t>
      </w:r>
      <w:r w:rsidR="000414BC" w:rsidRPr="00D25A31">
        <w:rPr>
          <w:rFonts w:eastAsia="Calibri" w:cs="Times New Roman"/>
          <w:color w:val="auto"/>
        </w:rPr>
        <w:t>α απαιτήσουν ενδεχομένως τη λήψη αντισταθμιστικών μέτρων</w:t>
      </w:r>
      <w:r w:rsidR="000414BC">
        <w:rPr>
          <w:rFonts w:eastAsia="Calibri" w:cs="Times New Roman"/>
          <w:color w:val="auto"/>
        </w:rPr>
        <w:t>. Σε ένα τέτοιο δυσμενές σενάριο, αναφορικά με την εξέλιξη των τιμών της ενέργειας, τίθεται συνολικά κίνδυνος όσον αφορά στις δημοσιονομικές προβλέψεις οι οποίες μπορεί να διαψευσθούν στο βαθμό που η επιβάρυνση των ενεργειακών τιμών θα είναι σημαντική.</w:t>
      </w:r>
    </w:p>
    <w:p w14:paraId="0DACAF35" w14:textId="767F8FAD" w:rsidR="00E920C7" w:rsidRPr="0097391A" w:rsidRDefault="00E920C7" w:rsidP="00E920C7">
      <w:pPr>
        <w:tabs>
          <w:tab w:val="left" w:pos="1113"/>
        </w:tabs>
        <w:spacing w:after="0" w:line="240" w:lineRule="auto"/>
        <w:ind w:left="142" w:hanging="142"/>
      </w:pPr>
    </w:p>
    <w:p w14:paraId="34CA303D" w14:textId="77777777" w:rsidR="00E920C7" w:rsidRPr="0097391A" w:rsidRDefault="00E920C7" w:rsidP="00E920C7">
      <w:pPr>
        <w:spacing w:after="0" w:line="240" w:lineRule="auto"/>
        <w:rPr>
          <w:rFonts w:eastAsia="Calibri" w:cs="Times New Roman"/>
          <w:iCs/>
          <w:color w:val="00B0F0"/>
          <w:sz w:val="20"/>
          <w:szCs w:val="20"/>
        </w:rPr>
      </w:pPr>
    </w:p>
    <w:p w14:paraId="4BA95F8A" w14:textId="77777777" w:rsidR="00E920C7" w:rsidRPr="0097391A" w:rsidRDefault="00E920C7" w:rsidP="00E920C7">
      <w:pPr>
        <w:jc w:val="left"/>
        <w:rPr>
          <w:iCs/>
        </w:rPr>
      </w:pPr>
    </w:p>
    <w:p w14:paraId="0849954E" w14:textId="77777777" w:rsidR="00E920C7" w:rsidRPr="0097391A" w:rsidRDefault="00E920C7">
      <w:pPr>
        <w:spacing w:after="160" w:line="0" w:lineRule="auto"/>
        <w:jc w:val="left"/>
        <w:rPr>
          <w:i/>
          <w:color w:val="00A3E0"/>
          <w:sz w:val="32"/>
          <w:szCs w:val="32"/>
          <w:u w:val="single"/>
        </w:rPr>
      </w:pPr>
      <w:r w:rsidRPr="0097391A">
        <w:rPr>
          <w:i/>
          <w:color w:val="00A3E0"/>
          <w:sz w:val="32"/>
          <w:szCs w:val="32"/>
          <w:u w:val="single"/>
        </w:rPr>
        <w:br w:type="page"/>
      </w:r>
    </w:p>
    <w:p w14:paraId="37CD5AD1" w14:textId="1FCE1103" w:rsidR="00607398" w:rsidRPr="00E920C7" w:rsidRDefault="00607398" w:rsidP="00527989">
      <w:pPr>
        <w:jc w:val="center"/>
        <w:outlineLvl w:val="1"/>
        <w:rPr>
          <w:i/>
          <w:color w:val="00A3E0"/>
          <w:sz w:val="32"/>
          <w:szCs w:val="32"/>
        </w:rPr>
      </w:pPr>
      <w:bookmarkStart w:id="168" w:name="_Toc89172845"/>
      <w:r w:rsidRPr="00812324">
        <w:rPr>
          <w:i/>
          <w:color w:val="00A3E0"/>
          <w:sz w:val="32"/>
          <w:szCs w:val="32"/>
          <w:u w:val="single"/>
        </w:rPr>
        <w:lastRenderedPageBreak/>
        <w:t>ΠΑΡΑΡΤΗΜΑ</w:t>
      </w:r>
      <w:r w:rsidRPr="00E920C7">
        <w:rPr>
          <w:i/>
          <w:color w:val="00A3E0"/>
          <w:sz w:val="32"/>
          <w:szCs w:val="32"/>
          <w:u w:val="single"/>
        </w:rPr>
        <w:t>:</w:t>
      </w:r>
      <w:r w:rsidRPr="00E920C7">
        <w:rPr>
          <w:i/>
          <w:color w:val="00A3E0"/>
          <w:sz w:val="32"/>
          <w:szCs w:val="32"/>
        </w:rPr>
        <w:t xml:space="preserve"> </w:t>
      </w:r>
      <w:r w:rsidR="0097391A" w:rsidRPr="0097391A">
        <w:rPr>
          <w:i/>
          <w:color w:val="00A3E0"/>
          <w:sz w:val="32"/>
          <w:szCs w:val="32"/>
        </w:rPr>
        <w:t>Η Εξέλιξη του πλαισίου Δημοσιονομικής Διακυβέρνησης της Ευρωπαϊκής Ένωσης</w:t>
      </w:r>
      <w:bookmarkEnd w:id="168"/>
      <w:r w:rsidRPr="00E920C7">
        <w:rPr>
          <w:i/>
          <w:color w:val="00A3E0"/>
          <w:sz w:val="32"/>
          <w:szCs w:val="32"/>
        </w:rPr>
        <w:t xml:space="preserve"> </w:t>
      </w:r>
    </w:p>
    <w:p w14:paraId="42E2F076" w14:textId="0A07F66B" w:rsidR="00E21381" w:rsidRPr="00E21381" w:rsidRDefault="00E21381" w:rsidP="00E213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right="-108"/>
        <w:rPr>
          <w:rFonts w:eastAsia="Times New Roman" w:cstheme="minorHAnsi"/>
          <w:b/>
          <w:color w:val="202124"/>
          <w:lang w:eastAsia="el-GR"/>
        </w:rPr>
      </w:pPr>
      <w:r w:rsidRPr="00E21381">
        <w:rPr>
          <w:rFonts w:eastAsia="Times New Roman" w:cstheme="minorHAnsi"/>
          <w:b/>
          <w:color w:val="202124"/>
          <w:lang w:eastAsia="el-GR"/>
        </w:rPr>
        <w:t>Το Σύμφωνο Σταθερότητας και Ανάπτυξης (ΣΣΑ)</w:t>
      </w:r>
    </w:p>
    <w:p w14:paraId="1DD63D88" w14:textId="324F5A8B" w:rsidR="00E21381" w:rsidRPr="00E21381" w:rsidRDefault="00E21381" w:rsidP="00E213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8823"/>
          <w:tab w:val="left" w:pos="10076"/>
          <w:tab w:val="left" w:pos="10992"/>
          <w:tab w:val="left" w:pos="11908"/>
          <w:tab w:val="left" w:pos="12824"/>
          <w:tab w:val="left" w:pos="13740"/>
          <w:tab w:val="left" w:pos="14656"/>
        </w:tabs>
        <w:spacing w:after="0"/>
        <w:ind w:left="34" w:hanging="108"/>
        <w:rPr>
          <w:rFonts w:eastAsia="Times New Roman" w:cstheme="minorHAnsi"/>
          <w:color w:val="auto"/>
        </w:rPr>
      </w:pPr>
      <w:r w:rsidRPr="00E21381">
        <w:rPr>
          <w:rFonts w:eastAsia="Times New Roman" w:cstheme="minorHAnsi"/>
          <w:color w:val="202124"/>
          <w:lang w:eastAsia="el-GR"/>
        </w:rPr>
        <w:t xml:space="preserve"> Οι δημοσιονομικοί κανόνες κατοχυρώθηκαν στα ιδρυτικά έγγραφα της Ευρωπαϊκής Νομισματικής Ένωσης με τη Συνθήκη του Μάαστριχτ του 1992</w:t>
      </w:r>
      <w:r w:rsidR="00527989">
        <w:rPr>
          <w:rFonts w:eastAsia="Times New Roman" w:cstheme="minorHAnsi"/>
          <w:color w:val="202124"/>
          <w:lang w:eastAsia="el-GR"/>
        </w:rPr>
        <w:t>,</w:t>
      </w:r>
      <w:r w:rsidRPr="00E21381">
        <w:rPr>
          <w:rFonts w:eastAsia="Times New Roman" w:cstheme="minorHAnsi"/>
          <w:color w:val="202124"/>
          <w:lang w:eastAsia="el-GR"/>
        </w:rPr>
        <w:t xml:space="preserve"> όπου απαιτούσε από τα υφιστάμενα κράτη-μέλη, καθώς και  τα υποψήφια, να διατηρούν το δημόσιο χρέος κάτω από το 60% και τα δημόσια ελλείμματα κάτω από το 3% του ΑΕΠ. Το Σύμφωνο Σταθερότητας και Ανάπτυξης (ΣΣΑ), που θεσπίστηκε το 1997, εξειδίκευσε περαιτέρω αυτούς τους κανόνες και τους μηχανισμούς επιβολής τους, με τους κανονισμούς του Συμβουλίου που απαρτίζουν το Σύμφωνο (ΕΚ) 1466/97 και (ΕΚ) 1467/97 (προληπτικό και διορθωτικό σκέλος αντίστοιχα). </w:t>
      </w:r>
      <w:r w:rsidRPr="00E21381">
        <w:rPr>
          <w:rFonts w:eastAsia="Times New Roman" w:cstheme="minorHAnsi"/>
          <w:color w:val="auto"/>
        </w:rPr>
        <w:t>Με γνώμονα την τήρηση των δημοσιονομικών κανόνων για το χρέος και το έλλειμμα που καθόριζε η Συνθήκη του Μάαστριχτ, οι κανονισμοί του Συμβουλίου</w:t>
      </w:r>
      <w:r w:rsidR="00527989">
        <w:rPr>
          <w:rFonts w:eastAsia="Times New Roman" w:cstheme="minorHAnsi"/>
          <w:color w:val="auto"/>
        </w:rPr>
        <w:t xml:space="preserve"> και</w:t>
      </w:r>
      <w:r w:rsidRPr="00E21381">
        <w:rPr>
          <w:rFonts w:eastAsia="Times New Roman" w:cstheme="minorHAnsi"/>
          <w:color w:val="auto"/>
        </w:rPr>
        <w:t xml:space="preserve"> οι κανονισμοί του ΣΣΑ καθόριζαν έναν ενιαίο μεσοπρόθεσμο δημοσιονομικό στόχο, ισοσκελισμένο η πλεονασματικό, για όλα τα </w:t>
      </w:r>
      <w:r w:rsidR="00527989">
        <w:rPr>
          <w:rFonts w:eastAsia="Times New Roman" w:cstheme="minorHAnsi"/>
          <w:color w:val="auto"/>
        </w:rPr>
        <w:t>κράτη μέλη</w:t>
      </w:r>
      <w:r w:rsidRPr="00E21381">
        <w:rPr>
          <w:rFonts w:eastAsia="Times New Roman" w:cstheme="minorHAnsi"/>
          <w:color w:val="auto"/>
        </w:rPr>
        <w:t>, ενώ κύριο μέλημά τους ήταν η προώθηση υγιών δημοσιονομικών πολιτικών και η διασφάλιση της διατηρησι</w:t>
      </w:r>
      <w:r w:rsidR="00527989">
        <w:rPr>
          <w:rFonts w:eastAsia="Times New Roman" w:cstheme="minorHAnsi"/>
          <w:color w:val="auto"/>
        </w:rPr>
        <w:t>μότητας των δημόσιων οικονομικών</w:t>
      </w:r>
      <w:r w:rsidRPr="00E21381">
        <w:rPr>
          <w:rFonts w:eastAsia="Times New Roman" w:cstheme="minorHAnsi"/>
          <w:color w:val="auto"/>
        </w:rPr>
        <w:t xml:space="preserve">. Από το 1997 έως σήμερα το ΣΣΑ έχει τροποποιηθεί </w:t>
      </w:r>
      <w:r w:rsidR="00C1734E">
        <w:rPr>
          <w:rFonts w:eastAsia="Times New Roman" w:cstheme="minorHAnsi"/>
          <w:color w:val="auto"/>
        </w:rPr>
        <w:t>δύο</w:t>
      </w:r>
      <w:r w:rsidRPr="00E21381">
        <w:rPr>
          <w:rFonts w:eastAsia="Times New Roman" w:cstheme="minorHAnsi"/>
          <w:color w:val="auto"/>
        </w:rPr>
        <w:t xml:space="preserve"> φορές, προκειμένου να  προσαρμοστεί στο μεταβαλλόμενο οικονομικό περιβάλλον και να καταστεί πιο εφαρμόσιμο και αποτελεσματικό, ως προς την απαιτούμενη δημοσιονομική συμμόρφωση των </w:t>
      </w:r>
      <w:r w:rsidR="00C1734E">
        <w:rPr>
          <w:rFonts w:eastAsia="Times New Roman" w:cstheme="minorHAnsi"/>
          <w:color w:val="auto"/>
        </w:rPr>
        <w:t>κρατών μελών</w:t>
      </w:r>
      <w:r w:rsidRPr="00E21381">
        <w:rPr>
          <w:rFonts w:eastAsia="Times New Roman" w:cstheme="minorHAnsi"/>
          <w:color w:val="auto"/>
        </w:rPr>
        <w:t xml:space="preserve">.  </w:t>
      </w:r>
    </w:p>
    <w:p w14:paraId="3F0341EE" w14:textId="77777777" w:rsidR="00E21381" w:rsidRPr="00E21381" w:rsidRDefault="00E21381" w:rsidP="00E213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theme="minorHAnsi"/>
          <w:color w:val="auto"/>
        </w:rPr>
      </w:pPr>
    </w:p>
    <w:p w14:paraId="7B0511C9" w14:textId="77777777" w:rsidR="00E21381" w:rsidRPr="00E21381" w:rsidRDefault="00E21381" w:rsidP="00E213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right="-108"/>
        <w:rPr>
          <w:rFonts w:eastAsia="Times New Roman" w:cstheme="minorHAnsi"/>
          <w:b/>
          <w:color w:val="auto"/>
        </w:rPr>
      </w:pPr>
      <w:r w:rsidRPr="00E21381">
        <w:rPr>
          <w:rFonts w:eastAsia="Times New Roman" w:cstheme="minorHAnsi"/>
          <w:b/>
          <w:color w:val="auto"/>
        </w:rPr>
        <w:t>Η πρώτη τροποποίηση του ΣΣΑ το 2005</w:t>
      </w:r>
      <w:r w:rsidRPr="00E21381">
        <w:rPr>
          <w:rFonts w:eastAsia="Times New Roman" w:cstheme="minorHAnsi"/>
          <w:b/>
          <w:color w:val="auto"/>
          <w:vertAlign w:val="superscript"/>
        </w:rPr>
        <w:footnoteReference w:id="32"/>
      </w:r>
    </w:p>
    <w:p w14:paraId="64F4EC09" w14:textId="1D29C9C0" w:rsidR="00E21381" w:rsidRPr="00E21381" w:rsidRDefault="0027772F" w:rsidP="00E213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alibri" w:cstheme="minorHAnsi"/>
          <w:color w:val="auto"/>
        </w:rPr>
      </w:pPr>
      <w:r w:rsidRPr="0027772F">
        <w:rPr>
          <w:rFonts w:eastAsia="Calibri" w:cstheme="minorHAnsi"/>
          <w:color w:val="auto"/>
        </w:rPr>
        <w:t xml:space="preserve">Η συγκρότηση της ΟΝΕ το 1999 και η  κυκλοφορία του ενιαίου νομίσματος δύο χρόνια αργότερα διαμόρφωσαν ένα νέο περιβάλλον, όπου πολλές χώρες, εξαιτίας της συνεχούς δημοσιονομικής πειθαρχίας για την είσοδό τους στην ΟΝΕ, εμφάνισαν σημάδια δημοσιονομικής  χαλαρότητας, αποκλίνοντας σημαντικά από τους κανόνες που καθόριζε το ΣΣΑ. Η </w:t>
      </w:r>
      <w:r w:rsidR="0069612F">
        <w:rPr>
          <w:rFonts w:eastAsia="Calibri" w:cstheme="minorHAnsi"/>
          <w:color w:val="auto"/>
        </w:rPr>
        <w:t>πλειονότητα</w:t>
      </w:r>
      <w:r w:rsidRPr="0027772F">
        <w:rPr>
          <w:rFonts w:eastAsia="Calibri" w:cstheme="minorHAnsi"/>
          <w:color w:val="auto"/>
        </w:rPr>
        <w:t xml:space="preserve"> των χωρών μελών της ΟΝΕ υπερέβη  την τιμή αναφοράς για το έλλειμμα του 3%, ανάμεσά τους και χώρες όπως η  Γερμανία και η Γαλλία. Συνέπεια αυτών των εξελίξεων αντί της επιβολής των προβλεπόμενων κυρώσεων στις παρεκκλίνουσες χώρες ήταν να υιοθετηθεί η πρώτη μεταρρύθμιση του ΣΣΑ</w:t>
      </w:r>
      <w:r w:rsidR="00E21381" w:rsidRPr="00E21381">
        <w:rPr>
          <w:rFonts w:eastAsia="Calibri" w:cstheme="minorHAnsi"/>
          <w:color w:val="auto"/>
        </w:rPr>
        <w:t>.</w:t>
      </w:r>
    </w:p>
    <w:p w14:paraId="23101001" w14:textId="77777777" w:rsidR="00E21381" w:rsidRPr="00E21381" w:rsidRDefault="00E21381" w:rsidP="00E213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alibri" w:cstheme="minorHAnsi"/>
          <w:color w:val="auto"/>
        </w:rPr>
      </w:pPr>
    </w:p>
    <w:p w14:paraId="2D828BDC" w14:textId="05ED5391" w:rsidR="00E21381" w:rsidRDefault="00E21381" w:rsidP="00E213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alibri" w:cstheme="minorHAnsi"/>
          <w:color w:val="auto"/>
        </w:rPr>
      </w:pPr>
      <w:r w:rsidRPr="00E21381">
        <w:rPr>
          <w:rFonts w:eastAsia="Calibri" w:cstheme="minorHAnsi"/>
          <w:color w:val="auto"/>
        </w:rPr>
        <w:t xml:space="preserve">Η λογική </w:t>
      </w:r>
      <w:r w:rsidR="0027772F">
        <w:rPr>
          <w:rFonts w:eastAsia="Calibri" w:cstheme="minorHAnsi"/>
          <w:color w:val="auto"/>
        </w:rPr>
        <w:t xml:space="preserve">αυτή της πρώτης μεταρρύθμισης </w:t>
      </w:r>
      <w:r w:rsidRPr="00E21381">
        <w:rPr>
          <w:rFonts w:eastAsia="Calibri" w:cstheme="minorHAnsi"/>
          <w:color w:val="auto"/>
        </w:rPr>
        <w:t xml:space="preserve">ήταν να παρασχεθεί στα κράτη μέλη της ΟΝΕ μεγαλύτερη ευελιξία δίνοντας έμφαση τόσο στα ιδιαίτερα χαρακτηριστικά τους όσο και </w:t>
      </w:r>
      <w:r w:rsidR="0027772F">
        <w:rPr>
          <w:rFonts w:eastAsia="Calibri" w:cstheme="minorHAnsi"/>
          <w:color w:val="auto"/>
        </w:rPr>
        <w:t>στις</w:t>
      </w:r>
      <w:r w:rsidRPr="00E21381">
        <w:rPr>
          <w:rFonts w:eastAsia="Calibri" w:cstheme="minorHAnsi"/>
          <w:color w:val="auto"/>
        </w:rPr>
        <w:t xml:space="preserve"> οικονομικές συνθήκες</w:t>
      </w:r>
      <w:r w:rsidR="0027772F">
        <w:rPr>
          <w:rFonts w:eastAsia="Calibri" w:cstheme="minorHAnsi"/>
          <w:color w:val="auto"/>
        </w:rPr>
        <w:t xml:space="preserve"> που επικρατούν</w:t>
      </w:r>
      <w:r w:rsidRPr="00E21381">
        <w:rPr>
          <w:rFonts w:eastAsia="Calibri" w:cstheme="minorHAnsi"/>
          <w:color w:val="auto"/>
        </w:rPr>
        <w:t xml:space="preserve">, κατά τη διαδικασία αξιολόγησης της συμμόρφωσης με τις τιμές αναφοράς του 3% και του χρέους 60%,  για έλλειμμα και </w:t>
      </w:r>
      <w:r w:rsidR="00C1734E">
        <w:rPr>
          <w:rFonts w:eastAsia="Calibri" w:cstheme="minorHAnsi"/>
          <w:color w:val="auto"/>
        </w:rPr>
        <w:t>δημόσιο</w:t>
      </w:r>
      <w:r w:rsidRPr="00E21381">
        <w:rPr>
          <w:rFonts w:eastAsia="Calibri" w:cstheme="minorHAnsi"/>
          <w:color w:val="auto"/>
        </w:rPr>
        <w:t xml:space="preserve"> χρέος αντίστοιχα. Με</w:t>
      </w:r>
      <w:r w:rsidR="00527989" w:rsidRPr="00527989">
        <w:rPr>
          <w:rFonts w:eastAsia="Calibri" w:cstheme="minorHAnsi"/>
          <w:color w:val="auto"/>
        </w:rPr>
        <w:t xml:space="preserve"> </w:t>
      </w:r>
      <w:r w:rsidRPr="00E21381">
        <w:rPr>
          <w:rFonts w:eastAsia="Calibri" w:cstheme="minorHAnsi"/>
          <w:color w:val="auto"/>
        </w:rPr>
        <w:t xml:space="preserve">την τροποποίηση, οι νέοι κανονισμοί επιδίωκαν να ενισχύσουν την αναπτυξιακή διάσταση στο ΣΣΑ, καθόσον κατά την διαδικασία προσαρμογής προς το Μεσοπρόθεσμο Δημοσιονομικό Στόχο (ΜΔΣ), λαμβάνονταν  υπόψη η εφαρμογή σημαντικών διαρθρωτικών μεταρρυθμίσεων, υπό την προϋπόθεση ότι έχουν επαληθεύσιμο αντίκτυπο στη μακροπρόθεσμη </w:t>
      </w:r>
      <w:r w:rsidRPr="00E21381">
        <w:rPr>
          <w:rFonts w:eastAsia="Calibri" w:cstheme="minorHAnsi"/>
          <w:color w:val="auto"/>
        </w:rPr>
        <w:lastRenderedPageBreak/>
        <w:t xml:space="preserve">διατηρησιμότητα των δημόσιων οικονομικών (όπως συνταξιοδοτικές μεταρρυθμίσεις) ή αυξάνουν την αναπτυξιακή δυναμική της χώρας, μειώνοντας </w:t>
      </w:r>
      <w:r w:rsidR="00C1734E">
        <w:rPr>
          <w:rFonts w:eastAsia="Calibri" w:cstheme="minorHAnsi"/>
          <w:color w:val="auto"/>
        </w:rPr>
        <w:t xml:space="preserve">μεσο-μακροπρόθεσμα </w:t>
      </w:r>
      <w:r w:rsidRPr="00E21381">
        <w:rPr>
          <w:rFonts w:eastAsia="Calibri" w:cstheme="minorHAnsi"/>
          <w:color w:val="auto"/>
        </w:rPr>
        <w:t xml:space="preserve">το επίπεδο </w:t>
      </w:r>
      <w:r w:rsidR="00C1734E">
        <w:rPr>
          <w:rFonts w:eastAsia="Calibri" w:cstheme="minorHAnsi"/>
          <w:color w:val="auto"/>
        </w:rPr>
        <w:t xml:space="preserve">δημοσίου </w:t>
      </w:r>
      <w:r w:rsidRPr="00E21381">
        <w:rPr>
          <w:rFonts w:eastAsia="Calibri" w:cstheme="minorHAnsi"/>
          <w:color w:val="auto"/>
        </w:rPr>
        <w:t>χρέους ως ποσοστό του ΑΕΠ.</w:t>
      </w:r>
    </w:p>
    <w:p w14:paraId="2B98EB42" w14:textId="77777777" w:rsidR="00527989" w:rsidRPr="00E21381" w:rsidRDefault="00527989" w:rsidP="00E213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alibri" w:cstheme="minorHAnsi"/>
          <w:color w:val="auto"/>
        </w:rPr>
      </w:pPr>
    </w:p>
    <w:p w14:paraId="40B00E29" w14:textId="77777777" w:rsidR="00527989" w:rsidRDefault="00E21381" w:rsidP="00527989">
      <w:pPr>
        <w:shd w:val="clear" w:color="auto" w:fill="FFFFFF" w:themeFill="background1"/>
        <w:spacing w:after="0" w:line="360" w:lineRule="auto"/>
        <w:rPr>
          <w:rFonts w:eastAsia="Calibri" w:cstheme="minorHAnsi"/>
          <w:b/>
          <w:color w:val="auto"/>
        </w:rPr>
      </w:pPr>
      <w:r w:rsidRPr="00E21381">
        <w:rPr>
          <w:rFonts w:eastAsia="Calibri" w:cstheme="minorHAnsi"/>
          <w:b/>
          <w:color w:val="auto"/>
        </w:rPr>
        <w:t>Η δεύτερη τροποποίηση του ΣΣΑ το 2011 από το Six Pack</w:t>
      </w:r>
    </w:p>
    <w:p w14:paraId="18DC1B8D" w14:textId="0E769F93" w:rsidR="00E21381" w:rsidRPr="00E21381" w:rsidRDefault="00E21381" w:rsidP="00C1734E">
      <w:pPr>
        <w:shd w:val="clear" w:color="auto" w:fill="FFFFFF" w:themeFill="background1"/>
        <w:spacing w:after="160"/>
        <w:rPr>
          <w:rFonts w:eastAsia="Calibri" w:cstheme="minorHAnsi"/>
          <w:color w:val="auto"/>
        </w:rPr>
      </w:pPr>
      <w:r w:rsidRPr="00E21381">
        <w:rPr>
          <w:rFonts w:eastAsia="Calibri" w:cstheme="minorHAnsi"/>
          <w:color w:val="auto"/>
        </w:rPr>
        <w:t>Η οικονομική και χρηματοπιστωτική κρίση του 2008 έφερε στο προσκήνιο ξανά σημαντικές δημοσιονομικές ανισορροπίες σε ορισμένες χώρες της ΕΕ, οι οποίες θεωρήθηκαν σημαντικός  παράγοντας της κρίσης στην ευρωζώνη, γεγονός που κατέδειξε την ανάγκη για μια δεύτερη τροποποίηση των κανόνων του ΣΣΑ. Αυτή πραγματοποιήθηκε το 2011, στο πλαίσιο υιοθέτησης της δέσμης των έξι νομοθετικών πράξεων γνωστή ως Six Pack, το οποίο περιλάμβανε 5 κανονισμούς και μια οδηγία</w:t>
      </w:r>
      <w:r w:rsidRPr="00E21381">
        <w:rPr>
          <w:rFonts w:eastAsia="Calibri" w:cstheme="minorHAnsi"/>
          <w:color w:val="auto"/>
          <w:vertAlign w:val="superscript"/>
        </w:rPr>
        <w:footnoteReference w:id="33"/>
      </w:r>
      <w:r w:rsidRPr="00E21381">
        <w:rPr>
          <w:rFonts w:eastAsia="Calibri" w:cstheme="minorHAnsi"/>
          <w:color w:val="auto"/>
        </w:rPr>
        <w:t xml:space="preserve">. </w:t>
      </w:r>
    </w:p>
    <w:p w14:paraId="24C9A5CA" w14:textId="68830E42" w:rsidR="00E21381" w:rsidRPr="00E21381" w:rsidRDefault="00E21381" w:rsidP="00C1734E">
      <w:pPr>
        <w:shd w:val="clear" w:color="auto" w:fill="FFFFFF" w:themeFill="background1"/>
        <w:autoSpaceDE w:val="0"/>
        <w:autoSpaceDN w:val="0"/>
        <w:adjustRightInd w:val="0"/>
        <w:spacing w:after="160"/>
        <w:rPr>
          <w:rFonts w:eastAsia="Calibri" w:cstheme="minorHAnsi"/>
          <w:color w:val="auto"/>
        </w:rPr>
      </w:pPr>
      <w:r w:rsidRPr="00E21381">
        <w:rPr>
          <w:rFonts w:eastAsia="Calibri" w:cstheme="minorHAnsi"/>
          <w:color w:val="auto"/>
        </w:rPr>
        <w:t>Η υιοθέτηση του six-pack, περιελάμβανε σκόπιμα περαιτέρω ευελιξία στον τρόπο με τον οποίον θα έπρεπε να εφαρμόζονται οι κανόνες. Η καθιέρωση ρητρών διαφυγής (escape clauses)</w:t>
      </w:r>
      <w:r w:rsidRPr="00E21381">
        <w:rPr>
          <w:rFonts w:eastAsia="Calibri" w:cstheme="minorHAnsi"/>
          <w:color w:val="auto"/>
          <w:vertAlign w:val="superscript"/>
          <w:lang w:val="en-US"/>
        </w:rPr>
        <w:footnoteReference w:id="34"/>
      </w:r>
      <w:r w:rsidRPr="00E21381">
        <w:rPr>
          <w:rFonts w:eastAsia="Calibri" w:cstheme="minorHAnsi"/>
          <w:color w:val="auto"/>
        </w:rPr>
        <w:t>,  επέτρεπε, μέσω μιας μεγαλύτερης ευελιξίας, να επιτευχθεί ευκολότερα η ορθή ισορροπία μεταξύ του στόχου διασφάλισης συνετής δημοσιονομικής πολιτικής και σταθεροποίησης της οικονομίας. Για το σκοπό αυτό, παρέχονταν και στην Ευρωπαϊκή Επιτροπή (ΕΕ) διακριτική ευχέρεια ή ένα περιθώριο ερμηνείας των κανόνων, ιδιαίτερα κατά την διαδικασία αξιολόγησης των προγραμμάτων Σταθερότητας. Σύμφωνα με το νέο πλαίσιο, η ΕΕ θα μπορούσε να αξιολογεί την ευρωστία των δημόσιων οικονομικών κάθε κράτους-μέλους, υπό το πρίσμα των ιδιαιτεροτήτων του, ώστε να προτείνει την λήψη μέτρων με βάση την τρέχουσα οικονομική συγκυρία.</w:t>
      </w:r>
    </w:p>
    <w:p w14:paraId="66E9F7F1" w14:textId="26628AA6" w:rsidR="00E21381" w:rsidRPr="00E21381" w:rsidRDefault="00E21381" w:rsidP="00C1734E">
      <w:pPr>
        <w:shd w:val="clear" w:color="auto" w:fill="FFFFFF" w:themeFill="background1"/>
        <w:autoSpaceDE w:val="0"/>
        <w:autoSpaceDN w:val="0"/>
        <w:adjustRightInd w:val="0"/>
        <w:spacing w:after="0"/>
        <w:rPr>
          <w:rFonts w:eastAsia="Calibri" w:cstheme="minorHAnsi"/>
          <w:b/>
          <w:color w:val="auto"/>
        </w:rPr>
      </w:pPr>
      <w:r w:rsidRPr="00E21381">
        <w:rPr>
          <w:rFonts w:eastAsia="Calibri" w:cstheme="minorHAnsi"/>
          <w:color w:val="auto"/>
        </w:rPr>
        <w:t xml:space="preserve">Επιδίωξη του Six Pack ήταν να αντιμετωπιστεί πρωτίστως η έλλειψη συντονισμού μεταξύ της ενιαίας νομισματικής πολιτικής και των εθνικών δημοσιονομικών πολιτικών, που είχε παρατηρηθεί ιδιαίτερα σε χώρες της περιφέρειας κατά τα πρώτα χρόνια λειτουργίας της ΟΝΕ, οδηγώντας, μεταξύ άλλων, σε σημαντικές αποκλίσεις μεταξύ των οικονομιών της ευρωζώνης. Οι δημοσιονομικές μεταρρυθμίσεις που εισήχθησαν, αποσκοπούσαν στην διασφάλιση συνετής δημοσιονομικής πολιτικής  από τα </w:t>
      </w:r>
      <w:r w:rsidR="00C1734E">
        <w:rPr>
          <w:rFonts w:eastAsia="Calibri" w:cstheme="minorHAnsi"/>
          <w:color w:val="auto"/>
        </w:rPr>
        <w:t>κράτη-μέλη</w:t>
      </w:r>
      <w:r w:rsidRPr="00E21381">
        <w:rPr>
          <w:rFonts w:eastAsia="Calibri" w:cstheme="minorHAnsi"/>
          <w:color w:val="auto"/>
        </w:rPr>
        <w:t xml:space="preserve"> και στην διόρθωση των δημοσιονομικών ανισορροπιών, μέσω κυρίως μέτρων επιβολής κυρώσεων που καθιερώνονταν τόσο για τα </w:t>
      </w:r>
      <w:r w:rsidR="00C1734E">
        <w:rPr>
          <w:rFonts w:eastAsia="Calibri" w:cstheme="minorHAnsi"/>
          <w:color w:val="auto"/>
        </w:rPr>
        <w:t>κράτη</w:t>
      </w:r>
      <w:r w:rsidRPr="00E21381">
        <w:rPr>
          <w:rFonts w:eastAsia="Calibri" w:cstheme="minorHAnsi"/>
          <w:color w:val="auto"/>
        </w:rPr>
        <w:t xml:space="preserve"> που ανήκαν στο προληπτικό σκέλος όσο και γι’ αυτά που </w:t>
      </w:r>
      <w:r w:rsidR="00815A4B">
        <w:rPr>
          <w:rFonts w:eastAsia="Calibri" w:cstheme="minorHAnsi"/>
          <w:color w:val="auto"/>
        </w:rPr>
        <w:t>βρίσκονταν</w:t>
      </w:r>
      <w:r w:rsidRPr="00E21381">
        <w:rPr>
          <w:rFonts w:eastAsia="Calibri" w:cstheme="minorHAnsi"/>
          <w:color w:val="auto"/>
        </w:rPr>
        <w:t xml:space="preserve"> σε διαδικασία υπερβολικού ελλείμματος (</w:t>
      </w:r>
      <w:r w:rsidR="00815A4B">
        <w:rPr>
          <w:rFonts w:eastAsia="Calibri" w:cstheme="minorHAnsi"/>
          <w:color w:val="auto"/>
        </w:rPr>
        <w:t xml:space="preserve">ΔΥΕ - </w:t>
      </w:r>
      <w:r w:rsidRPr="00E21381">
        <w:rPr>
          <w:rFonts w:eastAsia="Calibri" w:cstheme="minorHAnsi"/>
          <w:color w:val="auto"/>
        </w:rPr>
        <w:t>διορθωτικό σκέλος). Ταυτόχρονα</w:t>
      </w:r>
      <w:r w:rsidR="0069612F">
        <w:rPr>
          <w:rFonts w:eastAsia="Calibri" w:cstheme="minorHAnsi"/>
          <w:color w:val="auto"/>
        </w:rPr>
        <w:t>,</w:t>
      </w:r>
      <w:r w:rsidRPr="00E21381">
        <w:rPr>
          <w:rFonts w:eastAsia="Calibri" w:cstheme="minorHAnsi"/>
          <w:color w:val="auto"/>
        </w:rPr>
        <w:t xml:space="preserve"> επιδιώκονταν ενίσχυση της εθνικής κυριαρχίας για την άσκηση ενιαίας και συνετής δημοσιονομικής πολιτικής, με την</w:t>
      </w:r>
      <w:r w:rsidRPr="00E21381">
        <w:rPr>
          <w:rFonts w:eastAsia="Calibri" w:cstheme="minorHAnsi"/>
          <w:b/>
          <w:color w:val="auto"/>
        </w:rPr>
        <w:t xml:space="preserve"> </w:t>
      </w:r>
      <w:r w:rsidRPr="00E21381">
        <w:rPr>
          <w:rFonts w:eastAsia="Calibri" w:cstheme="minorHAnsi"/>
          <w:color w:val="auto"/>
        </w:rPr>
        <w:t xml:space="preserve">καθιέρωση ομοιόμορφων και ελάχιστων χαρακτηριστικών που έπρεπε να διαθέτουν τα εθνικά δημοσιονομικά πλαίσια των </w:t>
      </w:r>
      <w:r w:rsidR="00C1734E">
        <w:rPr>
          <w:rFonts w:eastAsia="Calibri" w:cstheme="minorHAnsi"/>
          <w:color w:val="auto"/>
        </w:rPr>
        <w:t>κρατών-μελών</w:t>
      </w:r>
      <w:r w:rsidRPr="00E21381">
        <w:rPr>
          <w:rFonts w:eastAsia="Calibri" w:cstheme="minorHAnsi"/>
          <w:color w:val="auto"/>
        </w:rPr>
        <w:t xml:space="preserve">. Αυτά περιελάμβαναν κοινούς κανόνες για προετοιμασία των μακροοικονομικών προβλέψεων που θα στηρίζονταν οι εθνικοί προϋπολογισμοί, εξατομικευμένους αριθμητικούς δημοσιονομικούς κανόνες για κάθε </w:t>
      </w:r>
      <w:r w:rsidR="00C1734E">
        <w:rPr>
          <w:rFonts w:eastAsia="Calibri" w:cstheme="minorHAnsi"/>
          <w:color w:val="auto"/>
        </w:rPr>
        <w:t>κράτος-μέλος</w:t>
      </w:r>
      <w:r w:rsidRPr="00E21381">
        <w:rPr>
          <w:rFonts w:eastAsia="Calibri" w:cstheme="minorHAnsi"/>
          <w:color w:val="auto"/>
        </w:rPr>
        <w:t>, κοινές διαδικασίες κατάρτισης προϋπολογισμών, καθιέρωση μεσοπρόθεσμων δημοσιονομικών πλαισίων, παρακολούθηση των προϋπολογισμών από ανεξάρτητους θεσμούς, καθιέρωση κοινών λογιστικών και στατιστικών αναφορών.</w:t>
      </w:r>
    </w:p>
    <w:p w14:paraId="38D9D648" w14:textId="77777777" w:rsidR="00E21381" w:rsidRPr="00E21381" w:rsidRDefault="00E21381" w:rsidP="00E21381">
      <w:pPr>
        <w:shd w:val="clear" w:color="auto" w:fill="FFFFFF" w:themeFill="background1"/>
        <w:autoSpaceDE w:val="0"/>
        <w:autoSpaceDN w:val="0"/>
        <w:adjustRightInd w:val="0"/>
        <w:spacing w:after="0" w:line="240" w:lineRule="auto"/>
        <w:jc w:val="left"/>
        <w:rPr>
          <w:rFonts w:eastAsia="Calibri" w:cstheme="minorHAnsi"/>
          <w:b/>
          <w:color w:val="auto"/>
        </w:rPr>
      </w:pPr>
    </w:p>
    <w:p w14:paraId="13D19305" w14:textId="77777777" w:rsidR="00E21381" w:rsidRPr="00E21381" w:rsidRDefault="00E21381" w:rsidP="00E21381">
      <w:pPr>
        <w:shd w:val="clear" w:color="auto" w:fill="FFFFFF" w:themeFill="background1"/>
        <w:autoSpaceDE w:val="0"/>
        <w:autoSpaceDN w:val="0"/>
        <w:adjustRightInd w:val="0"/>
        <w:spacing w:after="0" w:line="240" w:lineRule="auto"/>
        <w:jc w:val="left"/>
        <w:rPr>
          <w:rFonts w:cstheme="minorHAnsi"/>
          <w:b/>
          <w:color w:val="000000"/>
        </w:rPr>
      </w:pPr>
      <w:r w:rsidRPr="00E21381">
        <w:rPr>
          <w:rFonts w:cstheme="minorHAnsi"/>
          <w:b/>
          <w:color w:val="000000"/>
        </w:rPr>
        <w:t>Η ψήφιση του Ευρωπαϊκού Δημοσιονομικού Συμφώνου (</w:t>
      </w:r>
      <w:r w:rsidRPr="00E21381">
        <w:rPr>
          <w:rFonts w:cstheme="minorHAnsi"/>
          <w:b/>
          <w:color w:val="000000"/>
          <w:lang w:val="en-US"/>
        </w:rPr>
        <w:t>fiscal</w:t>
      </w:r>
      <w:r w:rsidRPr="00E21381">
        <w:rPr>
          <w:rFonts w:cstheme="minorHAnsi"/>
          <w:b/>
          <w:color w:val="000000"/>
        </w:rPr>
        <w:t xml:space="preserve"> </w:t>
      </w:r>
      <w:r w:rsidRPr="00E21381">
        <w:rPr>
          <w:rFonts w:cstheme="minorHAnsi"/>
          <w:b/>
          <w:color w:val="000000"/>
          <w:lang w:val="en-US"/>
        </w:rPr>
        <w:t>compact</w:t>
      </w:r>
      <w:r w:rsidRPr="00E21381">
        <w:rPr>
          <w:rFonts w:cstheme="minorHAnsi"/>
          <w:b/>
          <w:color w:val="000000"/>
        </w:rPr>
        <w:t>)</w:t>
      </w:r>
    </w:p>
    <w:p w14:paraId="6A01E8AD" w14:textId="77777777" w:rsidR="00E21381" w:rsidRPr="00E21381" w:rsidRDefault="00E21381" w:rsidP="00E21381">
      <w:pPr>
        <w:shd w:val="clear" w:color="auto" w:fill="FFFFFF" w:themeFill="background1"/>
        <w:autoSpaceDE w:val="0"/>
        <w:autoSpaceDN w:val="0"/>
        <w:adjustRightInd w:val="0"/>
        <w:spacing w:after="0" w:line="240" w:lineRule="auto"/>
        <w:jc w:val="left"/>
        <w:rPr>
          <w:rFonts w:cstheme="minorHAnsi"/>
          <w:b/>
          <w:color w:val="000000"/>
        </w:rPr>
      </w:pPr>
    </w:p>
    <w:p w14:paraId="66482816" w14:textId="3F4FC8DB" w:rsidR="00E21381" w:rsidRPr="00E21381" w:rsidRDefault="00E21381" w:rsidP="00E213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alibri" w:cstheme="minorHAnsi"/>
          <w:color w:val="auto"/>
        </w:rPr>
      </w:pPr>
      <w:r w:rsidRPr="00E21381">
        <w:rPr>
          <w:rFonts w:eastAsia="Calibri" w:cstheme="minorHAnsi"/>
          <w:color w:val="auto"/>
        </w:rPr>
        <w:t>Τον Μάρτιο του 2012, είκοσι πέντε κράτη μέλη της ΕΕ υπέγραψαν τη διακυβερνητική συνθήκη για τη σταθερότητα και τον συντονισμό και Διακυβέρνηση στην Οικονομική και Νομισματική Ένωση (TSCG), η οποία  περιείχε το Δημοσιονομικό Σύμφωνο. Σε συνέχεια της οδηγίας 85/2011 για την ενίσχυση των εθνικών δημοσιονομικών πλαισίων, το Δημοσιονομικό Σύμφωνο περιελάμβανε διατάξεις που διασφάλιζαν ότι οι εθνικές διαδικασίες και πολιτικές ήταν σε συμφωνία με τις απαιτήσεις του ΣΣΑ. Απώτερος σκοπός ήταν να ανταποκριθεί, από κοινο</w:t>
      </w:r>
      <w:r w:rsidR="00C1734E">
        <w:rPr>
          <w:rFonts w:eastAsia="Calibri" w:cstheme="minorHAnsi"/>
          <w:color w:val="auto"/>
        </w:rPr>
        <w:t>ύ</w:t>
      </w:r>
      <w:r w:rsidRPr="00E21381">
        <w:rPr>
          <w:rFonts w:eastAsia="Calibri" w:cstheme="minorHAnsi"/>
          <w:color w:val="auto"/>
        </w:rPr>
        <w:t xml:space="preserve"> με το ΣΣΑ, στην ανάγκη να διατηρήσει υγιή και βιώσιμα δημόσια οικονομικά και να αποτρέψει το υπερβολικό </w:t>
      </w:r>
      <w:r w:rsidR="00C1734E">
        <w:rPr>
          <w:rFonts w:eastAsia="Calibri" w:cstheme="minorHAnsi"/>
          <w:color w:val="auto"/>
        </w:rPr>
        <w:t>δημοσιονομικό</w:t>
      </w:r>
      <w:r w:rsidRPr="00E21381">
        <w:rPr>
          <w:rFonts w:eastAsia="Calibri" w:cstheme="minorHAnsi"/>
          <w:color w:val="auto"/>
        </w:rPr>
        <w:t xml:space="preserve"> έλλειμμα και </w:t>
      </w:r>
      <w:r w:rsidR="00C1734E">
        <w:rPr>
          <w:rFonts w:eastAsia="Calibri" w:cstheme="minorHAnsi"/>
          <w:color w:val="auto"/>
        </w:rPr>
        <w:t xml:space="preserve">δημόσιο </w:t>
      </w:r>
      <w:r w:rsidRPr="00E21381">
        <w:rPr>
          <w:rFonts w:eastAsia="Calibri" w:cstheme="minorHAnsi"/>
          <w:color w:val="auto"/>
        </w:rPr>
        <w:t xml:space="preserve">χρέος στα </w:t>
      </w:r>
      <w:r w:rsidR="00C1734E">
        <w:rPr>
          <w:rFonts w:eastAsia="Calibri" w:cstheme="minorHAnsi"/>
          <w:color w:val="auto"/>
        </w:rPr>
        <w:t>κράτη μέλη</w:t>
      </w:r>
      <w:r w:rsidRPr="00E21381">
        <w:rPr>
          <w:rFonts w:eastAsia="Calibri" w:cstheme="minorHAnsi"/>
          <w:color w:val="auto"/>
        </w:rPr>
        <w:t>. Για το σκοπό αυτό, καθόριζε ότι, στην περίπτωση των κρατών μελών της ευρωζώνης, το έλλειμμα του προϋπολογισμού της γενικής κυβέρνησης δεν μπορεί να υπερβαίνει το 0,5% του ΑΕΠ σε όρους διαθρωτικούς (δηλαδή, αποκλείοντας τον αντίκτυπο του οικονομικού κύκλου και τα εφάπαξ φορολογικά μέτρα) ή 1% για χώρες που έχουν χρέος μικρότερο του 60%</w:t>
      </w:r>
      <w:r w:rsidR="00C1734E">
        <w:rPr>
          <w:rFonts w:eastAsia="Calibri" w:cstheme="minorHAnsi"/>
          <w:color w:val="auto"/>
        </w:rPr>
        <w:t xml:space="preserve"> του ΑΕΠ</w:t>
      </w:r>
      <w:r w:rsidRPr="00E21381">
        <w:rPr>
          <w:rFonts w:eastAsia="Calibri" w:cstheme="minorHAnsi"/>
          <w:color w:val="auto"/>
        </w:rPr>
        <w:t xml:space="preserve">. </w:t>
      </w:r>
    </w:p>
    <w:p w14:paraId="7936BBC4" w14:textId="77777777" w:rsidR="00E21381" w:rsidRPr="00E21381" w:rsidRDefault="00E21381" w:rsidP="00E213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alibri" w:cstheme="minorHAnsi"/>
          <w:color w:val="auto"/>
        </w:rPr>
      </w:pPr>
    </w:p>
    <w:p w14:paraId="43CE3DFF" w14:textId="153AAB57" w:rsidR="00E21381" w:rsidRPr="00E21381" w:rsidRDefault="00E21381" w:rsidP="00E213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alibri" w:cstheme="minorHAnsi"/>
          <w:b/>
          <w:color w:val="auto"/>
        </w:rPr>
      </w:pPr>
      <w:r w:rsidRPr="00E21381">
        <w:rPr>
          <w:rFonts w:eastAsia="Calibri" w:cstheme="minorHAnsi"/>
          <w:color w:val="auto"/>
        </w:rPr>
        <w:t xml:space="preserve">Βασική επιδίωξη του Δημοσιονομικού συμφώνου, ήταν να αντικατοπτριστούν οι ευρωπαϊκοί δημοσιονομικοί κανόνες στις εθνικές νομοθεσίες των </w:t>
      </w:r>
      <w:r w:rsidR="00C1734E">
        <w:rPr>
          <w:rFonts w:eastAsia="Calibri" w:cstheme="minorHAnsi"/>
          <w:color w:val="auto"/>
        </w:rPr>
        <w:t>κρατών-μελών</w:t>
      </w:r>
      <w:r w:rsidRPr="00E21381">
        <w:rPr>
          <w:rFonts w:eastAsia="Calibri" w:cstheme="minorHAnsi"/>
          <w:color w:val="auto"/>
        </w:rPr>
        <w:t xml:space="preserve"> προκειμένου να επιτυγχάνεται με πιο αποτελεσματικό τρόπο η εφαρμογή τους. Ταυτόχρονα, καθιέρωνε κανόνες επιβολής τους στο εθνικό δίκαιο μέσω δεσμευτικών δια</w:t>
      </w:r>
      <w:r w:rsidR="00815A4B">
        <w:rPr>
          <w:rFonts w:eastAsia="Calibri" w:cstheme="minorHAnsi"/>
          <w:color w:val="auto"/>
        </w:rPr>
        <w:t>τάξεων μόνιμου χαρακτήρα</w:t>
      </w:r>
      <w:r w:rsidR="00815A4B">
        <w:rPr>
          <w:rStyle w:val="af1"/>
          <w:rFonts w:eastAsia="Calibri" w:cstheme="minorHAnsi"/>
          <w:color w:val="auto"/>
        </w:rPr>
        <w:footnoteReference w:id="35"/>
      </w:r>
      <w:r w:rsidRPr="00E21381">
        <w:rPr>
          <w:rFonts w:eastAsia="Calibri" w:cstheme="minorHAnsi"/>
          <w:color w:val="auto"/>
        </w:rPr>
        <w:t xml:space="preserve">. Τέλος, σε μια προσπάθεια να ενισχυθεί η συμμόρφωση </w:t>
      </w:r>
      <w:r w:rsidR="00815A4B">
        <w:rPr>
          <w:rFonts w:eastAsia="Calibri" w:cstheme="minorHAnsi"/>
          <w:color w:val="auto"/>
        </w:rPr>
        <w:t xml:space="preserve">κάθε κράτους μέλους </w:t>
      </w:r>
      <w:r w:rsidRPr="00E21381">
        <w:rPr>
          <w:rFonts w:eastAsia="Calibri" w:cstheme="minorHAnsi"/>
          <w:color w:val="auto"/>
        </w:rPr>
        <w:t>με τους δημοσιονομικούς κανόνες, απένειμε στους ανεξάρτητους δημοσιονομικούς θεσμούς (Δημοσιονομικά Συμβούλια) ιδιαίτερο ρόλο για την παρακολούθηση της εφαρμογής τους.</w:t>
      </w:r>
    </w:p>
    <w:p w14:paraId="5A2D39C6" w14:textId="77777777" w:rsidR="00E21381" w:rsidRPr="00E21381" w:rsidRDefault="00E21381" w:rsidP="00E213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alibri" w:cstheme="minorHAnsi"/>
          <w:b/>
          <w:color w:val="auto"/>
        </w:rPr>
      </w:pPr>
    </w:p>
    <w:p w14:paraId="140E4E7A" w14:textId="35FEDA92" w:rsidR="00E21381" w:rsidRPr="00E21381" w:rsidRDefault="00E21381" w:rsidP="00E213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alibri" w:cstheme="minorHAnsi"/>
          <w:b/>
          <w:color w:val="auto"/>
        </w:rPr>
      </w:pPr>
      <w:r w:rsidRPr="00E21381">
        <w:rPr>
          <w:rFonts w:eastAsia="Calibri" w:cstheme="minorHAnsi"/>
          <w:b/>
          <w:color w:val="auto"/>
        </w:rPr>
        <w:t>Η Δέσμη δύο μέτρων (</w:t>
      </w:r>
      <w:r w:rsidRPr="00E21381">
        <w:rPr>
          <w:rFonts w:eastAsia="Calibri" w:cstheme="minorHAnsi"/>
          <w:b/>
          <w:color w:val="auto"/>
          <w:lang w:val="en-US"/>
        </w:rPr>
        <w:t>two</w:t>
      </w:r>
      <w:r w:rsidRPr="00E21381">
        <w:rPr>
          <w:rFonts w:eastAsia="Calibri" w:cstheme="minorHAnsi"/>
          <w:b/>
          <w:color w:val="auto"/>
        </w:rPr>
        <w:t xml:space="preserve"> </w:t>
      </w:r>
      <w:r w:rsidRPr="00E21381">
        <w:rPr>
          <w:rFonts w:eastAsia="Calibri" w:cstheme="minorHAnsi"/>
          <w:b/>
          <w:color w:val="auto"/>
          <w:lang w:val="en-US"/>
        </w:rPr>
        <w:t>pack</w:t>
      </w:r>
      <w:r w:rsidRPr="00E21381">
        <w:rPr>
          <w:rFonts w:eastAsia="Calibri" w:cstheme="minorHAnsi"/>
          <w:b/>
          <w:color w:val="auto"/>
        </w:rPr>
        <w:t>)</w:t>
      </w:r>
      <w:r w:rsidRPr="00E21381">
        <w:rPr>
          <w:rFonts w:eastAsia="Calibri" w:cstheme="minorHAnsi"/>
          <w:b/>
          <w:color w:val="auto"/>
          <w:vertAlign w:val="superscript"/>
        </w:rPr>
        <w:footnoteReference w:id="36"/>
      </w:r>
    </w:p>
    <w:p w14:paraId="03E5673B" w14:textId="77777777" w:rsidR="00E21381" w:rsidRPr="00E21381" w:rsidRDefault="00E21381" w:rsidP="00E213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alibri" w:cstheme="minorHAnsi"/>
          <w:color w:val="auto"/>
        </w:rPr>
      </w:pPr>
    </w:p>
    <w:p w14:paraId="12B5EBCC" w14:textId="20CC6382" w:rsidR="00E21381" w:rsidRPr="00E21381" w:rsidRDefault="00E21381" w:rsidP="00E21381">
      <w:pPr>
        <w:shd w:val="clear" w:color="auto" w:fill="FFFFFF" w:themeFill="background1"/>
        <w:rPr>
          <w:rFonts w:eastAsia="Calibri" w:cstheme="minorHAnsi"/>
          <w:color w:val="auto"/>
        </w:rPr>
      </w:pPr>
      <w:r w:rsidRPr="00E21381">
        <w:rPr>
          <w:rFonts w:eastAsia="Calibri" w:cstheme="minorHAnsi"/>
          <w:color w:val="auto"/>
        </w:rPr>
        <w:t>Πρόκειται για  δύο επιπλέον κανονισμούς, (472/2013 και 473/2013)</w:t>
      </w:r>
      <w:r w:rsidRPr="00E21381">
        <w:rPr>
          <w:rFonts w:eastAsia="Calibri" w:cstheme="minorHAnsi"/>
          <w:color w:val="auto"/>
          <w:vertAlign w:val="superscript"/>
        </w:rPr>
        <w:footnoteReference w:id="37"/>
      </w:r>
      <w:r w:rsidRPr="00E21381">
        <w:rPr>
          <w:rFonts w:eastAsia="Calibri" w:cstheme="minorHAnsi"/>
          <w:color w:val="auto"/>
        </w:rPr>
        <w:t xml:space="preserve"> οι οποίοι συμπλήρωναν προηγούμενες μεταρρυθμίσεις που είχαν εισαχθεί με το </w:t>
      </w:r>
      <w:r w:rsidRPr="00E21381">
        <w:rPr>
          <w:rFonts w:eastAsia="Calibri" w:cstheme="minorHAnsi"/>
          <w:color w:val="auto"/>
          <w:lang w:val="en-US"/>
        </w:rPr>
        <w:t>six</w:t>
      </w:r>
      <w:r w:rsidRPr="00E21381">
        <w:rPr>
          <w:rFonts w:eastAsia="Calibri" w:cstheme="minorHAnsi"/>
          <w:color w:val="auto"/>
        </w:rPr>
        <w:t xml:space="preserve"> </w:t>
      </w:r>
      <w:r w:rsidRPr="00E21381">
        <w:rPr>
          <w:rFonts w:eastAsia="Calibri" w:cstheme="minorHAnsi"/>
          <w:color w:val="auto"/>
          <w:lang w:val="en-US"/>
        </w:rPr>
        <w:t>pack</w:t>
      </w:r>
      <w:r w:rsidRPr="00E21381">
        <w:rPr>
          <w:rFonts w:eastAsia="Calibri" w:cstheme="minorHAnsi"/>
          <w:color w:val="auto"/>
        </w:rPr>
        <w:t xml:space="preserve">. Σκοπός ήταν η καθιέρωση ενός αυστηρότερου δημοσιονομικού πλαισίου που θα διευκόλυνε την αποτελεσματική άσκηση δημοσιονομικής εποπτείας, μέσω ενός καλύτερου συντονισμού και ενίσχυσης των όρων διαφάνειας, κατά την άσκηση των δημοσιονομικών πολιτικών εκάστου </w:t>
      </w:r>
      <w:r w:rsidR="00C1734E">
        <w:rPr>
          <w:rFonts w:eastAsia="Calibri" w:cstheme="minorHAnsi"/>
          <w:color w:val="auto"/>
        </w:rPr>
        <w:t>κράτους-μέλους</w:t>
      </w:r>
      <w:r w:rsidRPr="00E21381">
        <w:rPr>
          <w:rFonts w:eastAsia="Calibri" w:cstheme="minorHAnsi"/>
          <w:color w:val="auto"/>
        </w:rPr>
        <w:t>.</w:t>
      </w:r>
    </w:p>
    <w:p w14:paraId="3BF4CE94" w14:textId="2440A41B" w:rsidR="00E21381" w:rsidRPr="00E21381" w:rsidRDefault="00E21381" w:rsidP="00C1734E">
      <w:pPr>
        <w:shd w:val="clear" w:color="auto" w:fill="FFFFFF" w:themeFill="background1"/>
        <w:spacing w:after="360"/>
        <w:rPr>
          <w:rFonts w:eastAsia="Calibri" w:cstheme="minorHAnsi"/>
          <w:color w:val="auto"/>
        </w:rPr>
      </w:pPr>
      <w:r w:rsidRPr="00E21381">
        <w:rPr>
          <w:rFonts w:eastAsia="Calibri" w:cstheme="minorHAnsi"/>
          <w:color w:val="auto"/>
        </w:rPr>
        <w:t xml:space="preserve">Οι δημοσιονομικές μεταρρυθμίσεις που εισήχθησαν με το 2 </w:t>
      </w:r>
      <w:r w:rsidRPr="00E21381">
        <w:rPr>
          <w:rFonts w:eastAsia="Calibri" w:cstheme="minorHAnsi"/>
          <w:color w:val="auto"/>
          <w:lang w:val="en-US"/>
        </w:rPr>
        <w:t>pack</w:t>
      </w:r>
      <w:r w:rsidRPr="00E21381">
        <w:rPr>
          <w:rFonts w:eastAsia="Calibri" w:cstheme="minorHAnsi"/>
          <w:color w:val="auto"/>
        </w:rPr>
        <w:t xml:space="preserve">, επιδίωκαν να καθιερώσουν ένα αυστηρότερο πλαίσιο δημοσιονομικής διακυβέρνησης για τα </w:t>
      </w:r>
      <w:r w:rsidR="00C1734E">
        <w:rPr>
          <w:rFonts w:eastAsia="Calibri" w:cstheme="minorHAnsi"/>
          <w:color w:val="auto"/>
        </w:rPr>
        <w:t>κράτη-μέλη</w:t>
      </w:r>
      <w:r w:rsidRPr="00E21381">
        <w:rPr>
          <w:rFonts w:eastAsia="Calibri" w:cstheme="minorHAnsi"/>
          <w:color w:val="auto"/>
        </w:rPr>
        <w:t xml:space="preserve"> της ζώνης του ευρώ, για την διασφάλιση συνετής δημοσιονομικής πολιτικής. Σε αντίθεση με το </w:t>
      </w:r>
      <w:r w:rsidRPr="00E21381">
        <w:rPr>
          <w:rFonts w:eastAsia="Calibri" w:cstheme="minorHAnsi"/>
          <w:color w:val="auto"/>
          <w:lang w:val="en-US"/>
        </w:rPr>
        <w:t>six</w:t>
      </w:r>
      <w:r w:rsidRPr="00E21381">
        <w:rPr>
          <w:rFonts w:eastAsia="Calibri" w:cstheme="minorHAnsi"/>
          <w:color w:val="auto"/>
        </w:rPr>
        <w:t xml:space="preserve"> </w:t>
      </w:r>
      <w:r w:rsidRPr="00E21381">
        <w:rPr>
          <w:rFonts w:eastAsia="Calibri" w:cstheme="minorHAnsi"/>
          <w:color w:val="auto"/>
          <w:lang w:val="en-US"/>
        </w:rPr>
        <w:t>pack</w:t>
      </w:r>
      <w:r w:rsidRPr="00E21381">
        <w:rPr>
          <w:rFonts w:eastAsia="Calibri" w:cstheme="minorHAnsi"/>
          <w:color w:val="auto"/>
        </w:rPr>
        <w:t xml:space="preserve">, το οποίο είχε εισάγει νέους δημοσιονομικούς κανόνες, το two pack εστίαζε στην ενίσχυση του  συντονισμού και παρακολούθησης της εφαρμογής των υφιστάμενων κανόνων του ΣΣΑ, συμπεριλαμβανομένου της καθιέρωσης διαδικασιών εποπτείας των προϋπολογισμών των </w:t>
      </w:r>
      <w:r w:rsidR="00C1734E">
        <w:rPr>
          <w:rFonts w:eastAsia="Calibri" w:cstheme="minorHAnsi"/>
          <w:color w:val="auto"/>
        </w:rPr>
        <w:t>κρατών-μελών</w:t>
      </w:r>
      <w:r w:rsidRPr="00E21381">
        <w:rPr>
          <w:rFonts w:eastAsia="Calibri" w:cstheme="minorHAnsi"/>
          <w:color w:val="auto"/>
        </w:rPr>
        <w:t xml:space="preserve"> (κοινό </w:t>
      </w:r>
      <w:r w:rsidRPr="00E21381">
        <w:rPr>
          <w:rFonts w:eastAsia="Calibri" w:cstheme="minorHAnsi"/>
          <w:color w:val="auto"/>
        </w:rPr>
        <w:lastRenderedPageBreak/>
        <w:t xml:space="preserve">χρονοδιάγραμμα υποβολής των Σχεδίων των προϋπολογισμών/προγραμμάτων Σταθερότητας). Για τα </w:t>
      </w:r>
      <w:r w:rsidR="00C1734E">
        <w:rPr>
          <w:rFonts w:eastAsia="Calibri" w:cstheme="minorHAnsi"/>
          <w:color w:val="auto"/>
        </w:rPr>
        <w:t>κράτη</w:t>
      </w:r>
      <w:r w:rsidRPr="00E21381">
        <w:rPr>
          <w:rFonts w:eastAsia="Calibri" w:cstheme="minorHAnsi"/>
          <w:color w:val="auto"/>
        </w:rPr>
        <w:t xml:space="preserve"> που </w:t>
      </w:r>
      <w:r w:rsidR="00815A4B">
        <w:rPr>
          <w:rFonts w:eastAsia="Calibri" w:cstheme="minorHAnsi"/>
          <w:color w:val="auto"/>
        </w:rPr>
        <w:t>βρίσκονταν</w:t>
      </w:r>
      <w:r w:rsidRPr="00E21381">
        <w:rPr>
          <w:rFonts w:eastAsia="Calibri" w:cstheme="minorHAnsi"/>
          <w:color w:val="auto"/>
        </w:rPr>
        <w:t xml:space="preserve"> σε ΔΥΕ, προβλεπόταν στενότερη παρακολούθηση του χρονοδιαγράμματος διόρθωσης των δημοσιονομικών ανισορροπιών τους. Για </w:t>
      </w:r>
      <w:r w:rsidR="00C1734E">
        <w:rPr>
          <w:rFonts w:eastAsia="Calibri" w:cstheme="minorHAnsi"/>
          <w:color w:val="auto"/>
        </w:rPr>
        <w:t>κράτη</w:t>
      </w:r>
      <w:r w:rsidRPr="00E21381">
        <w:rPr>
          <w:rFonts w:eastAsia="Calibri" w:cstheme="minorHAnsi"/>
          <w:color w:val="auto"/>
        </w:rPr>
        <w:t xml:space="preserve"> που αντιμετώπιζαν σοβαρές δυσκολίες όσον αφορά τη χρηματοπιστωτική τους σταθερότητα και λάμβαναν οικονομική βοήθεια είτε εξέρχονταν από ένα πρόγραμμα οικονομικής βοήθειας, </w:t>
      </w:r>
      <w:r w:rsidRPr="00E21381">
        <w:rPr>
          <w:rFonts w:eastAsia="Calibri" w:cstheme="minorHAnsi"/>
          <w:color w:val="auto"/>
          <w:lang w:val="en-US"/>
        </w:rPr>
        <w:t>o</w:t>
      </w:r>
      <w:r w:rsidRPr="00E21381">
        <w:rPr>
          <w:rFonts w:eastAsia="Calibri" w:cstheme="minorHAnsi"/>
          <w:color w:val="auto"/>
        </w:rPr>
        <w:t xml:space="preserve"> κανονισμός 472/2013 προέβλεπε ένα νέο σύστημα επιτήρησης και ενισχυμένης εποπτείας. Επιπλέον, στις καινοτομίες του </w:t>
      </w:r>
      <w:r w:rsidRPr="00E21381">
        <w:rPr>
          <w:rFonts w:eastAsia="Calibri" w:cstheme="minorHAnsi"/>
          <w:color w:val="auto"/>
          <w:lang w:val="en-US"/>
        </w:rPr>
        <w:t>two</w:t>
      </w:r>
      <w:r w:rsidRPr="00E21381">
        <w:rPr>
          <w:rFonts w:eastAsia="Calibri" w:cstheme="minorHAnsi"/>
          <w:color w:val="auto"/>
        </w:rPr>
        <w:t xml:space="preserve"> pack περιλαμβάνονταν διατάξεις που ενίσχυαν περαιτέρω το ρόλο των ανεξάρτητων δημοσιονομικών θεσμών (Δημοσιονομικά Συμβούλια), με εμπλοκή τους στην διαδικασία παρακολούθησης εφαρμογής των ευρωπαϊκών αριθμητικών δημοσιονομικών κανόνων, καθώς και στην παραγωγή/έγκριση των μακροοικονομικών προβλέψεων που βασίζονταν τα Σχέδια των ετήσιων Προϋπολογισμών και των προγραμμάτων Σταθερότητας.</w:t>
      </w:r>
    </w:p>
    <w:p w14:paraId="39A5C5C7" w14:textId="77777777" w:rsidR="00E21381" w:rsidRPr="00E21381" w:rsidRDefault="00E21381" w:rsidP="00E21381">
      <w:pPr>
        <w:shd w:val="clear" w:color="auto" w:fill="FFFFFF" w:themeFill="background1"/>
        <w:rPr>
          <w:rFonts w:eastAsia="Calibri" w:cstheme="minorHAnsi"/>
          <w:b/>
          <w:color w:val="auto"/>
        </w:rPr>
      </w:pPr>
      <w:r w:rsidRPr="00E21381">
        <w:rPr>
          <w:rFonts w:eastAsia="Calibri" w:cstheme="minorHAnsi"/>
          <w:b/>
          <w:color w:val="auto"/>
        </w:rPr>
        <w:t>Η επικείμενη αναθεώρηση των κανόνων Δημοσιονομικής Διακυβέρνησης της ΕΕ</w:t>
      </w:r>
    </w:p>
    <w:p w14:paraId="6FD87157" w14:textId="65B8FEDE" w:rsidR="00E21381" w:rsidRPr="00E21381" w:rsidRDefault="00E21381" w:rsidP="00C1734E">
      <w:pPr>
        <w:shd w:val="clear" w:color="auto" w:fill="FFFFFF" w:themeFill="background1"/>
        <w:rPr>
          <w:rFonts w:eastAsia="Times New Roman" w:cstheme="minorHAnsi"/>
          <w:iCs/>
          <w:color w:val="auto"/>
          <w:lang w:eastAsia="el-GR"/>
        </w:rPr>
      </w:pPr>
      <w:r w:rsidRPr="00E21381">
        <w:rPr>
          <w:rFonts w:eastAsia="Times New Roman" w:cstheme="minorHAnsi"/>
          <w:iCs/>
          <w:color w:val="auto"/>
          <w:lang w:eastAsia="el-GR"/>
        </w:rPr>
        <w:t>Η αποτελεσματικότητα των κανόνων του ΣΣΑ είχε τεθεί ήδη υπό αμφισβήτηση  πριν η πανδημία προκαλέσει ισχυρές διαταραχές στα δημόσια οικονομικά στην ΕΕ. Η εφαρμογή των κανόνων του six pack και ο ενισχυμένος συντονισμός των δημοσιονομικών πολιτικών που προβλέπονταν από το two pack, είχε συμβάλει σε ένα βαθμό στην οικοδόμηση πιο βιώσιμων οικονομικών. Παρά ταύτα, την εξαετία 2013-2019, είχαν αναδειχθεί σημαντικές αδυναμίες του υφιστάμενου πλαισίου δημοσιονομικής διακυβέρνησης της ΕΕ και η συζήτηση για την ανάγκη αναθεώρησής τους, είχε ήδη ξεκινήσει. Το 2016, η ολλανδική προεδρία του Συμβουλίου τόνισε την ανάγκη απλοποίησης των κανόνων και ενίσχυσης του μεσοπρόθεσμου προσανατολισμού τους (Ολλανδική Προεδρία του Συμβουλίου 2016). Τον Μάιο του 2017, η Ευρωπαϊκή Επιτροπή είχε καταθέσει στο Συμβούλιο σχέδιο οδηγίας, ως μέρος της συνολικής διαδικασίας ολοκλήρωσης της ΟΝΕ (Ευρωπαϊκή Επιτροπή 2017)</w:t>
      </w:r>
      <w:r w:rsidRPr="00E21381">
        <w:rPr>
          <w:rFonts w:eastAsia="Times New Roman" w:cstheme="minorHAnsi"/>
          <w:iCs/>
          <w:color w:val="auto"/>
          <w:vertAlign w:val="superscript"/>
          <w:lang w:eastAsia="el-GR"/>
        </w:rPr>
        <w:footnoteReference w:id="38"/>
      </w:r>
      <w:r w:rsidRPr="00E21381">
        <w:rPr>
          <w:rFonts w:eastAsia="Times New Roman" w:cstheme="minorHAnsi"/>
          <w:iCs/>
          <w:color w:val="auto"/>
          <w:lang w:eastAsia="el-GR"/>
        </w:rPr>
        <w:t>. Το Συμβούλιο ωστόσο είχε αναβάλλει την διαδικασία ψήφισής της, αναμένοντας την ολοκλήρωση από την Επιτροπή της διαδικασίας αξιολόγησης του 6/2 pack στο τέλος του 2019</w:t>
      </w:r>
      <w:r w:rsidRPr="00E21381">
        <w:rPr>
          <w:rFonts w:eastAsia="Times New Roman" w:cstheme="minorHAnsi"/>
          <w:iCs/>
          <w:color w:val="auto"/>
          <w:vertAlign w:val="superscript"/>
          <w:lang w:eastAsia="el-GR"/>
        </w:rPr>
        <w:footnoteReference w:id="39"/>
      </w:r>
      <w:r w:rsidRPr="00E21381">
        <w:rPr>
          <w:rFonts w:eastAsia="Times New Roman" w:cstheme="minorHAnsi"/>
          <w:iCs/>
          <w:color w:val="auto"/>
          <w:lang w:eastAsia="el-GR"/>
        </w:rPr>
        <w:t>. Το 2018, το Ευρωπαϊκό Δημοσιονομικό Συμβούλιο δημοσίευσε έκθεση αξιολόγησης του ευρωπαϊκού δημοσιονομικού πλαισίου καταθέτοντας παράλληλα πρόταση απλοποίησης των κανόνων του ΣΣΑ</w:t>
      </w:r>
      <w:r w:rsidRPr="00E21381">
        <w:rPr>
          <w:rFonts w:eastAsia="Times New Roman" w:cstheme="minorHAnsi"/>
          <w:iCs/>
          <w:color w:val="auto"/>
          <w:vertAlign w:val="superscript"/>
          <w:lang w:eastAsia="el-GR"/>
        </w:rPr>
        <w:footnoteReference w:id="40"/>
      </w:r>
      <w:r w:rsidRPr="00E21381">
        <w:rPr>
          <w:rFonts w:eastAsia="Times New Roman" w:cstheme="minorHAnsi"/>
          <w:iCs/>
          <w:color w:val="auto"/>
          <w:lang w:eastAsia="el-GR"/>
        </w:rPr>
        <w:t>.  Οι συστάσεις των διεθνών θεσμών (ΔΝΤ, ΟΟΣΑ) και η έντονη συζήτηση που είχε αναπτυχθεί, υποδήλωναν ότι είχε ξεκινήσει κάποια σύγκλιση απόψεων, τόσο για την ανάγκη μεταρρύθμισής τους, όσο και για την κύρια κατεύθυνση που πρέπει να ακολουθήσει μια επερχόμενη μεταρρύθμιση. Κοινός παρονομαστής αποτελούσε η πολυπλοκότητα, η  ασάφειά και η αναποτελεσματική εφαρμογή τους. Επιπρόσθετα, αρκετές ήταν οι περιπτώσεις που η συμμόρφωση με τους κανόνες οδηγούσε στην υιοθέτηση προ</w:t>
      </w:r>
      <w:r w:rsidR="00CA3292" w:rsidRPr="00CA3292">
        <w:rPr>
          <w:rFonts w:eastAsia="Times New Roman" w:cstheme="minorHAnsi"/>
          <w:iCs/>
          <w:color w:val="auto"/>
          <w:lang w:eastAsia="el-GR"/>
        </w:rPr>
        <w:t>-</w:t>
      </w:r>
      <w:r w:rsidRPr="00E21381">
        <w:rPr>
          <w:rFonts w:eastAsia="Times New Roman" w:cstheme="minorHAnsi"/>
          <w:iCs/>
          <w:color w:val="auto"/>
          <w:lang w:eastAsia="el-GR"/>
        </w:rPr>
        <w:t>κυκλικών δημοσιονομικών πολιτικών και στη μείωση των κρατικών επενδύσεων, γεγονός που δεν ευνοούσε την επιδιωκόμενη σύγκλιση των οικονομιών της ΕΕ. Το Ευρωπαϊκό Δημοσιονομικό Συμβούλιο σε έκθεση του που δημοσιεύθηκε το 2019</w:t>
      </w:r>
      <w:r w:rsidRPr="00E21381">
        <w:rPr>
          <w:rFonts w:eastAsia="Calibri" w:cstheme="minorHAnsi"/>
          <w:color w:val="auto"/>
          <w:vertAlign w:val="superscript"/>
          <w:lang w:val="en-US"/>
        </w:rPr>
        <w:footnoteReference w:id="41"/>
      </w:r>
      <w:r w:rsidRPr="00E21381">
        <w:rPr>
          <w:rFonts w:eastAsia="Times New Roman" w:cstheme="minorHAnsi"/>
          <w:iCs/>
          <w:color w:val="auto"/>
          <w:lang w:eastAsia="el-GR"/>
        </w:rPr>
        <w:t xml:space="preserve">, είχε αναδείξει </w:t>
      </w:r>
      <w:r w:rsidRPr="00E21381">
        <w:rPr>
          <w:rFonts w:eastAsia="Times New Roman" w:cstheme="minorHAnsi"/>
          <w:iCs/>
          <w:color w:val="auto"/>
          <w:lang w:eastAsia="el-GR"/>
        </w:rPr>
        <w:lastRenderedPageBreak/>
        <w:t xml:space="preserve">εκτενώς τις αδυναμίες του υφιστάμενου ευρωπαϊκού δημοσιονομικού πλαισίου, υπερθεματίζοντας εκ νέου </w:t>
      </w:r>
      <w:r w:rsidR="00815A4B">
        <w:rPr>
          <w:rFonts w:eastAsia="Times New Roman" w:cstheme="minorHAnsi"/>
          <w:iCs/>
          <w:color w:val="auto"/>
          <w:lang w:eastAsia="el-GR"/>
        </w:rPr>
        <w:t xml:space="preserve">σχετικά με </w:t>
      </w:r>
      <w:r w:rsidRPr="00E21381">
        <w:rPr>
          <w:rFonts w:eastAsia="Times New Roman" w:cstheme="minorHAnsi"/>
          <w:iCs/>
          <w:color w:val="auto"/>
          <w:lang w:eastAsia="el-GR"/>
        </w:rPr>
        <w:t>την ανάγκη για αναθεώρηση των κανόνων του ΣΣΑ.</w:t>
      </w:r>
    </w:p>
    <w:p w14:paraId="2F60BF0C" w14:textId="1F29BDD2" w:rsidR="00E21381" w:rsidRPr="00C8478E" w:rsidRDefault="00CA3292" w:rsidP="00C8478E">
      <w:pPr>
        <w:shd w:val="clear" w:color="auto" w:fill="FFFFFF" w:themeFill="background1"/>
        <w:spacing w:after="0"/>
        <w:rPr>
          <w:rFonts w:eastAsia="Times New Roman" w:cstheme="minorHAnsi"/>
          <w:iCs/>
          <w:color w:val="00B0F0"/>
          <w:lang w:eastAsia="el-GR"/>
        </w:rPr>
      </w:pPr>
      <w:bookmarkStart w:id="169" w:name="_Ref88220464"/>
      <w:bookmarkStart w:id="170" w:name="_Toc89172895"/>
      <w:r w:rsidRPr="00F87DDD">
        <w:rPr>
          <w:b/>
          <w:bCs/>
        </w:rPr>
        <w:t xml:space="preserve">Διάγραμμα </w:t>
      </w:r>
      <w:r w:rsidRPr="00F87DDD">
        <w:rPr>
          <w:b/>
          <w:bCs/>
        </w:rPr>
        <w:fldChar w:fldCharType="begin"/>
      </w:r>
      <w:r w:rsidRPr="00F87DDD">
        <w:rPr>
          <w:b/>
          <w:bCs/>
        </w:rPr>
        <w:instrText xml:space="preserve"> SEQ Διάγραμμα \* ARABIC </w:instrText>
      </w:r>
      <w:r w:rsidRPr="00F87DDD">
        <w:rPr>
          <w:b/>
          <w:bCs/>
        </w:rPr>
        <w:fldChar w:fldCharType="separate"/>
      </w:r>
      <w:r w:rsidR="0038196B">
        <w:rPr>
          <w:b/>
          <w:bCs/>
          <w:noProof/>
        </w:rPr>
        <w:t>33</w:t>
      </w:r>
      <w:r w:rsidRPr="00F87DDD">
        <w:rPr>
          <w:b/>
          <w:bCs/>
        </w:rPr>
        <w:fldChar w:fldCharType="end"/>
      </w:r>
      <w:bookmarkEnd w:id="169"/>
      <w:r w:rsidRPr="00F87DDD">
        <w:rPr>
          <w:b/>
          <w:bCs/>
          <w:sz w:val="20"/>
          <w:szCs w:val="20"/>
        </w:rPr>
        <w:t>:</w:t>
      </w:r>
      <w:r w:rsidRPr="00F87DDD">
        <w:rPr>
          <w:b/>
          <w:sz w:val="20"/>
          <w:szCs w:val="20"/>
        </w:rPr>
        <w:t xml:space="preserve"> </w:t>
      </w:r>
      <w:r w:rsidR="00E21381" w:rsidRPr="00C8478E">
        <w:rPr>
          <w:rFonts w:eastAsia="Times New Roman" w:cstheme="minorHAnsi"/>
          <w:iCs/>
          <w:color w:val="00B0F0"/>
          <w:lang w:eastAsia="el-GR"/>
        </w:rPr>
        <w:t xml:space="preserve">Εξέλιξη </w:t>
      </w:r>
      <w:r w:rsidR="00C8478E">
        <w:rPr>
          <w:rFonts w:eastAsia="Times New Roman" w:cstheme="minorHAnsi"/>
          <w:iCs/>
          <w:color w:val="00B0F0"/>
          <w:lang w:eastAsia="el-GR"/>
        </w:rPr>
        <w:t xml:space="preserve">δημοσίου </w:t>
      </w:r>
      <w:r w:rsidR="00E21381" w:rsidRPr="00C8478E">
        <w:rPr>
          <w:rFonts w:eastAsia="Times New Roman" w:cstheme="minorHAnsi"/>
          <w:iCs/>
          <w:color w:val="00B0F0"/>
          <w:lang w:eastAsia="el-GR"/>
        </w:rPr>
        <w:t xml:space="preserve">χρέους, ελλείμματος </w:t>
      </w:r>
      <w:r w:rsidR="00C8478E">
        <w:rPr>
          <w:rFonts w:eastAsia="Times New Roman" w:cstheme="minorHAnsi"/>
          <w:iCs/>
          <w:color w:val="00B0F0"/>
          <w:lang w:eastAsia="el-GR"/>
        </w:rPr>
        <w:t>και ρυθμού μεγέθυνσης της Ευρωζώνη, π</w:t>
      </w:r>
      <w:r w:rsidR="00E21381" w:rsidRPr="00C8478E">
        <w:rPr>
          <w:rFonts w:eastAsia="Times New Roman" w:cstheme="minorHAnsi"/>
          <w:iCs/>
          <w:color w:val="00B0F0"/>
          <w:lang w:eastAsia="el-GR"/>
        </w:rPr>
        <w:t>εριόδου 2011-2019</w:t>
      </w:r>
      <w:bookmarkEnd w:id="170"/>
    </w:p>
    <w:p w14:paraId="2D8E02FB" w14:textId="77777777" w:rsidR="00E21381" w:rsidRPr="00E21381" w:rsidRDefault="00E21381" w:rsidP="00527989">
      <w:pPr>
        <w:shd w:val="clear" w:color="auto" w:fill="FFFFFF" w:themeFill="background1"/>
        <w:rPr>
          <w:rFonts w:eastAsia="Calibri" w:cstheme="minorHAnsi"/>
          <w:iCs/>
          <w:color w:val="000000"/>
          <w:sz w:val="24"/>
          <w:szCs w:val="24"/>
          <w:lang w:val="en-US"/>
        </w:rPr>
      </w:pPr>
      <w:r w:rsidRPr="00E21381">
        <w:rPr>
          <w:rFonts w:eastAsia="Calibri" w:cstheme="minorHAnsi"/>
          <w:noProof/>
          <w:color w:val="auto"/>
          <w:lang w:eastAsia="el-GR"/>
        </w:rPr>
        <w:drawing>
          <wp:inline distT="0" distB="0" distL="0" distR="0" wp14:anchorId="58B782B5" wp14:editId="79FB2420">
            <wp:extent cx="5210175" cy="3648075"/>
            <wp:effectExtent l="0" t="0" r="9525" b="9525"/>
            <wp:docPr id="36" name="Γράφημα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C1525EF" w14:textId="77777777" w:rsidR="00E21381" w:rsidRPr="00E21381" w:rsidRDefault="00E21381" w:rsidP="00CA3292">
      <w:pPr>
        <w:shd w:val="clear" w:color="auto" w:fill="FFFFFF" w:themeFill="background1"/>
        <w:spacing w:after="240"/>
        <w:rPr>
          <w:rFonts w:eastAsia="Times New Roman" w:cstheme="minorHAnsi"/>
          <w:iCs/>
          <w:color w:val="auto"/>
          <w:sz w:val="18"/>
          <w:szCs w:val="18"/>
          <w:lang w:eastAsia="el-GR"/>
        </w:rPr>
      </w:pPr>
      <w:r w:rsidRPr="00E21381">
        <w:rPr>
          <w:rFonts w:eastAsia="Times New Roman" w:cstheme="minorHAnsi"/>
          <w:b/>
          <w:iCs/>
          <w:color w:val="595959" w:themeColor="text1" w:themeTint="A6"/>
          <w:sz w:val="18"/>
          <w:szCs w:val="18"/>
          <w:lang w:eastAsia="el-GR"/>
        </w:rPr>
        <w:t>Πηγή :</w:t>
      </w:r>
      <w:r w:rsidRPr="00E21381">
        <w:rPr>
          <w:rFonts w:eastAsia="Times New Roman" w:cstheme="minorHAnsi"/>
          <w:iCs/>
          <w:color w:val="595959" w:themeColor="text1" w:themeTint="A6"/>
          <w:sz w:val="18"/>
          <w:szCs w:val="18"/>
          <w:lang w:eastAsia="el-GR"/>
        </w:rPr>
        <w:t xml:space="preserve"> </w:t>
      </w:r>
      <w:r w:rsidRPr="00E21381">
        <w:rPr>
          <w:rFonts w:eastAsia="Times New Roman" w:cstheme="minorHAnsi"/>
          <w:iCs/>
          <w:color w:val="00B0F0"/>
          <w:sz w:val="18"/>
          <w:szCs w:val="18"/>
          <w:lang w:val="en-US" w:eastAsia="el-GR"/>
        </w:rPr>
        <w:t>Eurostat</w:t>
      </w:r>
    </w:p>
    <w:p w14:paraId="7C80EF7E" w14:textId="76492332" w:rsidR="00C1734E" w:rsidRPr="00E21381" w:rsidRDefault="00C1734E" w:rsidP="00CA3292">
      <w:pPr>
        <w:shd w:val="clear" w:color="auto" w:fill="FFFFFF" w:themeFill="background1"/>
        <w:rPr>
          <w:rFonts w:eastAsia="Times New Roman" w:cstheme="minorHAnsi"/>
          <w:iCs/>
          <w:color w:val="auto"/>
          <w:lang w:eastAsia="el-GR"/>
        </w:rPr>
      </w:pPr>
      <w:r w:rsidRPr="00E21381">
        <w:rPr>
          <w:rFonts w:eastAsia="Times New Roman" w:cstheme="minorHAnsi"/>
          <w:iCs/>
          <w:color w:val="auto"/>
          <w:lang w:eastAsia="el-GR"/>
        </w:rPr>
        <w:t xml:space="preserve">Το 2019 </w:t>
      </w:r>
      <w:r w:rsidR="00CA3292">
        <w:rPr>
          <w:rFonts w:eastAsia="Times New Roman" w:cstheme="minorHAnsi"/>
          <w:iCs/>
          <w:color w:val="auto"/>
          <w:lang w:eastAsia="el-GR"/>
        </w:rPr>
        <w:t>αποτέλεσε</w:t>
      </w:r>
      <w:r w:rsidRPr="00E21381">
        <w:rPr>
          <w:rFonts w:eastAsia="Times New Roman" w:cstheme="minorHAnsi"/>
          <w:iCs/>
          <w:color w:val="auto"/>
          <w:lang w:eastAsia="el-GR"/>
        </w:rPr>
        <w:t xml:space="preserve"> το έτος που έγιναν περισσότερο εμφανείς οι ατέλειες του υφιστάμενου πλαισίου δημοσιονομικής διακυβέρνησης της ΕΕ. Τα κράτη μέλη της ΕΕ, απέτυχαν στην </w:t>
      </w:r>
      <w:r w:rsidR="0069612F">
        <w:rPr>
          <w:rFonts w:eastAsia="Times New Roman" w:cstheme="minorHAnsi"/>
          <w:iCs/>
          <w:color w:val="auto"/>
          <w:lang w:eastAsia="el-GR"/>
        </w:rPr>
        <w:t>πλειονότητά</w:t>
      </w:r>
      <w:r w:rsidRPr="00E21381">
        <w:rPr>
          <w:rFonts w:eastAsia="Times New Roman" w:cstheme="minorHAnsi"/>
          <w:iCs/>
          <w:color w:val="auto"/>
          <w:lang w:eastAsia="el-GR"/>
        </w:rPr>
        <w:t xml:space="preserve"> τους να εκμεταλλευτούν τις ευνοϊκές οικονομικές συνθήκες που προηγήθηκαν για να δημιουργήσουν επαρκή ταμειακά αποθεματικά (cash buffers), που θα </w:t>
      </w:r>
      <w:r w:rsidR="00CA3292">
        <w:rPr>
          <w:rFonts w:eastAsia="Times New Roman" w:cstheme="minorHAnsi"/>
          <w:iCs/>
          <w:color w:val="auto"/>
          <w:lang w:eastAsia="el-GR"/>
        </w:rPr>
        <w:t>μπορούσαν να αξιοποιηθούν</w:t>
      </w:r>
      <w:r w:rsidRPr="00E21381">
        <w:rPr>
          <w:rFonts w:eastAsia="Times New Roman" w:cstheme="minorHAnsi"/>
          <w:iCs/>
          <w:color w:val="auto"/>
          <w:lang w:eastAsia="el-GR"/>
        </w:rPr>
        <w:t xml:space="preserve"> για την αντιμετώπιση της πανδημίας. Επιπρόσθετα, η σταθερή οικονομική </w:t>
      </w:r>
      <w:r w:rsidR="00CA3292">
        <w:rPr>
          <w:rFonts w:eastAsia="Times New Roman" w:cstheme="minorHAnsi"/>
          <w:iCs/>
          <w:color w:val="auto"/>
          <w:lang w:eastAsia="el-GR"/>
        </w:rPr>
        <w:t>μεγέθυνση</w:t>
      </w:r>
      <w:r w:rsidRPr="00E21381">
        <w:rPr>
          <w:rFonts w:eastAsia="Times New Roman" w:cstheme="minorHAnsi"/>
          <w:iCs/>
          <w:color w:val="auto"/>
          <w:lang w:eastAsia="el-GR"/>
        </w:rPr>
        <w:t xml:space="preserve"> που καταγράφτηκε για την </w:t>
      </w:r>
      <w:r w:rsidR="0069612F">
        <w:rPr>
          <w:rFonts w:eastAsia="Times New Roman" w:cstheme="minorHAnsi"/>
          <w:iCs/>
          <w:color w:val="auto"/>
          <w:lang w:eastAsia="el-GR"/>
        </w:rPr>
        <w:t>πλειονότητα</w:t>
      </w:r>
      <w:r w:rsidRPr="00E21381">
        <w:rPr>
          <w:rFonts w:eastAsia="Times New Roman" w:cstheme="minorHAnsi"/>
          <w:iCs/>
          <w:color w:val="auto"/>
          <w:lang w:eastAsia="el-GR"/>
        </w:rPr>
        <w:t xml:space="preserve"> σχεδόν των χωρών της ευρωζώνης, την περίοδο που μεσολάβησε από τις πιο πρόσφατες δημοσιονομικές μεταρρυθμίσεις των 6/2 Pack (2013-2019), δεν συνοδεύτηκε με τις ανάλογες δημοσιονομικές επιδόσεις.</w:t>
      </w:r>
      <w:r w:rsidRPr="00E21381">
        <w:rPr>
          <w:rFonts w:eastAsia="Calibri" w:cstheme="minorHAnsi"/>
          <w:iCs/>
          <w:color w:val="000000"/>
        </w:rPr>
        <w:t xml:space="preserve"> Το 2019, το συνολικό </w:t>
      </w:r>
      <w:r w:rsidR="00CA3292">
        <w:rPr>
          <w:rFonts w:eastAsia="Calibri" w:cstheme="minorHAnsi"/>
          <w:iCs/>
          <w:color w:val="000000"/>
        </w:rPr>
        <w:t>δημοσιονομικό</w:t>
      </w:r>
      <w:r w:rsidRPr="00E21381">
        <w:rPr>
          <w:rFonts w:eastAsia="Calibri" w:cstheme="minorHAnsi"/>
          <w:iCs/>
          <w:color w:val="000000"/>
        </w:rPr>
        <w:t xml:space="preserve"> έλλειμμα της ΕΕ αυξήθηκε για πρώτη φορά </w:t>
      </w:r>
      <w:r w:rsidRPr="00E21381">
        <w:rPr>
          <w:rFonts w:eastAsia="Calibri" w:cstheme="minorHAnsi"/>
          <w:iCs/>
          <w:color w:val="000000"/>
          <w:shd w:val="clear" w:color="auto" w:fill="FFFFFF" w:themeFill="background1"/>
        </w:rPr>
        <w:t xml:space="preserve">από </w:t>
      </w:r>
      <w:r w:rsidRPr="00E21381">
        <w:rPr>
          <w:rFonts w:eastAsia="Calibri" w:cstheme="minorHAnsi"/>
          <w:iCs/>
          <w:color w:val="000000"/>
        </w:rPr>
        <w:t>το 2011</w:t>
      </w:r>
      <w:r w:rsidR="00815A4B">
        <w:rPr>
          <w:rFonts w:eastAsia="Calibri" w:cstheme="minorHAnsi"/>
          <w:iCs/>
          <w:color w:val="000000"/>
        </w:rPr>
        <w:t>,</w:t>
      </w:r>
      <w:r w:rsidRPr="00E21381">
        <w:rPr>
          <w:rFonts w:eastAsia="Calibri" w:cs="Times New Roman"/>
          <w:color w:val="auto"/>
          <w:vertAlign w:val="superscript"/>
          <w:lang w:val="en-US"/>
        </w:rPr>
        <w:footnoteReference w:id="42"/>
      </w:r>
      <w:r w:rsidRPr="00E21381">
        <w:rPr>
          <w:rFonts w:eastAsia="Calibri" w:cstheme="minorHAnsi"/>
          <w:iCs/>
          <w:color w:val="000000"/>
        </w:rPr>
        <w:t xml:space="preserve"> ενώ παρά το ευνοϊκό επιτοκιακό περιβάλλον η μείωση του λόγου χρέους προς ΑΕΠ ήταν ισχνή και κατώτερη του αναμενομένου </w:t>
      </w:r>
      <w:r w:rsidRPr="00E21381">
        <w:rPr>
          <w:rFonts w:eastAsia="Calibri" w:cstheme="minorHAnsi"/>
          <w:iCs/>
          <w:color w:val="3B3838" w:themeColor="background2" w:themeShade="40"/>
        </w:rPr>
        <w:t>(</w:t>
      </w:r>
      <w:r w:rsidR="00CA3292">
        <w:rPr>
          <w:rFonts w:eastAsia="Calibri" w:cstheme="minorHAnsi"/>
          <w:iCs/>
          <w:color w:val="3B3838" w:themeColor="background2" w:themeShade="40"/>
        </w:rPr>
        <w:fldChar w:fldCharType="begin"/>
      </w:r>
      <w:r w:rsidR="00CA3292">
        <w:rPr>
          <w:rFonts w:eastAsia="Calibri" w:cstheme="minorHAnsi"/>
          <w:iCs/>
          <w:color w:val="3B3838" w:themeColor="background2" w:themeShade="40"/>
        </w:rPr>
        <w:instrText xml:space="preserve"> REF _Ref88220464 \h </w:instrText>
      </w:r>
      <w:r w:rsidR="00CA3292">
        <w:rPr>
          <w:rFonts w:eastAsia="Calibri" w:cstheme="minorHAnsi"/>
          <w:iCs/>
          <w:color w:val="3B3838" w:themeColor="background2" w:themeShade="40"/>
        </w:rPr>
      </w:r>
      <w:r w:rsidR="00CA3292">
        <w:rPr>
          <w:rFonts w:eastAsia="Calibri" w:cstheme="minorHAnsi"/>
          <w:iCs/>
          <w:color w:val="3B3838" w:themeColor="background2" w:themeShade="40"/>
        </w:rPr>
        <w:fldChar w:fldCharType="separate"/>
      </w:r>
      <w:r w:rsidR="0038196B" w:rsidRPr="00F87DDD">
        <w:rPr>
          <w:b/>
          <w:bCs/>
        </w:rPr>
        <w:t xml:space="preserve">Διάγραμμα </w:t>
      </w:r>
      <w:r w:rsidR="0038196B">
        <w:rPr>
          <w:b/>
          <w:bCs/>
          <w:noProof/>
        </w:rPr>
        <w:t>33</w:t>
      </w:r>
      <w:r w:rsidR="00CA3292">
        <w:rPr>
          <w:rFonts w:eastAsia="Calibri" w:cstheme="minorHAnsi"/>
          <w:iCs/>
          <w:color w:val="3B3838" w:themeColor="background2" w:themeShade="40"/>
        </w:rPr>
        <w:fldChar w:fldCharType="end"/>
      </w:r>
      <w:r w:rsidRPr="00E21381">
        <w:rPr>
          <w:rFonts w:eastAsia="Calibri" w:cstheme="minorHAnsi"/>
          <w:iCs/>
          <w:color w:val="3B3838" w:themeColor="background2" w:themeShade="40"/>
        </w:rPr>
        <w:t xml:space="preserve">). </w:t>
      </w:r>
      <w:r w:rsidR="00CA3292">
        <w:rPr>
          <w:rFonts w:eastAsia="Calibri" w:cstheme="minorHAnsi"/>
          <w:iCs/>
          <w:color w:val="000000"/>
        </w:rPr>
        <w:t xml:space="preserve">Την ίδια χρονιά, διαπιστώθηκε </w:t>
      </w:r>
      <w:r w:rsidR="00815A4B">
        <w:rPr>
          <w:rFonts w:eastAsia="Calibri" w:cstheme="minorHAnsi"/>
          <w:iCs/>
          <w:color w:val="000000"/>
        </w:rPr>
        <w:t xml:space="preserve">ότι </w:t>
      </w:r>
      <w:r w:rsidRPr="00E21381">
        <w:rPr>
          <w:rFonts w:eastAsia="Calibri" w:cstheme="minorHAnsi"/>
          <w:iCs/>
          <w:color w:val="000000"/>
        </w:rPr>
        <w:t>οι περισσότερες</w:t>
      </w:r>
      <w:r w:rsidRPr="00E21381">
        <w:rPr>
          <w:rFonts w:eastAsia="Times New Roman" w:cstheme="minorHAnsi"/>
          <w:iCs/>
          <w:color w:val="auto"/>
          <w:lang w:eastAsia="el-GR"/>
        </w:rPr>
        <w:t xml:space="preserve">  χώρες αποκλίνουν σημαντικά από τους κανόνες</w:t>
      </w:r>
      <w:r w:rsidRPr="00E21381">
        <w:rPr>
          <w:rFonts w:eastAsia="Times New Roman" w:cstheme="minorHAnsi"/>
          <w:iCs/>
          <w:color w:val="auto"/>
          <w:vertAlign w:val="superscript"/>
          <w:lang w:eastAsia="el-GR"/>
        </w:rPr>
        <w:footnoteReference w:id="43"/>
      </w:r>
      <w:r w:rsidR="00815A4B">
        <w:rPr>
          <w:rFonts w:eastAsia="Times New Roman" w:cstheme="minorHAnsi"/>
          <w:iCs/>
          <w:color w:val="auto"/>
          <w:lang w:eastAsia="el-GR"/>
        </w:rPr>
        <w:t>, ε</w:t>
      </w:r>
      <w:r w:rsidRPr="00E21381">
        <w:rPr>
          <w:rFonts w:eastAsia="Times New Roman" w:cstheme="minorHAnsi"/>
          <w:iCs/>
          <w:color w:val="auto"/>
          <w:lang w:eastAsia="el-GR"/>
        </w:rPr>
        <w:t xml:space="preserve">γείροντας σημαντικές αμφιβολίες για την λειτουργικότητα του υφιστάμενου πλαισίου </w:t>
      </w:r>
      <w:r w:rsidRPr="00E21381">
        <w:rPr>
          <w:rFonts w:eastAsia="Times New Roman" w:cstheme="minorHAnsi"/>
          <w:iCs/>
          <w:color w:val="auto"/>
          <w:lang w:eastAsia="el-GR"/>
        </w:rPr>
        <w:lastRenderedPageBreak/>
        <w:t xml:space="preserve">δημοσιονομικής διακυβέρνησης, όπως είχε διαμορφωθεί με τις νομοθετικές μεταρρυθμίσεις των 6/2 </w:t>
      </w:r>
      <w:r w:rsidRPr="00E21381">
        <w:rPr>
          <w:rFonts w:eastAsia="Times New Roman" w:cstheme="minorHAnsi"/>
          <w:iCs/>
          <w:color w:val="auto"/>
          <w:lang w:val="en-US" w:eastAsia="el-GR"/>
        </w:rPr>
        <w:t>Pack</w:t>
      </w:r>
      <w:r w:rsidRPr="00E21381">
        <w:rPr>
          <w:rFonts w:eastAsia="Times New Roman" w:cstheme="minorHAnsi"/>
          <w:iCs/>
          <w:color w:val="auto"/>
          <w:lang w:eastAsia="el-GR"/>
        </w:rPr>
        <w:t xml:space="preserve"> (2011-2013).</w:t>
      </w:r>
    </w:p>
    <w:p w14:paraId="125D17FF" w14:textId="518F4166" w:rsidR="00E21381" w:rsidRDefault="00E21381" w:rsidP="00CA3292">
      <w:pPr>
        <w:shd w:val="clear" w:color="auto" w:fill="FFFFFF" w:themeFill="background1"/>
        <w:rPr>
          <w:rFonts w:eastAsia="Times New Roman" w:cstheme="minorHAnsi"/>
          <w:iCs/>
          <w:color w:val="auto"/>
          <w:lang w:eastAsia="el-GR"/>
        </w:rPr>
      </w:pPr>
      <w:r w:rsidRPr="00E21381">
        <w:rPr>
          <w:rFonts w:eastAsia="Times New Roman" w:cstheme="minorHAnsi"/>
          <w:iCs/>
          <w:color w:val="auto"/>
          <w:lang w:eastAsia="el-GR"/>
        </w:rPr>
        <w:t>Το</w:t>
      </w:r>
      <w:r w:rsidR="00815A4B">
        <w:rPr>
          <w:rFonts w:eastAsia="Times New Roman" w:cstheme="minorHAnsi"/>
          <w:iCs/>
          <w:color w:val="auto"/>
          <w:lang w:eastAsia="el-GR"/>
        </w:rPr>
        <w:t>ν</w:t>
      </w:r>
      <w:r w:rsidRPr="00E21381">
        <w:rPr>
          <w:rFonts w:eastAsia="Times New Roman" w:cstheme="minorHAnsi"/>
          <w:iCs/>
          <w:color w:val="auto"/>
          <w:lang w:eastAsia="el-GR"/>
        </w:rPr>
        <w:t xml:space="preserve"> Φεβρουάριο του 2020, η Επιτροπή κατέθεσε Εκθέσεις για την οικονομική διακυβέρνηση της ΕΕ</w:t>
      </w:r>
      <w:r w:rsidR="00815A4B">
        <w:rPr>
          <w:rFonts w:eastAsia="Times New Roman" w:cstheme="minorHAnsi"/>
          <w:iCs/>
          <w:color w:val="auto"/>
          <w:lang w:eastAsia="el-GR"/>
        </w:rPr>
        <w:t>,</w:t>
      </w:r>
      <w:r w:rsidRPr="00E21381">
        <w:rPr>
          <w:rFonts w:eastAsia="Times New Roman" w:cstheme="minorHAnsi"/>
          <w:iCs/>
          <w:color w:val="auto"/>
          <w:vertAlign w:val="superscript"/>
          <w:lang w:eastAsia="el-GR"/>
        </w:rPr>
        <w:footnoteReference w:id="44"/>
      </w:r>
      <w:r w:rsidRPr="00E21381">
        <w:rPr>
          <w:rFonts w:eastAsia="Times New Roman" w:cstheme="minorHAnsi"/>
          <w:iCs/>
          <w:color w:val="auto"/>
          <w:lang w:eastAsia="el-GR"/>
        </w:rPr>
        <w:t xml:space="preserve"> ξεκινώντας παράλληλα διαδικασία ανοιχτής διαβούλευσης για την αναθεώρηση των κανόνων του ΣΣΑ, που θα διαρκούσε έως το τέλος του 2020</w:t>
      </w:r>
      <w:r w:rsidR="00815A4B">
        <w:rPr>
          <w:rFonts w:eastAsia="Times New Roman" w:cstheme="minorHAnsi"/>
          <w:iCs/>
          <w:color w:val="auto"/>
          <w:lang w:eastAsia="el-GR"/>
        </w:rPr>
        <w:t>. Ω</w:t>
      </w:r>
      <w:r w:rsidRPr="00E21381">
        <w:rPr>
          <w:rFonts w:eastAsia="Times New Roman" w:cstheme="minorHAnsi"/>
          <w:iCs/>
          <w:color w:val="auto"/>
          <w:lang w:eastAsia="el-GR"/>
        </w:rPr>
        <w:t xml:space="preserve">στόσο, η πανδημική κρίση </w:t>
      </w:r>
      <w:r w:rsidR="00815A4B">
        <w:rPr>
          <w:rFonts w:eastAsia="Times New Roman" w:cstheme="minorHAnsi"/>
          <w:iCs/>
          <w:color w:val="auto"/>
          <w:lang w:eastAsia="el-GR"/>
        </w:rPr>
        <w:t>ανέκοψε</w:t>
      </w:r>
      <w:r w:rsidRPr="00E21381">
        <w:rPr>
          <w:rFonts w:eastAsia="Times New Roman" w:cstheme="minorHAnsi"/>
          <w:iCs/>
          <w:color w:val="auto"/>
          <w:lang w:eastAsia="el-GR"/>
        </w:rPr>
        <w:t xml:space="preserve"> την διαδικασία. Η επανέναρξη της διαδικασίας το φθινόπωρο του 2021, θέτει πλέον την συζήτηση αναθεώρησης των κανόνων του ΣΣΑ σε νέα βάση, κυρίως λόγω </w:t>
      </w:r>
      <w:r w:rsidR="00CA3292">
        <w:rPr>
          <w:rFonts w:eastAsia="Times New Roman" w:cstheme="minorHAnsi"/>
          <w:iCs/>
          <w:color w:val="auto"/>
          <w:lang w:eastAsia="el-GR"/>
        </w:rPr>
        <w:t>της έντονης δημοσιονομικής επέκτασης που υιοθετήθηκε από όλα τα κράτη-μέλη</w:t>
      </w:r>
      <w:r w:rsidRPr="00E21381">
        <w:rPr>
          <w:rFonts w:eastAsia="Calibri" w:cstheme="minorHAnsi"/>
          <w:iCs/>
          <w:color w:val="auto"/>
        </w:rPr>
        <w:t>, για την λήψη υγειονομικών μέτρων περιορισμού της εξάπλωσης του ιού</w:t>
      </w:r>
      <w:r w:rsidR="00CA3292">
        <w:rPr>
          <w:rFonts w:eastAsia="Calibri" w:cstheme="minorHAnsi"/>
          <w:iCs/>
          <w:color w:val="auto"/>
        </w:rPr>
        <w:t xml:space="preserve"> και στήριξης των οικονομιών τους</w:t>
      </w:r>
      <w:r w:rsidRPr="00E21381">
        <w:rPr>
          <w:rFonts w:eastAsia="Calibri" w:cstheme="minorHAnsi"/>
          <w:iCs/>
          <w:color w:val="auto"/>
        </w:rPr>
        <w:t>.</w:t>
      </w:r>
      <w:r w:rsidRPr="00E21381">
        <w:rPr>
          <w:rFonts w:eastAsia="Times New Roman" w:cstheme="minorHAnsi"/>
          <w:iCs/>
          <w:color w:val="auto"/>
          <w:lang w:eastAsia="el-GR"/>
        </w:rPr>
        <w:t xml:space="preserve"> Η ενεργοποίηση της γενικής ρήτρας διαφυγής, ανέστειλε την εφαρμογή </w:t>
      </w:r>
      <w:r w:rsidR="00CA3292">
        <w:rPr>
          <w:rFonts w:eastAsia="Times New Roman" w:cstheme="minorHAnsi"/>
          <w:iCs/>
          <w:color w:val="auto"/>
          <w:lang w:eastAsia="el-GR"/>
        </w:rPr>
        <w:t>των αριθμητικών κανόνων του ΣΣΑ</w:t>
      </w:r>
      <w:r w:rsidRPr="00E21381">
        <w:rPr>
          <w:rFonts w:eastAsia="Calibri" w:cstheme="minorHAnsi"/>
          <w:iCs/>
          <w:color w:val="auto"/>
        </w:rPr>
        <w:t>, επιτρέποντας στις κυβερνήσεις να ανταποκριθούν στην κρίση, όπως αυτές έκριναν σκόπιμο</w:t>
      </w:r>
      <w:r w:rsidR="00CA3292">
        <w:rPr>
          <w:rFonts w:eastAsia="Calibri" w:cstheme="minorHAnsi"/>
          <w:iCs/>
          <w:color w:val="auto"/>
        </w:rPr>
        <w:t>, χωρίς δημοσιονομικούς περιορισμούς</w:t>
      </w:r>
      <w:r w:rsidRPr="00E21381">
        <w:rPr>
          <w:rFonts w:eastAsia="Calibri" w:cstheme="minorHAnsi"/>
          <w:iCs/>
          <w:color w:val="auto"/>
        </w:rPr>
        <w:t>. Ταυτόχρονα κατέστη προφανές ότι, η</w:t>
      </w:r>
      <w:r w:rsidRPr="00E21381">
        <w:rPr>
          <w:rFonts w:eastAsia="Times New Roman" w:cstheme="minorHAnsi"/>
          <w:iCs/>
          <w:color w:val="auto"/>
          <w:lang w:eastAsia="el-GR"/>
        </w:rPr>
        <w:t xml:space="preserve"> δημοσιονομική πειθαρχία και η συμμόρφωση των </w:t>
      </w:r>
      <w:r w:rsidR="00CA3292">
        <w:rPr>
          <w:rFonts w:eastAsia="Times New Roman" w:cstheme="minorHAnsi"/>
          <w:iCs/>
          <w:color w:val="auto"/>
          <w:lang w:eastAsia="el-GR"/>
        </w:rPr>
        <w:t xml:space="preserve">κρατών-μελών </w:t>
      </w:r>
      <w:r w:rsidRPr="00E21381">
        <w:rPr>
          <w:rFonts w:eastAsia="Times New Roman" w:cstheme="minorHAnsi"/>
          <w:iCs/>
          <w:color w:val="auto"/>
          <w:lang w:eastAsia="el-GR"/>
        </w:rPr>
        <w:t xml:space="preserve">με τους δημοσιονομικούς κανόνες, πρέπει να τεθεί σε ένα νέο πλαίσιο μετά την λήξη ισχύος της γενικής ρήτρας διαφυγής δεδομένου ότι, πολλά </w:t>
      </w:r>
      <w:r w:rsidR="00CA3292">
        <w:rPr>
          <w:rFonts w:eastAsia="Times New Roman" w:cstheme="minorHAnsi"/>
          <w:iCs/>
          <w:color w:val="auto"/>
          <w:lang w:eastAsia="el-GR"/>
        </w:rPr>
        <w:t>κράτη-μέλη</w:t>
      </w:r>
      <w:r w:rsidRPr="00E21381">
        <w:rPr>
          <w:rFonts w:eastAsia="Times New Roman" w:cstheme="minorHAnsi"/>
          <w:iCs/>
          <w:color w:val="auto"/>
          <w:lang w:eastAsia="el-GR"/>
        </w:rPr>
        <w:t xml:space="preserve"> θα εξέλθουν από αυτή με διογκωμένο δημοσιονομικό έλλειμμα και δείκτη χρέους προς ΑΕΠ σε ιστορικά υψηλά επίπεδα.</w:t>
      </w:r>
    </w:p>
    <w:p w14:paraId="476080E0" w14:textId="4349E1CF" w:rsidR="00527989" w:rsidRDefault="00527989" w:rsidP="00CA3292">
      <w:pPr>
        <w:shd w:val="clear" w:color="auto" w:fill="FFFFFF" w:themeFill="background1"/>
        <w:rPr>
          <w:rFonts w:eastAsia="Times New Roman" w:cstheme="minorHAnsi"/>
          <w:iCs/>
          <w:color w:val="auto"/>
          <w:vertAlign w:val="superscript"/>
          <w:lang w:eastAsia="el-GR"/>
        </w:rPr>
      </w:pPr>
      <w:r w:rsidRPr="00527989">
        <w:rPr>
          <w:rFonts w:eastAsia="Times New Roman" w:cstheme="minorHAnsi"/>
          <w:iCs/>
          <w:color w:val="auto"/>
          <w:lang w:eastAsia="el-GR"/>
        </w:rPr>
        <w:t xml:space="preserve">Η νέα μεταρρύθμιση των κανόνων του ΣΣΑ και η προσαρμογή τους στις νέες οικονομικές συνθήκες, καθιστά απαραίτητη την συναίνεση μεταξύ των κρατών μελών, για τη δημιουργία μιας πιο απλής και αποδοτικής συμφωνίας για τα δημοσιονομικά της ΕΕ. Οι μεταρρυθμίσεις του ΣΣΑ που πραγματοποιήθηκαν έως σήμερα, υπογράμμισαν τη δυσκολία επιβολής ενός υπερεθνικού δημοσιονομικού πλαισίου στο οποίο η </w:t>
      </w:r>
      <w:r w:rsidR="00815A4B">
        <w:rPr>
          <w:rFonts w:eastAsia="Times New Roman" w:cstheme="minorHAnsi"/>
          <w:iCs/>
          <w:color w:val="auto"/>
          <w:lang w:eastAsia="el-GR"/>
        </w:rPr>
        <w:t xml:space="preserve">εθνική </w:t>
      </w:r>
      <w:r w:rsidRPr="00527989">
        <w:rPr>
          <w:rFonts w:eastAsia="Times New Roman" w:cstheme="minorHAnsi"/>
          <w:iCs/>
          <w:color w:val="auto"/>
          <w:lang w:eastAsia="el-GR"/>
        </w:rPr>
        <w:t>πολιτική επιδρούσε πολλές φορές αρνητικά. Ταυτόχρονα, οι κανόνες του</w:t>
      </w:r>
      <w:r w:rsidR="00CA3292">
        <w:rPr>
          <w:rFonts w:eastAsia="Times New Roman" w:cstheme="minorHAnsi"/>
          <w:iCs/>
          <w:color w:val="auto"/>
          <w:lang w:eastAsia="el-GR"/>
        </w:rPr>
        <w:t xml:space="preserve"> </w:t>
      </w:r>
      <w:r w:rsidRPr="00527989">
        <w:rPr>
          <w:rFonts w:eastAsia="Times New Roman" w:cstheme="minorHAnsi"/>
          <w:iCs/>
          <w:color w:val="auto"/>
          <w:lang w:eastAsia="el-GR"/>
        </w:rPr>
        <w:t>Συμφώνου αποδείχθηκαν εκ των υστέρων ανεπαρκείς να αντιμετωπίσουν δύσκολες δημοσιονομικές καταστάσεις, καθόσον αποτελούσαν κυρίως προϊόν ενός πολ</w:t>
      </w:r>
      <w:r w:rsidR="00CA3292">
        <w:rPr>
          <w:rFonts w:eastAsia="Times New Roman" w:cstheme="minorHAnsi"/>
          <w:iCs/>
          <w:color w:val="auto"/>
          <w:lang w:eastAsia="el-GR"/>
        </w:rPr>
        <w:t>ιτικού συμβιβασμού μεταξύ των κρατών-μελών</w:t>
      </w:r>
      <w:r w:rsidRPr="00527989">
        <w:rPr>
          <w:rFonts w:eastAsia="Times New Roman" w:cstheme="minorHAnsi"/>
          <w:iCs/>
          <w:color w:val="auto"/>
          <w:lang w:eastAsia="el-GR"/>
        </w:rPr>
        <w:t xml:space="preserve">. Η νέα δημοσιονομική αρχιτεκτονική θα πρέπει να υπερβεί παρόμοιους συμβιβασμούς για να επιτευχθεί κοινή κατανόηση του τι συνιστά καλή διακυβέρνηση, διασφαλίζοντας παράλληλα την κυριότητα και τη δημοκρατική υποστήριξη των κανόνων. Κοινή είναι η διαπίστωση ότι οι νέοι κανόνες θα πρέπει να είναι απλούστεροι, ενταγμένοι σε ένα διαφανέστερο πλαίσιο που θα διευκολύνεται η ομοιόμορφη εφαρμογή τους από τα </w:t>
      </w:r>
      <w:r w:rsidR="00815A4B">
        <w:rPr>
          <w:rFonts w:eastAsia="Times New Roman" w:cstheme="minorHAnsi"/>
          <w:iCs/>
          <w:color w:val="auto"/>
          <w:lang w:eastAsia="el-GR"/>
        </w:rPr>
        <w:t>κράτη μέλη</w:t>
      </w:r>
      <w:r w:rsidRPr="00527989">
        <w:rPr>
          <w:rFonts w:eastAsia="Times New Roman" w:cstheme="minorHAnsi"/>
          <w:iCs/>
          <w:color w:val="auto"/>
          <w:lang w:eastAsia="el-GR"/>
        </w:rPr>
        <w:t xml:space="preserve"> με οικονομικά πιο ουσιαστικό τρόπο από ό,τι στο παρελθόν</w:t>
      </w:r>
      <w:r>
        <w:rPr>
          <w:rFonts w:eastAsia="Times New Roman" w:cstheme="minorHAnsi"/>
          <w:iCs/>
          <w:color w:val="auto"/>
          <w:lang w:eastAsia="el-GR"/>
        </w:rPr>
        <w:t>.</w:t>
      </w:r>
      <w:r w:rsidRPr="00527989">
        <w:rPr>
          <w:rFonts w:eastAsia="Times New Roman" w:cstheme="minorHAnsi"/>
          <w:iCs/>
          <w:color w:val="auto"/>
          <w:vertAlign w:val="superscript"/>
          <w:lang w:eastAsia="el-GR"/>
        </w:rPr>
        <w:t xml:space="preserve"> </w:t>
      </w:r>
      <w:r w:rsidRPr="00E21381">
        <w:rPr>
          <w:rFonts w:eastAsia="Times New Roman" w:cstheme="minorHAnsi"/>
          <w:iCs/>
          <w:color w:val="auto"/>
          <w:vertAlign w:val="superscript"/>
          <w:lang w:eastAsia="el-GR"/>
        </w:rPr>
        <w:footnoteReference w:id="45"/>
      </w:r>
    </w:p>
    <w:sectPr w:rsidR="00527989" w:rsidSect="006B523B">
      <w:footerReference w:type="default" r:id="rId48"/>
      <w:pgSz w:w="11906" w:h="16838"/>
      <w:pgMar w:top="1276"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C1E9D9" w14:textId="77777777" w:rsidR="00500704" w:rsidRDefault="00500704" w:rsidP="00B95D8A">
      <w:pPr>
        <w:spacing w:after="0" w:line="240" w:lineRule="auto"/>
      </w:pPr>
      <w:r>
        <w:separator/>
      </w:r>
    </w:p>
  </w:endnote>
  <w:endnote w:type="continuationSeparator" w:id="0">
    <w:p w14:paraId="53C918FC" w14:textId="77777777" w:rsidR="00500704" w:rsidRDefault="00500704" w:rsidP="00B95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1"/>
    <w:family w:val="swiss"/>
    <w:pitch w:val="variable"/>
    <w:sig w:usb0="000006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1C18E" w14:textId="6B547FFA" w:rsidR="00F36164" w:rsidRPr="00247D76" w:rsidRDefault="00F36164" w:rsidP="00B94EBC">
    <w:pPr>
      <w:pBdr>
        <w:top w:val="single" w:sz="24" w:space="11" w:color="00A3E0"/>
      </w:pBdr>
      <w:tabs>
        <w:tab w:val="center" w:pos="4153"/>
        <w:tab w:val="right" w:pos="8306"/>
      </w:tabs>
      <w:spacing w:after="160" w:line="259" w:lineRule="auto"/>
      <w:jc w:val="left"/>
      <w:rPr>
        <w:rFonts w:eastAsia="Calibri" w:cs="Times New Roman"/>
        <w:sz w:val="20"/>
        <w:szCs w:val="20"/>
      </w:rPr>
    </w:pPr>
    <w:r w:rsidRPr="00247D76">
      <w:rPr>
        <w:rFonts w:eastAsia="Calibri" w:cs="Times New Roman"/>
        <w:noProof/>
        <w:sz w:val="20"/>
        <w:szCs w:val="20"/>
        <w:lang w:eastAsia="el-GR"/>
      </w:rPr>
      <w:drawing>
        <wp:anchor distT="0" distB="0" distL="114300" distR="114300" simplePos="0" relativeHeight="251659264" behindDoc="0" locked="0" layoutInCell="1" allowOverlap="1" wp14:anchorId="1E3B295F" wp14:editId="29BC78D0">
          <wp:simplePos x="0" y="0"/>
          <wp:positionH relativeFrom="margin">
            <wp:posOffset>4051935</wp:posOffset>
          </wp:positionH>
          <wp:positionV relativeFrom="bottomMargin">
            <wp:align>top</wp:align>
          </wp:positionV>
          <wp:extent cx="1648800" cy="712800"/>
          <wp:effectExtent l="0" t="0" r="8890" b="0"/>
          <wp:wrapSquare wrapText="bothSides"/>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s-logo-gr.png"/>
                  <pic:cNvPicPr/>
                </pic:nvPicPr>
                <pic:blipFill>
                  <a:blip r:embed="rId1">
                    <a:extLst>
                      <a:ext uri="{28A0092B-C50C-407E-A947-70E740481C1C}">
                        <a14:useLocalDpi xmlns:a14="http://schemas.microsoft.com/office/drawing/2010/main" val="0"/>
                      </a:ext>
                    </a:extLst>
                  </a:blip>
                  <a:stretch>
                    <a:fillRect/>
                  </a:stretch>
                </pic:blipFill>
                <pic:spPr>
                  <a:xfrm>
                    <a:off x="0" y="0"/>
                    <a:ext cx="1648800" cy="712800"/>
                  </a:xfrm>
                  <a:prstGeom prst="rect">
                    <a:avLst/>
                  </a:prstGeom>
                </pic:spPr>
              </pic:pic>
            </a:graphicData>
          </a:graphic>
          <wp14:sizeRelH relativeFrom="margin">
            <wp14:pctWidth>0</wp14:pctWidth>
          </wp14:sizeRelH>
          <wp14:sizeRelV relativeFrom="margin">
            <wp14:pctHeight>0</wp14:pctHeight>
          </wp14:sizeRelV>
        </wp:anchor>
      </w:drawing>
    </w:r>
    <w:r w:rsidRPr="00247D76">
      <w:rPr>
        <w:rFonts w:eastAsia="Calibri" w:cs="Times New Roman"/>
        <w:b/>
        <w:sz w:val="20"/>
        <w:szCs w:val="20"/>
      </w:rPr>
      <w:fldChar w:fldCharType="begin"/>
    </w:r>
    <w:r w:rsidRPr="00247D76">
      <w:rPr>
        <w:rFonts w:eastAsia="Calibri" w:cs="Times New Roman"/>
        <w:b/>
        <w:sz w:val="20"/>
        <w:szCs w:val="20"/>
      </w:rPr>
      <w:instrText>PAGE   \* MERGEFORMAT</w:instrText>
    </w:r>
    <w:r w:rsidRPr="00247D76">
      <w:rPr>
        <w:rFonts w:eastAsia="Calibri" w:cs="Times New Roman"/>
        <w:b/>
        <w:sz w:val="20"/>
        <w:szCs w:val="20"/>
      </w:rPr>
      <w:fldChar w:fldCharType="separate"/>
    </w:r>
    <w:r w:rsidR="00CD384A">
      <w:rPr>
        <w:rFonts w:eastAsia="Calibri" w:cs="Times New Roman"/>
        <w:b/>
        <w:noProof/>
        <w:sz w:val="20"/>
        <w:szCs w:val="20"/>
      </w:rPr>
      <w:t>1</w:t>
    </w:r>
    <w:r w:rsidRPr="00247D76">
      <w:rPr>
        <w:rFonts w:eastAsia="Calibri" w:cs="Times New Roman"/>
        <w:b/>
        <w:sz w:val="20"/>
        <w:szCs w:val="20"/>
      </w:rPr>
      <w:fldChar w:fldCharType="end"/>
    </w:r>
    <w:r w:rsidRPr="00247D76">
      <w:rPr>
        <w:rFonts w:eastAsia="Calibri" w:cs="Times New Roman"/>
        <w:sz w:val="20"/>
        <w:szCs w:val="20"/>
      </w:rPr>
      <w:t xml:space="preserve">        </w:t>
    </w:r>
    <w:r>
      <w:rPr>
        <w:rFonts w:eastAsia="Calibri" w:cs="Times New Roman"/>
        <w:sz w:val="20"/>
        <w:szCs w:val="20"/>
      </w:rPr>
      <w:t>ΦΘΙΝΟΠΩΡΙΝΗ</w:t>
    </w:r>
    <w:r w:rsidRPr="00247D76">
      <w:rPr>
        <w:rFonts w:eastAsia="Calibri" w:cs="Times New Roman"/>
        <w:sz w:val="20"/>
        <w:szCs w:val="20"/>
      </w:rPr>
      <w:t xml:space="preserve"> ΕΚΘΕΣΗ 20</w:t>
    </w:r>
    <w:r>
      <w:rPr>
        <w:rFonts w:eastAsia="Calibri" w:cs="Times New Roman"/>
        <w:sz w:val="20"/>
        <w:szCs w:val="20"/>
      </w:rPr>
      <w:t>2</w:t>
    </w:r>
    <w:r>
      <w:rPr>
        <w:rFonts w:eastAsia="Calibri" w:cs="Times New Roman"/>
        <w:sz w:val="20"/>
        <w:szCs w:val="20"/>
        <w:lang w:val="en-US"/>
      </w:rPr>
      <w:t>1</w:t>
    </w:r>
    <w:r>
      <w:rPr>
        <w:rFonts w:eastAsia="Calibri" w:cs="Times New Roman"/>
        <w:sz w:val="20"/>
        <w:szCs w:val="20"/>
      </w:rPr>
      <w:t xml:space="preserve"> –</w:t>
    </w:r>
    <w:r w:rsidRPr="00247D76">
      <w:rPr>
        <w:rFonts w:eastAsia="Calibri" w:cs="Times New Roman"/>
        <w:sz w:val="20"/>
        <w:szCs w:val="20"/>
      </w:rPr>
      <w:t xml:space="preserve"> </w:t>
    </w:r>
    <w:r>
      <w:rPr>
        <w:rFonts w:eastAsia="Calibri" w:cs="Times New Roman"/>
        <w:sz w:val="20"/>
        <w:szCs w:val="20"/>
      </w:rPr>
      <w:t>ΝΟΕΜΒΡΙΟΣ</w:t>
    </w:r>
    <w:r w:rsidRPr="00247D76">
      <w:rPr>
        <w:rFonts w:eastAsia="Calibri" w:cs="Times New Roman"/>
        <w:sz w:val="20"/>
        <w:szCs w:val="20"/>
      </w:rPr>
      <w:t xml:space="preserve"> </w:t>
    </w:r>
  </w:p>
  <w:p w14:paraId="089E156F" w14:textId="77777777" w:rsidR="00F36164" w:rsidRDefault="00F36164">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B88862" w14:textId="77777777" w:rsidR="00500704" w:rsidRDefault="00500704" w:rsidP="00B95D8A">
      <w:pPr>
        <w:spacing w:after="0" w:line="240" w:lineRule="auto"/>
      </w:pPr>
      <w:r>
        <w:separator/>
      </w:r>
    </w:p>
  </w:footnote>
  <w:footnote w:type="continuationSeparator" w:id="0">
    <w:p w14:paraId="565A2FB8" w14:textId="77777777" w:rsidR="00500704" w:rsidRDefault="00500704" w:rsidP="00B95D8A">
      <w:pPr>
        <w:spacing w:after="0" w:line="240" w:lineRule="auto"/>
      </w:pPr>
      <w:r>
        <w:continuationSeparator/>
      </w:r>
    </w:p>
  </w:footnote>
  <w:footnote w:id="1">
    <w:p w14:paraId="7B69FD1F" w14:textId="77777777" w:rsidR="00F36164" w:rsidRPr="00DB43F0" w:rsidRDefault="00F36164" w:rsidP="00DF60E7">
      <w:pPr>
        <w:pStyle w:val="af0"/>
        <w:jc w:val="both"/>
        <w:rPr>
          <w:rFonts w:ascii="Trebuchet MS" w:eastAsia="Calibri" w:hAnsi="Trebuchet MS" w:cs="Times New Roman"/>
          <w:sz w:val="18"/>
          <w:szCs w:val="18"/>
        </w:rPr>
      </w:pPr>
      <w:r w:rsidRPr="00DB43F0">
        <w:rPr>
          <w:rStyle w:val="af1"/>
          <w:rFonts w:ascii="Trebuchet MS" w:hAnsi="Trebuchet MS"/>
          <w:sz w:val="18"/>
          <w:szCs w:val="18"/>
        </w:rPr>
        <w:footnoteRef/>
      </w:r>
      <w:r w:rsidRPr="00DB43F0">
        <w:rPr>
          <w:rFonts w:ascii="Trebuchet MS" w:hAnsi="Trebuchet MS"/>
          <w:sz w:val="18"/>
          <w:szCs w:val="18"/>
        </w:rPr>
        <w:t xml:space="preserve"> </w:t>
      </w:r>
      <w:r>
        <w:rPr>
          <w:rFonts w:ascii="Trebuchet MS" w:eastAsia="Calibri" w:hAnsi="Trebuchet MS" w:cs="Times New Roman"/>
          <w:sz w:val="18"/>
          <w:szCs w:val="18"/>
        </w:rPr>
        <w:t>Σημειώνεται ότι η</w:t>
      </w:r>
      <w:r w:rsidRPr="00DB43F0">
        <w:rPr>
          <w:rFonts w:ascii="Trebuchet MS" w:eastAsia="Calibri" w:hAnsi="Trebuchet MS" w:cs="Times New Roman"/>
          <w:sz w:val="18"/>
          <w:szCs w:val="18"/>
        </w:rPr>
        <w:t xml:space="preserve"> ΕΛΣΤΑ</w:t>
      </w:r>
      <w:r>
        <w:rPr>
          <w:rFonts w:ascii="Trebuchet MS" w:eastAsia="Calibri" w:hAnsi="Trebuchet MS" w:cs="Times New Roman"/>
          <w:sz w:val="18"/>
          <w:szCs w:val="18"/>
          <w:lang w:val="en-US"/>
        </w:rPr>
        <w:t>T</w:t>
      </w:r>
      <w:r w:rsidRPr="00DB43F0">
        <w:rPr>
          <w:rFonts w:ascii="Trebuchet MS" w:eastAsia="Calibri" w:hAnsi="Trebuchet MS" w:cs="Times New Roman"/>
          <w:sz w:val="18"/>
          <w:szCs w:val="18"/>
        </w:rPr>
        <w:t xml:space="preserve"> στις 15 Οκτωβρίου</w:t>
      </w:r>
      <w:r>
        <w:rPr>
          <w:rFonts w:ascii="Trebuchet MS" w:eastAsia="Calibri" w:hAnsi="Trebuchet MS" w:cs="Times New Roman"/>
          <w:sz w:val="18"/>
          <w:szCs w:val="18"/>
        </w:rPr>
        <w:t xml:space="preserve"> 2021</w:t>
      </w:r>
      <w:r w:rsidRPr="00DB43F0">
        <w:rPr>
          <w:rFonts w:ascii="Trebuchet MS" w:eastAsia="Calibri" w:hAnsi="Trebuchet MS" w:cs="Times New Roman"/>
          <w:sz w:val="18"/>
          <w:szCs w:val="18"/>
        </w:rPr>
        <w:t xml:space="preserve"> προχώρησε σε αναθεώρηση των στοιχείων που αφορούν </w:t>
      </w:r>
      <w:r>
        <w:rPr>
          <w:rFonts w:ascii="Trebuchet MS" w:eastAsia="Calibri" w:hAnsi="Trebuchet MS" w:cs="Times New Roman"/>
          <w:sz w:val="18"/>
          <w:szCs w:val="18"/>
        </w:rPr>
        <w:t>σ</w:t>
      </w:r>
      <w:r w:rsidRPr="00DB43F0">
        <w:rPr>
          <w:rFonts w:ascii="Trebuchet MS" w:eastAsia="Calibri" w:hAnsi="Trebuchet MS" w:cs="Times New Roman"/>
          <w:sz w:val="18"/>
          <w:szCs w:val="18"/>
        </w:rPr>
        <w:t xml:space="preserve">το ΑΕΠ έτους 2020 </w:t>
      </w:r>
      <w:r>
        <w:rPr>
          <w:rFonts w:ascii="Trebuchet MS" w:eastAsia="Calibri" w:hAnsi="Trebuchet MS" w:cs="Times New Roman"/>
          <w:sz w:val="18"/>
          <w:szCs w:val="18"/>
        </w:rPr>
        <w:t>με αποτέλεσμα η αρχική εκτίμηση για ύφεση της τάξης του 8,2% να αναθεωρηθεί επί τα χείρω και να διαμορφωθεί σε 9%</w:t>
      </w:r>
      <w:r w:rsidRPr="00DB43F0">
        <w:rPr>
          <w:rFonts w:ascii="Trebuchet MS" w:eastAsia="Calibri" w:hAnsi="Trebuchet MS" w:cs="Times New Roman"/>
          <w:sz w:val="18"/>
          <w:szCs w:val="18"/>
        </w:rPr>
        <w:t>.</w:t>
      </w:r>
    </w:p>
  </w:footnote>
  <w:footnote w:id="2">
    <w:p w14:paraId="2C209A28" w14:textId="77777777" w:rsidR="00F36164" w:rsidRPr="0061354B" w:rsidRDefault="00F36164" w:rsidP="00DF60E7">
      <w:pPr>
        <w:pStyle w:val="af0"/>
      </w:pPr>
      <w:r>
        <w:rPr>
          <w:rStyle w:val="af1"/>
        </w:rPr>
        <w:footnoteRef/>
      </w:r>
      <w:r>
        <w:t xml:space="preserve"> </w:t>
      </w:r>
      <w:r w:rsidRPr="0061354B">
        <w:t>https://hfisc.gr/ekfrasi-gnomis/axiologisi-ton-makrooikonomikon-provlepseon-toy-proshedioy-toy-proypologismoy-2022</w:t>
      </w:r>
    </w:p>
  </w:footnote>
  <w:footnote w:id="3">
    <w:p w14:paraId="6128405C" w14:textId="77777777" w:rsidR="00F36164" w:rsidRDefault="00F36164" w:rsidP="008E130B">
      <w:pPr>
        <w:pStyle w:val="af0"/>
      </w:pPr>
      <w:r>
        <w:rPr>
          <w:rStyle w:val="af1"/>
        </w:rPr>
        <w:footnoteRef/>
      </w:r>
      <w:r>
        <w:t xml:space="preserve"> Περιλαμβάνεται το πετρέλαιο θέρμανσης.</w:t>
      </w:r>
    </w:p>
  </w:footnote>
  <w:footnote w:id="4">
    <w:p w14:paraId="6039F6EE" w14:textId="77777777" w:rsidR="00F36164" w:rsidRDefault="00F36164" w:rsidP="008E130B">
      <w:pPr>
        <w:pStyle w:val="af0"/>
      </w:pPr>
      <w:r>
        <w:rPr>
          <w:rStyle w:val="af1"/>
        </w:rPr>
        <w:footnoteRef/>
      </w:r>
      <w:r>
        <w:t xml:space="preserve"> Περιλαμβάνεται το πετρέλαιο κίνησης και η βενζίνη.</w:t>
      </w:r>
    </w:p>
  </w:footnote>
  <w:footnote w:id="5">
    <w:p w14:paraId="6708B9DB" w14:textId="77777777" w:rsidR="00F36164" w:rsidRPr="00497DA8" w:rsidRDefault="00F36164" w:rsidP="00844D6F">
      <w:pPr>
        <w:pStyle w:val="af0"/>
        <w:jc w:val="both"/>
        <w:rPr>
          <w:rFonts w:ascii="Trebuchet MS" w:hAnsi="Trebuchet MS"/>
          <w:sz w:val="18"/>
          <w:szCs w:val="18"/>
        </w:rPr>
      </w:pPr>
      <w:r w:rsidRPr="00497DA8">
        <w:rPr>
          <w:rStyle w:val="af1"/>
          <w:rFonts w:ascii="Trebuchet MS" w:hAnsi="Trebuchet MS"/>
          <w:sz w:val="18"/>
          <w:szCs w:val="18"/>
        </w:rPr>
        <w:footnoteRef/>
      </w:r>
      <w:r w:rsidRPr="00497DA8">
        <w:rPr>
          <w:rFonts w:ascii="Trebuchet MS" w:hAnsi="Trebuchet MS"/>
          <w:sz w:val="18"/>
          <w:szCs w:val="18"/>
        </w:rPr>
        <w:t xml:space="preserve"> Πρόκειται για έναν ειδικό </w:t>
      </w:r>
      <w:r>
        <w:rPr>
          <w:rFonts w:ascii="Trebuchet MS" w:hAnsi="Trebuchet MS"/>
          <w:sz w:val="18"/>
          <w:szCs w:val="18"/>
        </w:rPr>
        <w:t xml:space="preserve">αθροιστικό </w:t>
      </w:r>
      <w:r w:rsidRPr="00497DA8">
        <w:rPr>
          <w:rFonts w:ascii="Trebuchet MS" w:hAnsi="Trebuchet MS"/>
          <w:sz w:val="18"/>
          <w:szCs w:val="18"/>
        </w:rPr>
        <w:t xml:space="preserve">δείκτη που καταρτίζει η </w:t>
      </w:r>
      <w:r w:rsidRPr="00497DA8">
        <w:rPr>
          <w:rFonts w:ascii="Trebuchet MS" w:hAnsi="Trebuchet MS"/>
          <w:sz w:val="18"/>
          <w:szCs w:val="18"/>
          <w:lang w:val="en-US"/>
        </w:rPr>
        <w:t>Eurostat</w:t>
      </w:r>
      <w:r w:rsidRPr="00497DA8">
        <w:rPr>
          <w:rFonts w:ascii="Trebuchet MS" w:hAnsi="Trebuchet MS"/>
          <w:sz w:val="18"/>
          <w:szCs w:val="18"/>
        </w:rPr>
        <w:t xml:space="preserve"> ο οποίος απαρτίζεται από τις εξής κατηγορίες αγαθών: ηλεκτρισμός, αέριο</w:t>
      </w:r>
      <w:r>
        <w:rPr>
          <w:rFonts w:ascii="Trebuchet MS" w:hAnsi="Trebuchet MS"/>
          <w:sz w:val="18"/>
          <w:szCs w:val="18"/>
        </w:rPr>
        <w:t>, υγρά και στερεά καύσιμα (άνθρακας), θερμική ενέργεια, καύσιμα και λιπαντικά για εξοπλισμό προσωπικής μεταφοράς (πετρέλαιο κίνησης, βενζίνη).</w:t>
      </w:r>
    </w:p>
  </w:footnote>
  <w:footnote w:id="6">
    <w:p w14:paraId="12FA43EE" w14:textId="77777777" w:rsidR="00F36164" w:rsidRPr="00497DA8" w:rsidRDefault="00F36164" w:rsidP="008E130B">
      <w:pPr>
        <w:pStyle w:val="af0"/>
        <w:rPr>
          <w:rFonts w:ascii="Trebuchet MS" w:hAnsi="Trebuchet MS"/>
          <w:sz w:val="18"/>
          <w:szCs w:val="18"/>
        </w:rPr>
      </w:pPr>
      <w:r w:rsidRPr="00497DA8">
        <w:rPr>
          <w:rStyle w:val="af1"/>
          <w:rFonts w:ascii="Trebuchet MS" w:hAnsi="Trebuchet MS"/>
          <w:sz w:val="18"/>
          <w:szCs w:val="18"/>
        </w:rPr>
        <w:footnoteRef/>
      </w:r>
      <w:r w:rsidRPr="00497DA8">
        <w:rPr>
          <w:rFonts w:ascii="Trebuchet MS" w:hAnsi="Trebuchet MS"/>
          <w:sz w:val="18"/>
          <w:szCs w:val="18"/>
        </w:rPr>
        <w:t xml:space="preserve"> </w:t>
      </w:r>
      <w:hyperlink r:id="rId1" w:history="1">
        <w:r w:rsidRPr="00497DA8">
          <w:rPr>
            <w:rStyle w:val="-"/>
            <w:rFonts w:ascii="Trebuchet MS" w:hAnsi="Trebuchet MS"/>
            <w:sz w:val="18"/>
            <w:szCs w:val="18"/>
          </w:rPr>
          <w:t>https://www.ecb.europa.eu/pub/pdf/other/ecb.projections202109_ecbstaff~1f59a501e2.en.pdf</w:t>
        </w:r>
      </w:hyperlink>
      <w:r w:rsidRPr="00497DA8">
        <w:rPr>
          <w:rFonts w:ascii="Trebuchet MS" w:hAnsi="Trebuchet MS"/>
          <w:sz w:val="18"/>
          <w:szCs w:val="18"/>
        </w:rPr>
        <w:t xml:space="preserve"> </w:t>
      </w:r>
    </w:p>
  </w:footnote>
  <w:footnote w:id="7">
    <w:p w14:paraId="0127B0DF" w14:textId="77777777" w:rsidR="00F36164" w:rsidRDefault="00F36164" w:rsidP="00C27083">
      <w:pPr>
        <w:pStyle w:val="af0"/>
      </w:pPr>
      <w:r>
        <w:rPr>
          <w:rStyle w:val="af1"/>
        </w:rPr>
        <w:footnoteRef/>
      </w:r>
      <w:r>
        <w:t xml:space="preserve"> </w:t>
      </w:r>
      <w:hyperlink r:id="rId2" w:history="1">
        <w:r w:rsidRPr="00FA2DD5">
          <w:rPr>
            <w:rStyle w:val="-"/>
          </w:rPr>
          <w:t>https://www.aia.gr/userfiles/675393df-ab1a-4b77-826c-f3096a3d7f12/passenger-traffic-october-21-gr.pdf</w:t>
        </w:r>
      </w:hyperlink>
      <w:r>
        <w:t xml:space="preserve"> </w:t>
      </w:r>
    </w:p>
  </w:footnote>
  <w:footnote w:id="8">
    <w:p w14:paraId="70C21132" w14:textId="77777777" w:rsidR="00F36164" w:rsidRPr="006E4840" w:rsidRDefault="00F36164" w:rsidP="00770552">
      <w:pPr>
        <w:pStyle w:val="af0"/>
        <w:jc w:val="both"/>
        <w:rPr>
          <w:rFonts w:ascii="Trebuchet MS" w:hAnsi="Trebuchet MS"/>
          <w:sz w:val="16"/>
          <w:szCs w:val="16"/>
        </w:rPr>
      </w:pPr>
      <w:r w:rsidRPr="009E2D0F">
        <w:rPr>
          <w:rStyle w:val="af1"/>
          <w:rFonts w:ascii="Trebuchet MS" w:hAnsi="Trebuchet MS"/>
        </w:rPr>
        <w:footnoteRef/>
      </w:r>
      <w:r w:rsidRPr="009E2D0F">
        <w:rPr>
          <w:rFonts w:ascii="Trebuchet MS" w:hAnsi="Trebuchet MS"/>
        </w:rPr>
        <w:t xml:space="preserve"> </w:t>
      </w:r>
      <w:r>
        <w:rPr>
          <w:rFonts w:ascii="Trebuchet MS" w:hAnsi="Trebuchet MS"/>
        </w:rPr>
        <w:t xml:space="preserve">Σε </w:t>
      </w:r>
      <w:r w:rsidRPr="006E4840">
        <w:rPr>
          <w:rFonts w:ascii="Trebuchet MS" w:hAnsi="Trebuchet MS"/>
          <w:sz w:val="16"/>
          <w:szCs w:val="16"/>
        </w:rPr>
        <w:t xml:space="preserve">απόλυτα μεγέθη </w:t>
      </w:r>
      <w:r>
        <w:rPr>
          <w:rFonts w:ascii="Trebuchet MS" w:hAnsi="Trebuchet MS"/>
          <w:sz w:val="16"/>
          <w:szCs w:val="16"/>
        </w:rPr>
        <w:t>το σ</w:t>
      </w:r>
      <w:r w:rsidRPr="006E4840">
        <w:rPr>
          <w:rFonts w:ascii="Trebuchet MS" w:hAnsi="Trebuchet MS"/>
          <w:sz w:val="16"/>
          <w:szCs w:val="16"/>
        </w:rPr>
        <w:t>υνολικό ύψος ΜΕΔ</w:t>
      </w:r>
      <w:r>
        <w:rPr>
          <w:rFonts w:ascii="Trebuchet MS" w:hAnsi="Trebuchet MS"/>
          <w:sz w:val="16"/>
          <w:szCs w:val="16"/>
        </w:rPr>
        <w:t xml:space="preserve"> προσέγγιζε τα</w:t>
      </w:r>
      <w:r w:rsidRPr="006E4840">
        <w:rPr>
          <w:rFonts w:ascii="Trebuchet MS" w:hAnsi="Trebuchet MS"/>
          <w:sz w:val="16"/>
          <w:szCs w:val="16"/>
        </w:rPr>
        <w:t xml:space="preserve"> </w:t>
      </w:r>
      <w:r>
        <w:rPr>
          <w:rFonts w:ascii="Trebuchet MS" w:hAnsi="Trebuchet MS"/>
          <w:sz w:val="16"/>
          <w:szCs w:val="16"/>
        </w:rPr>
        <w:t>29,4 δισ. ευρώ, εκ των οποίων τα κ</w:t>
      </w:r>
      <w:r w:rsidRPr="006E4840">
        <w:rPr>
          <w:rFonts w:ascii="Trebuchet MS" w:hAnsi="Trebuchet MS"/>
          <w:sz w:val="16"/>
          <w:szCs w:val="16"/>
        </w:rPr>
        <w:t>αταναλωτικά</w:t>
      </w:r>
      <w:r>
        <w:rPr>
          <w:rFonts w:ascii="Trebuchet MS" w:hAnsi="Trebuchet MS"/>
          <w:sz w:val="16"/>
          <w:szCs w:val="16"/>
        </w:rPr>
        <w:t xml:space="preserve"> είναι 3,1 δισ. ευρώ, τα σ</w:t>
      </w:r>
      <w:r w:rsidRPr="006E4840">
        <w:rPr>
          <w:rFonts w:ascii="Trebuchet MS" w:hAnsi="Trebuchet MS"/>
          <w:sz w:val="16"/>
          <w:szCs w:val="16"/>
        </w:rPr>
        <w:t>τεγαστικά</w:t>
      </w:r>
      <w:r>
        <w:rPr>
          <w:rFonts w:ascii="Trebuchet MS" w:hAnsi="Trebuchet MS"/>
          <w:sz w:val="16"/>
          <w:szCs w:val="16"/>
        </w:rPr>
        <w:t xml:space="preserve"> </w:t>
      </w:r>
      <w:r w:rsidRPr="006E4840">
        <w:rPr>
          <w:rFonts w:ascii="Trebuchet MS" w:hAnsi="Trebuchet MS"/>
          <w:sz w:val="16"/>
          <w:szCs w:val="16"/>
        </w:rPr>
        <w:t xml:space="preserve">7,1 δισ. </w:t>
      </w:r>
      <w:r>
        <w:rPr>
          <w:rFonts w:ascii="Trebuchet MS" w:hAnsi="Trebuchet MS"/>
          <w:sz w:val="16"/>
          <w:szCs w:val="16"/>
        </w:rPr>
        <w:t>ευρώ και τα ε</w:t>
      </w:r>
      <w:r w:rsidRPr="006E4840">
        <w:rPr>
          <w:rFonts w:ascii="Trebuchet MS" w:hAnsi="Trebuchet MS"/>
          <w:sz w:val="16"/>
          <w:szCs w:val="16"/>
        </w:rPr>
        <w:t>πιχειρηματικά</w:t>
      </w:r>
      <w:r>
        <w:rPr>
          <w:rFonts w:ascii="Trebuchet MS" w:hAnsi="Trebuchet MS"/>
          <w:sz w:val="16"/>
          <w:szCs w:val="16"/>
        </w:rPr>
        <w:t xml:space="preserve"> 1</w:t>
      </w:r>
      <w:r w:rsidRPr="006E4840">
        <w:rPr>
          <w:rFonts w:ascii="Trebuchet MS" w:hAnsi="Trebuchet MS"/>
          <w:sz w:val="16"/>
          <w:szCs w:val="16"/>
        </w:rPr>
        <w:t xml:space="preserve">9,2 δισ. </w:t>
      </w:r>
      <w:r>
        <w:rPr>
          <w:rFonts w:ascii="Trebuchet MS" w:hAnsi="Trebuchet MS"/>
          <w:sz w:val="16"/>
          <w:szCs w:val="16"/>
        </w:rPr>
        <w:t>ε</w:t>
      </w:r>
      <w:r w:rsidRPr="006E4840">
        <w:rPr>
          <w:rFonts w:ascii="Trebuchet MS" w:hAnsi="Trebuchet MS"/>
          <w:sz w:val="16"/>
          <w:szCs w:val="16"/>
        </w:rPr>
        <w:t xml:space="preserve">υρώ.  </w:t>
      </w:r>
    </w:p>
  </w:footnote>
  <w:footnote w:id="9">
    <w:p w14:paraId="78D7F80E" w14:textId="77777777" w:rsidR="00F36164" w:rsidRPr="00562BC6" w:rsidRDefault="00F36164" w:rsidP="00EB58A6">
      <w:pPr>
        <w:pStyle w:val="af0"/>
        <w:jc w:val="both"/>
        <w:rPr>
          <w:rFonts w:ascii="Trebuchet MS" w:hAnsi="Trebuchet MS"/>
          <w:sz w:val="18"/>
          <w:szCs w:val="18"/>
        </w:rPr>
      </w:pPr>
      <w:r w:rsidRPr="00562BC6">
        <w:rPr>
          <w:rStyle w:val="af1"/>
          <w:rFonts w:ascii="Trebuchet MS" w:hAnsi="Trebuchet MS"/>
          <w:sz w:val="18"/>
          <w:szCs w:val="18"/>
        </w:rPr>
        <w:footnoteRef/>
      </w:r>
      <w:r w:rsidRPr="00562BC6">
        <w:rPr>
          <w:rFonts w:ascii="Trebuchet MS" w:hAnsi="Trebuchet MS"/>
          <w:sz w:val="18"/>
          <w:szCs w:val="18"/>
        </w:rPr>
        <w:t xml:space="preserve"> Βλέπε προηγούμενη σχετική ανάλυση στη Φθινοπωρινή Έκθεση 2018 του ΕΔΣ.</w:t>
      </w:r>
    </w:p>
  </w:footnote>
  <w:footnote w:id="10">
    <w:p w14:paraId="10543B68" w14:textId="77777777" w:rsidR="00F36164" w:rsidRPr="00260E10" w:rsidRDefault="00F36164" w:rsidP="00EB58A6">
      <w:pPr>
        <w:pStyle w:val="af0"/>
      </w:pPr>
      <w:r>
        <w:rPr>
          <w:rStyle w:val="af1"/>
        </w:rPr>
        <w:footnoteRef/>
      </w:r>
      <w:r>
        <w:t xml:space="preserve"> Κ</w:t>
      </w:r>
      <w:r w:rsidRPr="00260E10">
        <w:t>ατ’ εφαρμογή του ν.4387/2016 (άρθρο 5)</w:t>
      </w:r>
    </w:p>
  </w:footnote>
  <w:footnote w:id="11">
    <w:p w14:paraId="0A77C440" w14:textId="77777777" w:rsidR="00F36164" w:rsidRDefault="00F36164" w:rsidP="00EB58A6">
      <w:pPr>
        <w:pStyle w:val="af0"/>
      </w:pPr>
      <w:r>
        <w:rPr>
          <w:rStyle w:val="af1"/>
        </w:rPr>
        <w:footnoteRef/>
      </w:r>
      <w:r>
        <w:t xml:space="preserve"> Ν</w:t>
      </w:r>
      <w:r w:rsidRPr="00260E10">
        <w:t>.4354/2015 (άρθρο 26)</w:t>
      </w:r>
    </w:p>
  </w:footnote>
  <w:footnote w:id="12">
    <w:p w14:paraId="2FB078F5" w14:textId="77777777" w:rsidR="00F36164" w:rsidRDefault="00F36164" w:rsidP="00EB58A6">
      <w:pPr>
        <w:pStyle w:val="af0"/>
        <w:jc w:val="both"/>
      </w:pPr>
      <w:r>
        <w:rPr>
          <w:rStyle w:val="af1"/>
        </w:rPr>
        <w:footnoteRef/>
      </w:r>
      <w:r>
        <w:t xml:space="preserve"> Ν</w:t>
      </w:r>
      <w:r w:rsidRPr="00260E10">
        <w:t>.4829/2021 (άρθρο 25)</w:t>
      </w:r>
    </w:p>
  </w:footnote>
  <w:footnote w:id="13">
    <w:p w14:paraId="201D2134" w14:textId="77777777" w:rsidR="00F36164" w:rsidRPr="00F31D1E" w:rsidRDefault="00F36164" w:rsidP="00EB58A6">
      <w:pPr>
        <w:pStyle w:val="af0"/>
        <w:jc w:val="both"/>
        <w:rPr>
          <w:rFonts w:ascii="Trebuchet MS" w:hAnsi="Trebuchet MS"/>
          <w:sz w:val="18"/>
          <w:szCs w:val="18"/>
        </w:rPr>
      </w:pPr>
      <w:r w:rsidRPr="00F31D1E">
        <w:rPr>
          <w:rStyle w:val="af1"/>
          <w:rFonts w:ascii="Trebuchet MS" w:hAnsi="Trebuchet MS"/>
          <w:sz w:val="18"/>
          <w:szCs w:val="18"/>
        </w:rPr>
        <w:footnoteRef/>
      </w:r>
      <w:r w:rsidRPr="00F31D1E">
        <w:rPr>
          <w:rFonts w:ascii="Trebuchet MS" w:hAnsi="Trebuchet MS"/>
          <w:sz w:val="18"/>
          <w:szCs w:val="18"/>
        </w:rPr>
        <w:t xml:space="preserve"> Σχετική δέσμευση είχε αναληφθεί στο πλαίσιο της </w:t>
      </w:r>
      <w:r>
        <w:rPr>
          <w:rFonts w:ascii="Trebuchet MS" w:hAnsi="Trebuchet MS"/>
          <w:sz w:val="18"/>
          <w:szCs w:val="18"/>
        </w:rPr>
        <w:t>ενισχυμένης εποπτείας κατά την 6</w:t>
      </w:r>
      <w:r w:rsidRPr="00391FCD">
        <w:rPr>
          <w:rFonts w:ascii="Trebuchet MS" w:hAnsi="Trebuchet MS"/>
          <w:sz w:val="18"/>
          <w:szCs w:val="18"/>
          <w:vertAlign w:val="superscript"/>
        </w:rPr>
        <w:t>η</w:t>
      </w:r>
      <w:r>
        <w:rPr>
          <w:rFonts w:ascii="Trebuchet MS" w:hAnsi="Trebuchet MS"/>
          <w:sz w:val="18"/>
          <w:szCs w:val="18"/>
        </w:rPr>
        <w:t xml:space="preserve"> αξιολόγηση </w:t>
      </w:r>
      <w:r w:rsidRPr="00F31D1E">
        <w:rPr>
          <w:rFonts w:ascii="Trebuchet MS" w:hAnsi="Trebuchet MS"/>
          <w:sz w:val="18"/>
          <w:szCs w:val="18"/>
        </w:rPr>
        <w:t>(</w:t>
      </w:r>
      <w:r>
        <w:rPr>
          <w:rFonts w:ascii="Trebuchet MS" w:hAnsi="Trebuchet MS"/>
          <w:sz w:val="18"/>
          <w:szCs w:val="18"/>
        </w:rPr>
        <w:t xml:space="preserve">έκθεση Μαΐου 2020, </w:t>
      </w:r>
      <w:r w:rsidRPr="00F31D1E">
        <w:rPr>
          <w:rFonts w:ascii="Trebuchet MS" w:hAnsi="Trebuchet MS"/>
          <w:sz w:val="18"/>
          <w:szCs w:val="18"/>
        </w:rPr>
        <w:t>σελ</w:t>
      </w:r>
      <w:r>
        <w:rPr>
          <w:rFonts w:ascii="Trebuchet MS" w:hAnsi="Trebuchet MS"/>
          <w:sz w:val="18"/>
          <w:szCs w:val="18"/>
        </w:rPr>
        <w:t>.10</w:t>
      </w:r>
      <w:r w:rsidRPr="00F31D1E">
        <w:rPr>
          <w:rFonts w:ascii="Trebuchet MS" w:hAnsi="Trebuchet MS"/>
          <w:sz w:val="18"/>
          <w:szCs w:val="18"/>
        </w:rPr>
        <w:t>4).</w:t>
      </w:r>
    </w:p>
  </w:footnote>
  <w:footnote w:id="14">
    <w:p w14:paraId="188F8556" w14:textId="362BBEF4" w:rsidR="00F36164" w:rsidRPr="00C676A2" w:rsidRDefault="00F36164" w:rsidP="00EB58A6">
      <w:pPr>
        <w:pStyle w:val="af0"/>
        <w:jc w:val="both"/>
        <w:rPr>
          <w:rFonts w:ascii="Trebuchet MS" w:hAnsi="Trebuchet MS"/>
          <w:sz w:val="18"/>
          <w:szCs w:val="18"/>
          <w:lang w:val="en-US"/>
        </w:rPr>
      </w:pPr>
      <w:r w:rsidRPr="00C676A2">
        <w:rPr>
          <w:rStyle w:val="af1"/>
          <w:rFonts w:ascii="Trebuchet MS" w:hAnsi="Trebuchet MS"/>
          <w:sz w:val="18"/>
          <w:szCs w:val="18"/>
        </w:rPr>
        <w:footnoteRef/>
      </w:r>
      <w:r w:rsidRPr="00C676A2">
        <w:rPr>
          <w:rFonts w:ascii="Trebuchet MS" w:hAnsi="Trebuchet MS"/>
          <w:sz w:val="18"/>
          <w:szCs w:val="18"/>
          <w:lang w:val="en-US"/>
        </w:rPr>
        <w:t xml:space="preserve"> OECD, Government at a Glance 2021 (</w:t>
      </w:r>
      <w:r w:rsidRPr="00C676A2">
        <w:rPr>
          <w:rFonts w:ascii="Trebuchet MS" w:hAnsi="Trebuchet MS"/>
          <w:sz w:val="18"/>
          <w:szCs w:val="18"/>
        </w:rPr>
        <w:t>διαγράμματα</w:t>
      </w:r>
      <w:r w:rsidRPr="00C676A2">
        <w:rPr>
          <w:rFonts w:ascii="Trebuchet MS" w:hAnsi="Trebuchet MS"/>
          <w:sz w:val="18"/>
          <w:szCs w:val="18"/>
          <w:lang w:val="en-US"/>
        </w:rPr>
        <w:t xml:space="preserve"> 3.1, 3.5 </w:t>
      </w:r>
      <w:r w:rsidRPr="00C676A2">
        <w:rPr>
          <w:rFonts w:ascii="Trebuchet MS" w:hAnsi="Trebuchet MS"/>
          <w:sz w:val="18"/>
          <w:szCs w:val="18"/>
        </w:rPr>
        <w:t>και</w:t>
      </w:r>
      <w:r w:rsidRPr="00C676A2">
        <w:rPr>
          <w:rFonts w:ascii="Trebuchet MS" w:hAnsi="Trebuchet MS"/>
          <w:sz w:val="18"/>
          <w:szCs w:val="18"/>
          <w:lang w:val="en-US"/>
        </w:rPr>
        <w:t xml:space="preserve"> 3.6).</w:t>
      </w:r>
    </w:p>
  </w:footnote>
  <w:footnote w:id="15">
    <w:p w14:paraId="20AB8233" w14:textId="77777777" w:rsidR="00F36164" w:rsidRPr="00C676A2" w:rsidRDefault="00F36164" w:rsidP="00C676A2">
      <w:pPr>
        <w:pStyle w:val="af0"/>
        <w:jc w:val="both"/>
        <w:rPr>
          <w:rFonts w:ascii="Trebuchet MS" w:hAnsi="Trebuchet MS"/>
          <w:sz w:val="18"/>
          <w:szCs w:val="18"/>
        </w:rPr>
      </w:pPr>
      <w:r w:rsidRPr="00C676A2">
        <w:rPr>
          <w:rStyle w:val="af1"/>
          <w:rFonts w:ascii="Trebuchet MS" w:hAnsi="Trebuchet MS"/>
          <w:sz w:val="18"/>
          <w:szCs w:val="18"/>
        </w:rPr>
        <w:footnoteRef/>
      </w:r>
      <w:r w:rsidRPr="00C676A2">
        <w:rPr>
          <w:rFonts w:ascii="Trebuchet MS" w:hAnsi="Trebuchet MS"/>
          <w:sz w:val="18"/>
          <w:szCs w:val="18"/>
        </w:rPr>
        <w:t xml:space="preserve"> Το ποσοστό αυτό είναι το χαμηλότερο μεταξύ των χωρών-μελών του ΟΟΣΑ, όπου ο μέσος όρος ανέρχεται σε 19%. </w:t>
      </w:r>
    </w:p>
  </w:footnote>
  <w:footnote w:id="16">
    <w:p w14:paraId="6EAE9AFE" w14:textId="77777777" w:rsidR="00F36164" w:rsidRPr="0079229D" w:rsidRDefault="00F36164" w:rsidP="00C676A2">
      <w:pPr>
        <w:pStyle w:val="af0"/>
        <w:jc w:val="both"/>
        <w:rPr>
          <w:rFonts w:ascii="Trebuchet MS" w:hAnsi="Trebuchet MS"/>
          <w:sz w:val="18"/>
          <w:szCs w:val="18"/>
        </w:rPr>
      </w:pPr>
      <w:r w:rsidRPr="00C676A2">
        <w:rPr>
          <w:rStyle w:val="af1"/>
          <w:rFonts w:ascii="Trebuchet MS" w:hAnsi="Trebuchet MS"/>
          <w:sz w:val="18"/>
          <w:szCs w:val="18"/>
        </w:rPr>
        <w:footnoteRef/>
      </w:r>
      <w:r w:rsidRPr="00C676A2">
        <w:rPr>
          <w:rFonts w:ascii="Trebuchet MS" w:hAnsi="Trebuchet MS"/>
          <w:sz w:val="18"/>
          <w:szCs w:val="18"/>
        </w:rPr>
        <w:t xml:space="preserve"> Το ποσοστό αυτό είναι το τρίτο μεγαλύτερο μεταξύ των χωρών-μελών του ΟΟΣΑ μετά την Ιταλία και την Ισπανία, ενώ ο μέσος όρος ανέρχεται σε 26%.</w:t>
      </w:r>
    </w:p>
  </w:footnote>
  <w:footnote w:id="17">
    <w:p w14:paraId="528C07D4" w14:textId="77777777" w:rsidR="00F36164" w:rsidRPr="009E748F" w:rsidRDefault="00F36164" w:rsidP="009E748F">
      <w:pPr>
        <w:pStyle w:val="af0"/>
        <w:jc w:val="both"/>
      </w:pPr>
      <w:r>
        <w:rPr>
          <w:rStyle w:val="af1"/>
        </w:rPr>
        <w:footnoteRef/>
      </w:r>
      <w:r>
        <w:t xml:space="preserve"> Εκ των οποίων τα 644 εκατ. ευρώ αφορούν επιστροφές </w:t>
      </w:r>
      <w:r>
        <w:rPr>
          <w:lang w:val="en-US"/>
        </w:rPr>
        <w:t>ANFAs</w:t>
      </w:r>
      <w:r w:rsidRPr="009E748F">
        <w:t xml:space="preserve"> </w:t>
      </w:r>
      <w:r>
        <w:t>οι οποίες δεν είχαν προβλεφθεί τον Μάιο. Τα υπόλοιπο ποσό αφορά κυρίως φορολογικά έσοδα (βλ. σχετική παράγραφο)</w:t>
      </w:r>
    </w:p>
  </w:footnote>
  <w:footnote w:id="18">
    <w:p w14:paraId="27534CF6" w14:textId="295345E8" w:rsidR="00F36164" w:rsidRDefault="00F36164" w:rsidP="00FC1985">
      <w:pPr>
        <w:pStyle w:val="af0"/>
        <w:jc w:val="both"/>
      </w:pPr>
      <w:r>
        <w:rPr>
          <w:rStyle w:val="af1"/>
        </w:rPr>
        <w:footnoteRef/>
      </w:r>
      <w:r>
        <w:t xml:space="preserve"> Μεγάλο μέρος των δαπανών ΠΔΕ συμπεριλαμβάνει δαπάνες για την αντιμετώπιση της πανδημίας, μη επενδυτικής φύσης. Συνεπώς θ</w:t>
      </w:r>
      <w:r w:rsidRPr="00FC1985">
        <w:t>α πρέπει να σημειωθεί, ότι η ένταξη ενός τόσο μεγάλου ποσού στο ΠΔΕ το οποίο δεν σχετίζεται με δημόσιες επενδύσεις είναι δημιουργεί δημοσιονομική ασάφεια, ενώ παράλληλα θα δυσχεραίνει την οποιαδήποτε μελέτη της ιστορικής εξέλιξης του ύψους του ΠΔΕ.</w:t>
      </w:r>
    </w:p>
  </w:footnote>
  <w:footnote w:id="19">
    <w:p w14:paraId="3E15C954" w14:textId="77777777" w:rsidR="00F36164" w:rsidRDefault="00F36164" w:rsidP="00B73748">
      <w:pPr>
        <w:pStyle w:val="af0"/>
        <w:jc w:val="both"/>
        <w:rPr>
          <w:rFonts w:ascii="Trebuchet MS" w:hAnsi="Trebuchet MS"/>
          <w:sz w:val="16"/>
          <w:szCs w:val="16"/>
        </w:rPr>
      </w:pPr>
      <w:r>
        <w:rPr>
          <w:rStyle w:val="af1"/>
        </w:rPr>
        <w:footnoteRef/>
      </w:r>
      <w:r>
        <w:t xml:space="preserve"> </w:t>
      </w:r>
      <w:r>
        <w:rPr>
          <w:rFonts w:ascii="Trebuchet MS" w:hAnsi="Trebuchet MS"/>
          <w:sz w:val="16"/>
          <w:szCs w:val="16"/>
        </w:rPr>
        <w:t>Από αυτά τα μισά αφορούσαν δανειακές υποχρεώσεις του ΟΣΕ, χωρίς ωστόσο αυτό να συνεπάγεται επιβάρυνση του ΚΠ καθόσον η πληρωμή του ανωτέρω ποσού, λόγω κατάπτωσης της εγγύησης, δεν αποτελεί δαπάνη του ΚΠ αφού αφορά καταπτώσεις εγγυήσεων φορέων των οποίων τις δανειακές υποχρεώσεις έχει αναλάβει προηγουμένως το ελληνικό δημόσιο. Συνέπεια της πρακτικής αυτής είναι η αύξηση του δημοσίου χρέους, την ημερομηνία ανάληψης του χρέους, ενώ την χρονική στιγμή κατάπτωσης της εγγύησης δεν προκύπτει αντίστοιχη επιβάρυνση των δαπανών του τακτικού προϋπολογισμού, με το αποτέλεσμα να είναι πλέον ουδέτερο σε επίπεδο ΓΚ</w:t>
      </w:r>
    </w:p>
  </w:footnote>
  <w:footnote w:id="20">
    <w:p w14:paraId="64D980D1" w14:textId="77777777" w:rsidR="00F36164" w:rsidRDefault="00F36164" w:rsidP="00B73748">
      <w:pPr>
        <w:pStyle w:val="af0"/>
        <w:rPr>
          <w:rFonts w:ascii="Trebuchet MS" w:hAnsi="Trebuchet MS"/>
          <w:sz w:val="16"/>
          <w:szCs w:val="16"/>
        </w:rPr>
      </w:pPr>
      <w:r>
        <w:rPr>
          <w:rStyle w:val="af1"/>
        </w:rPr>
        <w:footnoteRef/>
      </w:r>
      <w:r>
        <w:t xml:space="preserve"> </w:t>
      </w:r>
      <w:r>
        <w:rPr>
          <w:rFonts w:ascii="Trebuchet MS" w:hAnsi="Trebuchet MS"/>
          <w:sz w:val="16"/>
          <w:szCs w:val="16"/>
        </w:rPr>
        <w:t xml:space="preserve">Αφορούσε αποκλειστικά την παροχή εγγύησης για δανειοδότηση του Δήμου Αθηναίων. </w:t>
      </w:r>
    </w:p>
  </w:footnote>
  <w:footnote w:id="21">
    <w:p w14:paraId="072FC1F3" w14:textId="44A8D805" w:rsidR="00F36164" w:rsidRDefault="00F36164" w:rsidP="00B73748">
      <w:pPr>
        <w:pStyle w:val="af0"/>
      </w:pPr>
      <w:r>
        <w:rPr>
          <w:rStyle w:val="af1"/>
        </w:rPr>
        <w:footnoteRef/>
      </w:r>
      <w:r>
        <w:t xml:space="preserve"> </w:t>
      </w:r>
      <w:r>
        <w:rPr>
          <w:rFonts w:ascii="Trebuchet MS" w:hAnsi="Trebuchet MS"/>
          <w:sz w:val="16"/>
          <w:szCs w:val="16"/>
        </w:rPr>
        <w:t>Με το ν. 4549/2018 (άρθρα 91-108)</w:t>
      </w:r>
    </w:p>
  </w:footnote>
  <w:footnote w:id="22">
    <w:p w14:paraId="4E302998" w14:textId="77777777" w:rsidR="00F36164" w:rsidRDefault="00F36164" w:rsidP="00B73748">
      <w:pPr>
        <w:pStyle w:val="af0"/>
      </w:pPr>
      <w:r>
        <w:rPr>
          <w:rStyle w:val="af1"/>
        </w:rPr>
        <w:footnoteRef/>
      </w:r>
      <w:r>
        <w:t xml:space="preserve"> </w:t>
      </w:r>
      <w:r>
        <w:rPr>
          <w:rFonts w:ascii="Trebuchet MS" w:hAnsi="Trebuchet MS"/>
          <w:sz w:val="16"/>
          <w:szCs w:val="16"/>
        </w:rPr>
        <w:t>Βλ. Παράρτημα 1 της εαρινής έκθεσης του ΕΔΣ 2017</w:t>
      </w:r>
    </w:p>
  </w:footnote>
  <w:footnote w:id="23">
    <w:p w14:paraId="28B88D67" w14:textId="77777777" w:rsidR="00F36164" w:rsidRDefault="00F36164" w:rsidP="00B73748">
      <w:pPr>
        <w:pStyle w:val="af0"/>
        <w:jc w:val="both"/>
        <w:rPr>
          <w:rFonts w:ascii="Trebuchet MS" w:hAnsi="Trebuchet MS"/>
          <w:sz w:val="16"/>
          <w:szCs w:val="16"/>
        </w:rPr>
      </w:pPr>
      <w:r>
        <w:rPr>
          <w:rStyle w:val="af1"/>
          <w:rFonts w:ascii="Trebuchet MS" w:hAnsi="Trebuchet MS"/>
          <w:sz w:val="16"/>
          <w:szCs w:val="16"/>
        </w:rPr>
        <w:footnoteRef/>
      </w:r>
      <w:r>
        <w:rPr>
          <w:rFonts w:ascii="Trebuchet MS" w:hAnsi="Trebuchet MS"/>
          <w:sz w:val="16"/>
          <w:szCs w:val="16"/>
        </w:rPr>
        <w:t xml:space="preserve"> Στο ποσό αυτό δεν συμπεριλαμβάνονται οι εγγυήσεις του ΕΔ προς τα πιστωτικά ιδρύματα για την παροχή ρευστότητας (Ν. 3723/2008) ύψους 320 εκατ.ευρώ, τα δάνεια επιχειρηματικότητας της ΕΤΕπ σε ελληνικές τράπεζες ύψους 1.604,07 εκατ. ευρώ, οι εγγυήσεις του ΕΔ προς την Τράπεζα της Ελλάδος για κάλυψη πιστώσεων πιστωτικών ιδρυμάτων που εδρεύουν στην Ελλάδα, με σκοπό την αντιμετώπιση προσωρινών βραχυχρόνιων προβλημάτων ρευστότητας (Emergency Liquidity Assistance-ELA) (Ν. 3845/2010), καθώς και οι εγγυήσεις που παρασχέθηκαν από το ΕΔ στο πλαίσιο εφαρμογής του σχεδίου «Ηρακλής» ύψους 2.409,32 εκατ.ευρώ, για την κάλυψη ομολογιών υψηλής διαβάθμισης που προκύπτουν από τιτλοποιήσεις Μη Εξυπηρετούμενων Δανείων των ελληνικών πιστωτικών ιδρυμάτων (Αποφ. 53519/10/10/2019 της Ευρωπαϊκής Επιτροπής).</w:t>
      </w:r>
    </w:p>
  </w:footnote>
  <w:footnote w:id="24">
    <w:p w14:paraId="4B157272" w14:textId="77777777" w:rsidR="00F36164" w:rsidRDefault="00F36164" w:rsidP="00B73748">
      <w:pPr>
        <w:pStyle w:val="af0"/>
        <w:jc w:val="both"/>
      </w:pPr>
      <w:r>
        <w:rPr>
          <w:rStyle w:val="af1"/>
        </w:rPr>
        <w:footnoteRef/>
      </w:r>
      <w:r>
        <w:t xml:space="preserve"> Υ</w:t>
      </w:r>
      <w:r w:rsidRPr="009A4569">
        <w:t>π’ αρ</w:t>
      </w:r>
      <w:r>
        <w:t xml:space="preserve">ιθμ 2/18649/0025 05/06/2020 ΚΥΑ. Επιπλέον </w:t>
      </w:r>
      <w:r>
        <w:rPr>
          <w:rFonts w:ascii="Trebuchet MS" w:hAnsi="Trebuchet MS"/>
          <w:sz w:val="16"/>
          <w:szCs w:val="16"/>
        </w:rPr>
        <w:t>Σε εφαρμογή  του άρθρου 293 του ν. 4738/2020 (Α΄ 207) εκδόθηκε η Ε 2073/06-04-2021 εγκύκλιος με την οποία παρέχονται Διευκρινίσεις  και οδηγίες επί των διατάξεων του εν λόγω νόμου, για την ενιαία εφαρμογή της ρύθμισης οφειλών που προέρχονται από επιχειρηματικά δάνεια και δάνεια φυσικών προσώπων, καθώς και από καταπτώσεις  της  Ελληνικής Αναπτυξιακής Τράπεζας».</w:t>
      </w:r>
    </w:p>
  </w:footnote>
  <w:footnote w:id="25">
    <w:p w14:paraId="10D46AF0" w14:textId="77777777" w:rsidR="00F36164" w:rsidRDefault="00F36164" w:rsidP="00B73748">
      <w:pPr>
        <w:pStyle w:val="af0"/>
      </w:pPr>
      <w:r>
        <w:rPr>
          <w:rStyle w:val="af1"/>
        </w:rPr>
        <w:footnoteRef/>
      </w:r>
      <w:r>
        <w:t xml:space="preserve"> Με </w:t>
      </w:r>
      <w:r w:rsidRPr="009A4569">
        <w:t>την 10.10.2019 C (2019) 7309 Απόφαση της Ευρωπαϊκής Επιτροπής και την ψήφιση του Νόμου 4649/2019</w:t>
      </w:r>
    </w:p>
  </w:footnote>
  <w:footnote w:id="26">
    <w:p w14:paraId="401745C4" w14:textId="77777777" w:rsidR="00F36164" w:rsidRDefault="00F36164" w:rsidP="00B73748">
      <w:pPr>
        <w:pStyle w:val="af0"/>
        <w:rPr>
          <w:rFonts w:ascii="Trebuchet MS" w:hAnsi="Trebuchet MS"/>
          <w:sz w:val="16"/>
          <w:szCs w:val="16"/>
        </w:rPr>
      </w:pPr>
      <w:r>
        <w:rPr>
          <w:rStyle w:val="af1"/>
        </w:rPr>
        <w:footnoteRef/>
      </w:r>
      <w:r>
        <w:t xml:space="preserve"> </w:t>
      </w:r>
      <w:r>
        <w:rPr>
          <w:rFonts w:ascii="Trebuchet MS" w:hAnsi="Trebuchet MS"/>
          <w:sz w:val="16"/>
          <w:szCs w:val="16"/>
        </w:rPr>
        <w:t>Το Πανευρωπαϊκού Ταμείου Εγγυήσεων («Pan-European Guarantee Fund»), συστήθηκε στο πλαίσιο του ΕΤΕπ, για την αντιμετώπιση των επιπτώσεων της πανδημίας στα κράτη μέλη της ΕΕ.</w:t>
      </w:r>
    </w:p>
  </w:footnote>
  <w:footnote w:id="27">
    <w:p w14:paraId="57DC3C1B" w14:textId="77777777" w:rsidR="00F36164" w:rsidRDefault="00F36164" w:rsidP="00B73748">
      <w:pPr>
        <w:pStyle w:val="af0"/>
        <w:jc w:val="both"/>
        <w:rPr>
          <w:rFonts w:ascii="Trebuchet MS" w:hAnsi="Trebuchet MS"/>
          <w:sz w:val="16"/>
          <w:szCs w:val="16"/>
        </w:rPr>
      </w:pPr>
      <w:r>
        <w:rPr>
          <w:rStyle w:val="af1"/>
        </w:rPr>
        <w:footnoteRef/>
      </w:r>
      <w:r>
        <w:t xml:space="preserve"> </w:t>
      </w:r>
      <w:r>
        <w:rPr>
          <w:rFonts w:ascii="Trebuchet MS" w:hAnsi="Trebuchet MS"/>
          <w:sz w:val="16"/>
          <w:szCs w:val="16"/>
        </w:rPr>
        <w:t>Το ΕΔ, Στο πλαίσιο του κανονισμού 2020/672 του Ευρωπαϊκού Συμβουλίου, σχετικά με την θέσπιση ευρωπαϊκού μέσου προσωρινής στήριξης για τον μετριασμό των κινδύνων ανεργίας σε κατάσταση έκτακτης ανάγκης (SURE) και σύμφωνα με την Αποφ.2/22377/0025/2020/03.06.2020, παρείχε στην ΕΕ εγγυήσεις για την αντιμετώπιση της κοινωνικοοικονομικής κατάστασης λόγω της επιδημικής έκρηξης της νόσου COVID-19. Η Ευρωπαϊκή Επιτροπή (εξ ονόματος της Ευρωπαϊκής Ένωσης), έχοντας συγκεντρώσει το σύνολο των εγγυήσεων και από τα υπόλοιπα κ-μ, προτίθεται να δανειστεί από τις κεφαλαιαγορές ή από χρηματοοικονομικούς οργανισμούς για το σκοπό αυτό 100 δις € για την στήριξη των κρατών. Προκειμένου να έχει επαρκείς πόρους στην περίπτωση κατά την οποία κάποιο κράτος μέλος δεν ανταποκριθεί στην υποχρέωση αποπληρωμής του δανείου του, η ΕΕ σύναψε σε προγενέστερο στάδιο με όλα τα κράτη μέλη και το καθένα ξεχωριστά συμφωνία εγγύησης συνολικού ύψους 25 δις.</w:t>
      </w:r>
    </w:p>
  </w:footnote>
  <w:footnote w:id="28">
    <w:p w14:paraId="590A8FB5" w14:textId="77777777" w:rsidR="00F36164" w:rsidRDefault="00F36164" w:rsidP="00B73748">
      <w:pPr>
        <w:pStyle w:val="af0"/>
        <w:jc w:val="both"/>
      </w:pPr>
      <w:r>
        <w:rPr>
          <w:rStyle w:val="af1"/>
        </w:rPr>
        <w:footnoteRef/>
      </w:r>
      <w:r>
        <w:t xml:space="preserve"> </w:t>
      </w:r>
      <w:r>
        <w:rPr>
          <w:rFonts w:ascii="Trebuchet MS" w:hAnsi="Trebuchet MS"/>
          <w:sz w:val="16"/>
          <w:szCs w:val="16"/>
        </w:rPr>
        <w:t>Με την ΥΑ 2500/6/2020 (ΦΕΚ 1768/08.05.2020), συστήθηκε Ταμείο Εγγυοδοσίας με την επωνυμία «ΤΑΜΕΙΟ ΕΓΓΥΟΔΟΣΙΑΣ ΕΠΙΧΕΙΡΗΣΕΩΝ COVID-19», ως χωριστή χρηματοδοτική μονάδα εντός της Ελληνικής Αναπτυξιακής Τράπεζας ΑΕ (ΕΑΤ),σύμφωνα με τις διατάξεις του Κανονισμού (ΕΕ) αριθ. 1303/2013 όπως ισχύει, καθώς και του Προσωρινού Πλαισίου για τη λήψη μέτρων Κρατικής Ενίσχυσης με σκοπό να στηριχθεί η ελληνική οικονομία κατά τη διάρκεια της τρέχουσας έξαρσης της νόσου COVID-19 (2020/C 91 I/01).</w:t>
      </w:r>
    </w:p>
  </w:footnote>
  <w:footnote w:id="29">
    <w:p w14:paraId="23C60F9A" w14:textId="77777777" w:rsidR="00F36164" w:rsidRDefault="00F36164" w:rsidP="005C360F">
      <w:pPr>
        <w:pStyle w:val="af0"/>
        <w:jc w:val="both"/>
      </w:pPr>
      <w:r>
        <w:rPr>
          <w:rStyle w:val="af1"/>
        </w:rPr>
        <w:footnoteRef/>
      </w:r>
      <w:r w:rsidRPr="00F223F3">
        <w:rPr>
          <w:rFonts w:ascii="Trebuchet MS" w:hAnsi="Trebuchet MS"/>
          <w:i/>
          <w:sz w:val="16"/>
          <w:szCs w:val="16"/>
        </w:rPr>
        <w:t>Η εφαρμογή των βραχυπρόθεσμων και μεσοπρόθεσμων μέτρων ελάφρυνσης του ελληνικού χρέους, αναπροσάρμοσε τη δομή του δημοσίου χρέους, προεκτείνοντας το χρονικό ορίζοντα λήξης του έως το 2070, προκειμένου οι Ακαθάριστες Χρηματοδοτικές Ανάγκες (GFN), να είναι σε επίπεδα πολύ κάτω του 15% μεσοπρόθεσμα, ενώ δεν αναμένονταν να ξεπεράσουν το 20% μακροπρόθεσμα.</w:t>
      </w:r>
    </w:p>
  </w:footnote>
  <w:footnote w:id="30">
    <w:p w14:paraId="00514F2E" w14:textId="03496941" w:rsidR="00F36164" w:rsidRDefault="00F36164" w:rsidP="005C360F">
      <w:pPr>
        <w:pStyle w:val="af0"/>
      </w:pPr>
      <w:r>
        <w:rPr>
          <w:rStyle w:val="af1"/>
        </w:rPr>
        <w:footnoteRef/>
      </w:r>
      <w:r>
        <w:t xml:space="preserve"> </w:t>
      </w:r>
      <w:r w:rsidRPr="000735CE">
        <w:rPr>
          <w:rFonts w:ascii="Trebuchet MS" w:hAnsi="Trebuchet MS"/>
          <w:i/>
          <w:sz w:val="16"/>
          <w:szCs w:val="16"/>
        </w:rPr>
        <w:t>Βλέπε Εαρινή Έκθεση ΕΔΣ</w:t>
      </w:r>
      <w:r>
        <w:rPr>
          <w:rFonts w:ascii="Trebuchet MS" w:hAnsi="Trebuchet MS"/>
          <w:i/>
          <w:sz w:val="16"/>
          <w:szCs w:val="16"/>
        </w:rPr>
        <w:t xml:space="preserve"> 2021,</w:t>
      </w:r>
      <w:r w:rsidRPr="000735CE">
        <w:rPr>
          <w:rFonts w:ascii="Trebuchet MS" w:hAnsi="Trebuchet MS"/>
          <w:i/>
          <w:sz w:val="16"/>
          <w:szCs w:val="16"/>
        </w:rPr>
        <w:t xml:space="preserve"> σελ 68 «Η διαχειρισιμότητα του ελληνικού δημοσίου χρέους».</w:t>
      </w:r>
    </w:p>
  </w:footnote>
  <w:footnote w:id="31">
    <w:p w14:paraId="0375065D" w14:textId="77172E46" w:rsidR="00F36164" w:rsidRDefault="00F36164" w:rsidP="00D25A31">
      <w:pPr>
        <w:pStyle w:val="af0"/>
      </w:pPr>
      <w:r>
        <w:rPr>
          <w:rStyle w:val="af1"/>
        </w:rPr>
        <w:footnoteRef/>
      </w:r>
      <w:r>
        <w:t xml:space="preserve"> Για μεγαλύτερη ανάλυση σε σχέση με το μισθολογικό κόστος βλέπε σχετικό ένθετο της παρούσας Έκθεσης.</w:t>
      </w:r>
    </w:p>
  </w:footnote>
  <w:footnote w:id="32">
    <w:p w14:paraId="09F01169" w14:textId="7D44E205" w:rsidR="00F36164" w:rsidRPr="00B02CE4" w:rsidRDefault="00F36164" w:rsidP="00527989">
      <w:pPr>
        <w:pStyle w:val="af0"/>
        <w:ind w:right="90"/>
        <w:jc w:val="both"/>
        <w:rPr>
          <w:rFonts w:ascii="Trebuchet MS" w:hAnsi="Trebuchet MS"/>
          <w:i/>
          <w:sz w:val="16"/>
          <w:szCs w:val="16"/>
        </w:rPr>
      </w:pPr>
      <w:r w:rsidRPr="00B02CE4">
        <w:rPr>
          <w:rStyle w:val="af1"/>
          <w:rFonts w:ascii="Trebuchet MS" w:hAnsi="Trebuchet MS"/>
          <w:sz w:val="16"/>
          <w:szCs w:val="16"/>
        </w:rPr>
        <w:footnoteRef/>
      </w:r>
      <w:r w:rsidRPr="00B02CE4">
        <w:rPr>
          <w:rFonts w:ascii="Trebuchet MS" w:hAnsi="Trebuchet MS"/>
          <w:i/>
          <w:sz w:val="16"/>
          <w:szCs w:val="16"/>
        </w:rPr>
        <w:t>Η πρώτη τροποποίηση του ΣΣΑ πραγματοποιήθηκε το 2005 με τους κανονισμούς 1055/2005</w:t>
      </w:r>
      <w:r w:rsidRPr="00B02CE4">
        <w:rPr>
          <w:rFonts w:ascii="Trebuchet MS" w:hAnsi="Trebuchet MS"/>
          <w:sz w:val="16"/>
          <w:szCs w:val="16"/>
        </w:rPr>
        <w:t>που τροποποίησε τον κανονισμό του προληπτικού σκέλους 1466/97  σε θέματα πολυμερούς εποπτείας</w:t>
      </w:r>
      <w:r w:rsidRPr="00B02CE4">
        <w:rPr>
          <w:rFonts w:ascii="Trebuchet MS" w:hAnsi="Trebuchet MS"/>
          <w:i/>
          <w:sz w:val="16"/>
          <w:szCs w:val="16"/>
        </w:rPr>
        <w:t xml:space="preserve"> και ο 1056/2005 που τροποποίησε τον κανονισμό 1467/97 του διορθωτικού σκέλους  </w:t>
      </w:r>
      <w:r w:rsidRPr="00B02CE4">
        <w:rPr>
          <w:rFonts w:ascii="Trebuchet MS" w:hAnsi="Trebuchet MS"/>
          <w:sz w:val="16"/>
          <w:szCs w:val="16"/>
        </w:rPr>
        <w:t xml:space="preserve">σχετικά με τη </w:t>
      </w:r>
      <w:r>
        <w:rPr>
          <w:rFonts w:ascii="Trebuchet MS" w:hAnsi="Trebuchet MS"/>
          <w:sz w:val="16"/>
          <w:szCs w:val="16"/>
        </w:rPr>
        <w:t>ΔΥΕ</w:t>
      </w:r>
      <w:r w:rsidRPr="00B02CE4">
        <w:rPr>
          <w:rFonts w:ascii="Trebuchet MS" w:hAnsi="Trebuchet MS"/>
          <w:i/>
          <w:sz w:val="16"/>
          <w:szCs w:val="16"/>
        </w:rPr>
        <w:t>.</w:t>
      </w:r>
    </w:p>
    <w:p w14:paraId="59D89AF8" w14:textId="77777777" w:rsidR="00F36164" w:rsidRPr="008D05A2" w:rsidRDefault="00F36164" w:rsidP="00E21381">
      <w:pPr>
        <w:pStyle w:val="af0"/>
        <w:ind w:right="-341"/>
      </w:pPr>
    </w:p>
  </w:footnote>
  <w:footnote w:id="33">
    <w:p w14:paraId="65BE1447" w14:textId="77777777" w:rsidR="00F36164" w:rsidRPr="00196328" w:rsidRDefault="00F36164" w:rsidP="00E21381">
      <w:pPr>
        <w:pStyle w:val="af0"/>
        <w:ind w:left="-426" w:right="-341"/>
        <w:jc w:val="both"/>
        <w:rPr>
          <w:rFonts w:ascii="Trebuchet MS" w:hAnsi="Trebuchet MS"/>
          <w:sz w:val="16"/>
          <w:szCs w:val="16"/>
        </w:rPr>
      </w:pPr>
      <w:r w:rsidRPr="00196328">
        <w:rPr>
          <w:rFonts w:ascii="Trebuchet MS" w:hAnsi="Trebuchet MS"/>
          <w:i/>
          <w:sz w:val="16"/>
          <w:szCs w:val="16"/>
          <w:vertAlign w:val="superscript"/>
        </w:rPr>
        <w:footnoteRef/>
      </w:r>
      <w:r>
        <w:rPr>
          <w:rFonts w:ascii="Trebuchet MS" w:hAnsi="Trebuchet MS"/>
          <w:i/>
          <w:sz w:val="16"/>
          <w:szCs w:val="16"/>
        </w:rPr>
        <w:t xml:space="preserve"> </w:t>
      </w:r>
      <w:r w:rsidRPr="00196328">
        <w:rPr>
          <w:rFonts w:ascii="Trebuchet MS" w:hAnsi="Trebuchet MS"/>
          <w:i/>
          <w:sz w:val="16"/>
          <w:szCs w:val="16"/>
        </w:rPr>
        <w:t>Πλέον των κανονισμών 1175/11 &amp; 1177/11, περιλάμβανε και τους κανονισμούς (ΕΕ) του Ευρωπαϊκού κοινοβουλίου και του Συμβουλίου α) 1173/11 για την αποτελεσματική επιβολή της δημοσιονομικής εποπτείας στη ζώνη του ευρώ, β) 1174/11 σχετικά με κατασταλτικά μέτρα για τη διόρθωση των υπερβολικών μακροοικονομικών ανισορροπιών στην ευρωζώνη, γ) 1176/11 σχετικά με την πρόληψη και τη διόρθωση των υπερβολικών μακροοικονομικών ανισορροπιών καθώς και την οδηγία  85/2011 του Συμβουλίου,  σχετικά με τις απαιτήσεις για τα δημοσιονομικά πλαίσια των κρατών μελών</w:t>
      </w:r>
    </w:p>
  </w:footnote>
  <w:footnote w:id="34">
    <w:p w14:paraId="481CCF1E" w14:textId="77777777" w:rsidR="00F36164" w:rsidRPr="00196328" w:rsidRDefault="00F36164" w:rsidP="00E21381">
      <w:pPr>
        <w:pStyle w:val="af0"/>
        <w:ind w:left="-142" w:right="-341" w:hanging="425"/>
        <w:jc w:val="both"/>
        <w:rPr>
          <w:rFonts w:ascii="Trebuchet MS" w:hAnsi="Trebuchet MS"/>
          <w:sz w:val="16"/>
          <w:szCs w:val="16"/>
        </w:rPr>
      </w:pPr>
      <w:r w:rsidRPr="00196328">
        <w:rPr>
          <w:rFonts w:ascii="Trebuchet MS" w:hAnsi="Trebuchet MS"/>
          <w:sz w:val="16"/>
          <w:szCs w:val="16"/>
          <w:shd w:val="clear" w:color="auto" w:fill="FFFFFF" w:themeFill="background1"/>
        </w:rPr>
        <w:t xml:space="preserve">  </w:t>
      </w:r>
      <w:r w:rsidRPr="00196328">
        <w:rPr>
          <w:rStyle w:val="af1"/>
          <w:rFonts w:ascii="Trebuchet MS" w:hAnsi="Trebuchet MS"/>
          <w:sz w:val="16"/>
          <w:szCs w:val="16"/>
        </w:rPr>
        <w:footnoteRef/>
      </w:r>
      <w:r>
        <w:rPr>
          <w:rFonts w:ascii="Trebuchet MS" w:hAnsi="Trebuchet MS"/>
          <w:sz w:val="16"/>
          <w:szCs w:val="16"/>
          <w:shd w:val="clear" w:color="auto" w:fill="FFFFFF" w:themeFill="background1"/>
        </w:rPr>
        <w:t xml:space="preserve"> </w:t>
      </w:r>
      <w:r w:rsidRPr="00196328">
        <w:rPr>
          <w:rFonts w:ascii="Trebuchet MS" w:hAnsi="Trebuchet MS"/>
          <w:sz w:val="16"/>
          <w:szCs w:val="16"/>
          <w:shd w:val="clear" w:color="auto" w:fill="FFFFFF" w:themeFill="background1"/>
        </w:rPr>
        <w:t>Βλέπε Εαρινή Έκθεση ΕΔΣ 2020 σελ 57</w:t>
      </w:r>
      <w:r w:rsidRPr="00196328">
        <w:rPr>
          <w:rFonts w:ascii="Trebuchet MS" w:hAnsi="Trebuchet MS"/>
          <w:sz w:val="16"/>
          <w:szCs w:val="16"/>
        </w:rPr>
        <w:t xml:space="preserve"> </w:t>
      </w:r>
      <w:hyperlink r:id="rId3" w:history="1">
        <w:r w:rsidRPr="00196328">
          <w:rPr>
            <w:rStyle w:val="-"/>
            <w:sz w:val="16"/>
            <w:szCs w:val="16"/>
            <w:shd w:val="clear" w:color="auto" w:fill="FFFFFF" w:themeFill="background1"/>
          </w:rPr>
          <w:t>https://www.hfisc.gr/sites/default/files/earini_2020_final_0.pdf</w:t>
        </w:r>
      </w:hyperlink>
      <w:r w:rsidRPr="00196328">
        <w:rPr>
          <w:rFonts w:ascii="Trebuchet MS" w:hAnsi="Trebuchet MS"/>
          <w:sz w:val="16"/>
          <w:szCs w:val="16"/>
          <w:shd w:val="clear" w:color="auto" w:fill="FFFFFF" w:themeFill="background1"/>
        </w:rPr>
        <w:t xml:space="preserve">   </w:t>
      </w:r>
    </w:p>
  </w:footnote>
  <w:footnote w:id="35">
    <w:p w14:paraId="06CBDAF6" w14:textId="33C2A784" w:rsidR="00F36164" w:rsidRPr="00815A4B" w:rsidRDefault="00F36164" w:rsidP="00815A4B">
      <w:pPr>
        <w:pStyle w:val="af0"/>
        <w:jc w:val="both"/>
      </w:pPr>
      <w:r>
        <w:rPr>
          <w:rStyle w:val="af1"/>
        </w:rPr>
        <w:footnoteRef/>
      </w:r>
      <w:r w:rsidRPr="00815A4B">
        <w:t xml:space="preserve"> Σε ορισμένα κράτη-μέλη οι δεσμεύσεις αυτές απέκτησαν συνταγματική ισχύ</w:t>
      </w:r>
    </w:p>
  </w:footnote>
  <w:footnote w:id="36">
    <w:p w14:paraId="14429E3F" w14:textId="77777777" w:rsidR="00F36164" w:rsidRPr="00E21381" w:rsidRDefault="00F36164" w:rsidP="00815A4B">
      <w:pPr>
        <w:pStyle w:val="af0"/>
        <w:ind w:right="-341" w:hanging="142"/>
        <w:jc w:val="both"/>
        <w:rPr>
          <w:rFonts w:ascii="Trebuchet MS" w:hAnsi="Trebuchet MS"/>
          <w:i/>
          <w:sz w:val="16"/>
          <w:szCs w:val="16"/>
          <w:lang w:val="en-US"/>
        </w:rPr>
      </w:pPr>
      <w:r w:rsidRPr="007602CC">
        <w:rPr>
          <w:rStyle w:val="af1"/>
          <w:rFonts w:ascii="Trebuchet MS" w:hAnsi="Trebuchet MS"/>
          <w:sz w:val="16"/>
          <w:szCs w:val="16"/>
        </w:rPr>
        <w:footnoteRef/>
      </w:r>
      <w:r w:rsidRPr="00E21381">
        <w:rPr>
          <w:rFonts w:ascii="Trebuchet MS" w:hAnsi="Trebuchet MS"/>
          <w:sz w:val="16"/>
          <w:szCs w:val="16"/>
          <w:lang w:val="en-US"/>
        </w:rPr>
        <w:t xml:space="preserve"> </w:t>
      </w:r>
      <w:r w:rsidRPr="00E21381">
        <w:rPr>
          <w:rFonts w:ascii="Trebuchet MS" w:hAnsi="Trebuchet MS"/>
          <w:i/>
          <w:sz w:val="16"/>
          <w:szCs w:val="16"/>
          <w:lang w:val="en-US"/>
        </w:rPr>
        <w:t>Two-Pack' enters into force, completing budgetary surveillance cycle and further improving economic governance for the euro area https://ec.europa.eu/commission/presscorner/detail/en/memo_13_457.</w:t>
      </w:r>
    </w:p>
  </w:footnote>
  <w:footnote w:id="37">
    <w:p w14:paraId="5ABDA363" w14:textId="77777777" w:rsidR="00F36164" w:rsidRPr="007602CC" w:rsidRDefault="00F36164" w:rsidP="00815A4B">
      <w:pPr>
        <w:pStyle w:val="af0"/>
        <w:ind w:right="-341" w:hanging="142"/>
        <w:jc w:val="both"/>
        <w:rPr>
          <w:rFonts w:ascii="Trebuchet MS" w:hAnsi="Trebuchet MS"/>
          <w:sz w:val="16"/>
          <w:szCs w:val="16"/>
        </w:rPr>
      </w:pPr>
      <w:r w:rsidRPr="007602CC">
        <w:rPr>
          <w:rStyle w:val="af1"/>
          <w:rFonts w:ascii="Trebuchet MS" w:hAnsi="Trebuchet MS"/>
          <w:sz w:val="16"/>
          <w:szCs w:val="16"/>
        </w:rPr>
        <w:footnoteRef/>
      </w:r>
      <w:r>
        <w:rPr>
          <w:rFonts w:ascii="Trebuchet MS" w:hAnsi="Trebuchet MS"/>
          <w:sz w:val="16"/>
          <w:szCs w:val="16"/>
        </w:rPr>
        <w:t xml:space="preserve"> </w:t>
      </w:r>
      <w:r w:rsidRPr="007602CC">
        <w:rPr>
          <w:rFonts w:ascii="Trebuchet MS" w:hAnsi="Trebuchet MS"/>
          <w:sz w:val="16"/>
          <w:szCs w:val="16"/>
        </w:rPr>
        <w:t>Επίσημη εφημερίδα της Ε.Ε.</w:t>
      </w:r>
      <w:hyperlink r:id="rId4" w:history="1">
        <w:r w:rsidRPr="007602CC">
          <w:rPr>
            <w:rStyle w:val="-"/>
            <w:sz w:val="16"/>
            <w:szCs w:val="16"/>
          </w:rPr>
          <w:t>https://eur-lex.europa.eu/LexUriServ/LexUriServ.do</w:t>
        </w:r>
      </w:hyperlink>
      <w:r w:rsidRPr="007602CC">
        <w:rPr>
          <w:rFonts w:ascii="Trebuchet MS" w:hAnsi="Trebuchet MS"/>
          <w:sz w:val="16"/>
          <w:szCs w:val="16"/>
        </w:rPr>
        <w:t xml:space="preserve"> και </w:t>
      </w:r>
      <w:hyperlink r:id="rId5" w:history="1">
        <w:r w:rsidRPr="007602CC">
          <w:rPr>
            <w:rStyle w:val="-"/>
            <w:sz w:val="16"/>
            <w:szCs w:val="16"/>
          </w:rPr>
          <w:t>https://eur-lex.europa.eu/legal-content/EL/TXT/PDF/</w:t>
        </w:r>
      </w:hyperlink>
      <w:r w:rsidRPr="007602CC">
        <w:rPr>
          <w:rFonts w:ascii="Trebuchet MS" w:hAnsi="Trebuchet MS"/>
          <w:sz w:val="16"/>
          <w:szCs w:val="16"/>
        </w:rPr>
        <w:t xml:space="preserve"> </w:t>
      </w:r>
    </w:p>
  </w:footnote>
  <w:footnote w:id="38">
    <w:p w14:paraId="3831F843" w14:textId="77777777" w:rsidR="00F36164" w:rsidRPr="00E21381" w:rsidRDefault="00F36164" w:rsidP="00785DDF">
      <w:pPr>
        <w:autoSpaceDE w:val="0"/>
        <w:autoSpaceDN w:val="0"/>
        <w:adjustRightInd w:val="0"/>
        <w:spacing w:after="0" w:line="240" w:lineRule="auto"/>
        <w:ind w:right="90"/>
        <w:rPr>
          <w:rFonts w:cstheme="minorHAnsi"/>
          <w:color w:val="000000"/>
          <w:sz w:val="16"/>
          <w:szCs w:val="16"/>
          <w:lang w:val="en-US"/>
        </w:rPr>
      </w:pPr>
      <w:r w:rsidRPr="00E16007">
        <w:rPr>
          <w:rStyle w:val="af1"/>
        </w:rPr>
        <w:footnoteRef/>
      </w:r>
      <w:r w:rsidRPr="00E21381">
        <w:rPr>
          <w:lang w:val="en-US"/>
        </w:rPr>
        <w:t xml:space="preserve"> </w:t>
      </w:r>
      <w:r w:rsidRPr="00E21381">
        <w:rPr>
          <w:rFonts w:cstheme="minorHAnsi"/>
          <w:color w:val="000000"/>
          <w:sz w:val="16"/>
          <w:szCs w:val="16"/>
          <w:lang w:val="en-US"/>
        </w:rPr>
        <w:t>European Commission (2017), COM(2017) 824 final, ‘Proposal for a Council Directive laying down provisions for strengthening fiscal responsibility and the medium-term budgetary orientation in the Member States’.</w:t>
      </w:r>
    </w:p>
  </w:footnote>
  <w:footnote w:id="39">
    <w:p w14:paraId="700E005F" w14:textId="77777777" w:rsidR="00F36164" w:rsidRPr="00E21381" w:rsidRDefault="00F36164" w:rsidP="00785DDF">
      <w:pPr>
        <w:autoSpaceDE w:val="0"/>
        <w:autoSpaceDN w:val="0"/>
        <w:adjustRightInd w:val="0"/>
        <w:spacing w:after="0" w:line="240" w:lineRule="auto"/>
        <w:ind w:right="90"/>
        <w:rPr>
          <w:sz w:val="16"/>
          <w:szCs w:val="16"/>
          <w:lang w:val="en-US"/>
        </w:rPr>
      </w:pPr>
      <w:r w:rsidRPr="00F9189D">
        <w:rPr>
          <w:rStyle w:val="af1"/>
          <w:sz w:val="16"/>
          <w:szCs w:val="16"/>
        </w:rPr>
        <w:footnoteRef/>
      </w:r>
      <w:r w:rsidRPr="00E21381">
        <w:rPr>
          <w:sz w:val="16"/>
          <w:szCs w:val="16"/>
          <w:lang w:val="en-US"/>
        </w:rPr>
        <w:t xml:space="preserve"> </w:t>
      </w:r>
      <w:r w:rsidRPr="00E21381">
        <w:rPr>
          <w:rFonts w:cstheme="minorHAnsi"/>
          <w:color w:val="000000"/>
          <w:sz w:val="16"/>
          <w:szCs w:val="16"/>
          <w:lang w:val="en-US"/>
        </w:rPr>
        <w:t>Economic and Financial Committee (2019), ‘Draft supplementary EFC findings on the transposition of the Fiscal Compact’, ecfin.cef.cpe(2019)1812588.</w:t>
      </w:r>
    </w:p>
  </w:footnote>
  <w:footnote w:id="40">
    <w:p w14:paraId="64313B23" w14:textId="77777777" w:rsidR="00F36164" w:rsidRPr="00E21381" w:rsidRDefault="00F36164" w:rsidP="00785DDF">
      <w:pPr>
        <w:pStyle w:val="af0"/>
        <w:ind w:right="90"/>
        <w:jc w:val="both"/>
        <w:rPr>
          <w:rFonts w:ascii="Trebuchet MS" w:hAnsi="Trebuchet MS"/>
          <w:i/>
          <w:sz w:val="16"/>
          <w:szCs w:val="16"/>
          <w:u w:val="single"/>
          <w:lang w:val="en-US"/>
        </w:rPr>
      </w:pPr>
      <w:r w:rsidRPr="00F9189D">
        <w:rPr>
          <w:rStyle w:val="af1"/>
          <w:rFonts w:ascii="Trebuchet MS" w:hAnsi="Trebuchet MS"/>
          <w:sz w:val="16"/>
          <w:szCs w:val="16"/>
        </w:rPr>
        <w:footnoteRef/>
      </w:r>
      <w:r w:rsidRPr="00E21381">
        <w:rPr>
          <w:rFonts w:ascii="Trebuchet MS" w:hAnsi="Trebuchet MS"/>
          <w:sz w:val="16"/>
          <w:szCs w:val="16"/>
          <w:lang w:val="en-US"/>
        </w:rPr>
        <w:t xml:space="preserve"> </w:t>
      </w:r>
      <w:hyperlink r:id="rId6" w:history="1">
        <w:r w:rsidRPr="00E21381">
          <w:rPr>
            <w:rStyle w:val="-"/>
            <w:i/>
            <w:color w:val="auto"/>
            <w:sz w:val="16"/>
            <w:szCs w:val="16"/>
            <w:lang w:val="en-US"/>
          </w:rPr>
          <w:t>https://ec.europa.eu/info/sites/default/files/2018-efb-annual-report_en.pdf</w:t>
        </w:r>
      </w:hyperlink>
      <w:r w:rsidRPr="00E21381">
        <w:rPr>
          <w:rFonts w:ascii="Trebuchet MS" w:hAnsi="Trebuchet MS"/>
          <w:sz w:val="16"/>
          <w:szCs w:val="16"/>
          <w:lang w:val="en-US"/>
        </w:rPr>
        <w:t xml:space="preserve"> </w:t>
      </w:r>
    </w:p>
  </w:footnote>
  <w:footnote w:id="41">
    <w:p w14:paraId="4FB6AD04" w14:textId="77777777" w:rsidR="00F36164" w:rsidRPr="00F9189D" w:rsidRDefault="00F36164" w:rsidP="00785DDF">
      <w:pPr>
        <w:pStyle w:val="Default"/>
        <w:ind w:right="90"/>
        <w:jc w:val="both"/>
        <w:rPr>
          <w:rFonts w:ascii="Trebuchet MS" w:hAnsi="Trebuchet MS"/>
          <w:i/>
          <w:sz w:val="16"/>
          <w:szCs w:val="16"/>
          <w:lang w:val="en-US"/>
        </w:rPr>
      </w:pPr>
      <w:r w:rsidRPr="00F9189D">
        <w:rPr>
          <w:rStyle w:val="af1"/>
          <w:rFonts w:ascii="Trebuchet MS" w:hAnsi="Trebuchet MS"/>
          <w:sz w:val="16"/>
          <w:szCs w:val="16"/>
        </w:rPr>
        <w:footnoteRef/>
      </w:r>
      <w:r w:rsidRPr="00F9189D">
        <w:rPr>
          <w:rFonts w:ascii="Trebuchet MS" w:hAnsi="Trebuchet MS"/>
          <w:sz w:val="16"/>
          <w:szCs w:val="16"/>
          <w:lang w:val="en-US"/>
        </w:rPr>
        <w:t xml:space="preserve"> </w:t>
      </w:r>
      <w:r w:rsidRPr="00F9189D">
        <w:rPr>
          <w:rFonts w:ascii="Trebuchet MS" w:hAnsi="Trebuchet MS" w:cstheme="minorHAnsi"/>
          <w:sz w:val="16"/>
          <w:szCs w:val="16"/>
          <w:lang w:val="en-US"/>
        </w:rPr>
        <w:t>EFB “Assessment of EU fiscal rules with a focus on the six and two-pack legislation” August 2019.</w:t>
      </w:r>
    </w:p>
  </w:footnote>
  <w:footnote w:id="42">
    <w:p w14:paraId="7970C262" w14:textId="77777777" w:rsidR="00F36164" w:rsidRPr="00F9189D" w:rsidRDefault="00F36164" w:rsidP="00785DDF">
      <w:pPr>
        <w:pStyle w:val="af0"/>
        <w:ind w:right="90"/>
        <w:jc w:val="both"/>
        <w:rPr>
          <w:rFonts w:cstheme="minorHAnsi"/>
          <w:color w:val="000000"/>
          <w:sz w:val="16"/>
          <w:szCs w:val="16"/>
        </w:rPr>
      </w:pPr>
      <w:r w:rsidRPr="00F9189D">
        <w:rPr>
          <w:rStyle w:val="af1"/>
          <w:rFonts w:ascii="Trebuchet MS" w:hAnsi="Trebuchet MS"/>
          <w:sz w:val="16"/>
          <w:szCs w:val="16"/>
        </w:rPr>
        <w:footnoteRef/>
      </w:r>
      <w:r w:rsidRPr="00F9189D">
        <w:rPr>
          <w:rFonts w:ascii="Trebuchet MS" w:hAnsi="Trebuchet MS"/>
          <w:sz w:val="16"/>
          <w:szCs w:val="16"/>
        </w:rPr>
        <w:t xml:space="preserve"> </w:t>
      </w:r>
      <w:r w:rsidRPr="00F9189D">
        <w:rPr>
          <w:rFonts w:ascii="Trebuchet MS" w:hAnsi="Trebuchet MS" w:cstheme="minorHAnsi"/>
          <w:color w:val="000000"/>
          <w:sz w:val="16"/>
          <w:szCs w:val="16"/>
        </w:rPr>
        <w:t>Το 2019, συνολικό έλλειμμα της ζώνης του ευρώ και της ΕΕ κατέγραψε αυξητική τάση και ανήλθε στο 0.6% του ΑΕΠ από 0,5% το 2018.</w:t>
      </w:r>
    </w:p>
  </w:footnote>
  <w:footnote w:id="43">
    <w:p w14:paraId="75DE357D" w14:textId="34E9B7C0" w:rsidR="00F36164" w:rsidRPr="00E16007" w:rsidRDefault="00F36164" w:rsidP="00785DDF">
      <w:pPr>
        <w:pStyle w:val="af0"/>
        <w:ind w:right="90"/>
        <w:jc w:val="both"/>
        <w:rPr>
          <w:rFonts w:ascii="Trebuchet MS" w:hAnsi="Trebuchet MS"/>
        </w:rPr>
      </w:pPr>
      <w:r w:rsidRPr="00F9189D">
        <w:rPr>
          <w:rStyle w:val="af1"/>
          <w:rFonts w:ascii="Trebuchet MS" w:hAnsi="Trebuchet MS"/>
          <w:sz w:val="16"/>
          <w:szCs w:val="16"/>
        </w:rPr>
        <w:footnoteRef/>
      </w:r>
      <w:r w:rsidRPr="00F9189D">
        <w:rPr>
          <w:rFonts w:ascii="Trebuchet MS" w:hAnsi="Trebuchet MS" w:cstheme="minorHAnsi"/>
          <w:color w:val="000000"/>
          <w:sz w:val="16"/>
          <w:szCs w:val="16"/>
        </w:rPr>
        <w:t>Το 2019, δέκα χώρες απέτυχαν στις απαιτούμενες δημοσιονομικές προσαρμογές του ΣΣΑ (π.χ. Βέλγιο, Εσθονία, Ισπανία, Γαλλία, Ουγγαρία, Πολωνία, Πορτογαλία, Σλοβενία, Σλοβακία και Ηνωμένο Βασίλειο), τρεις απέτυχαν να μειώσουν τα υψηλά επίπεδα χρέους τους με τον απαιτούμενο ρυθμό (Βέλγιο, Γαλλία και Ισπανία) ενώ στις αρχές του 2020, άνοιξε η ΔΥΕ για την Ρουμανία.</w:t>
      </w:r>
    </w:p>
  </w:footnote>
  <w:footnote w:id="44">
    <w:p w14:paraId="1FC7C021" w14:textId="01F5A84C" w:rsidR="00F36164" w:rsidRPr="00E16007" w:rsidRDefault="00F36164" w:rsidP="00CA3292">
      <w:pPr>
        <w:pStyle w:val="Default"/>
        <w:ind w:right="90"/>
        <w:jc w:val="both"/>
        <w:rPr>
          <w:rFonts w:ascii="Trebuchet MS" w:hAnsi="Trebuchet MS"/>
          <w:lang w:val="en-US"/>
        </w:rPr>
      </w:pPr>
      <w:r w:rsidRPr="005102B4">
        <w:rPr>
          <w:rStyle w:val="af1"/>
          <w:rFonts w:ascii="Trebuchet MS" w:hAnsi="Trebuchet MS"/>
          <w:sz w:val="16"/>
          <w:szCs w:val="16"/>
        </w:rPr>
        <w:footnoteRef/>
      </w:r>
      <w:r w:rsidRPr="005102B4">
        <w:rPr>
          <w:rFonts w:ascii="Trebuchet MS" w:hAnsi="Trebuchet MS" w:cstheme="minorHAnsi"/>
          <w:sz w:val="16"/>
          <w:szCs w:val="16"/>
          <w:lang w:val="en-US"/>
        </w:rPr>
        <w:t xml:space="preserve"> Commission SWD(2020) 210 /05-02-2020 “ Report on the application of Regulations (EU) No 1173/2011, 1174/2011, 1175/2011, 1176/2011, 1177/2011, 472/2013 and 473/2013 and Council Directive 2011/85/EU” </w:t>
      </w:r>
      <w:r w:rsidRPr="005102B4">
        <w:rPr>
          <w:rFonts w:ascii="Trebuchet MS" w:hAnsi="Trebuchet MS" w:cstheme="minorHAnsi"/>
          <w:sz w:val="16"/>
          <w:szCs w:val="16"/>
        </w:rPr>
        <w:t>και</w:t>
      </w:r>
      <w:r w:rsidRPr="005102B4">
        <w:rPr>
          <w:rFonts w:ascii="Trebuchet MS" w:hAnsi="Trebuchet MS" w:cstheme="minorHAnsi"/>
          <w:sz w:val="16"/>
          <w:szCs w:val="16"/>
          <w:lang w:val="en-US"/>
        </w:rPr>
        <w:t xml:space="preserve"> Commission SWD(2020) 211 /05-02-2020 “ Review of the suitability of the Council Directive 2011/85/EU on requirements for budgetary frameworks of the Member States”</w:t>
      </w:r>
      <w:r w:rsidRPr="005102B4">
        <w:rPr>
          <w:rFonts w:ascii="Trebuchet MS" w:hAnsi="Trebuchet MS"/>
          <w:sz w:val="16"/>
          <w:szCs w:val="16"/>
          <w:lang w:val="en-US"/>
        </w:rPr>
        <w:t xml:space="preserve"> </w:t>
      </w:r>
    </w:p>
  </w:footnote>
  <w:footnote w:id="45">
    <w:p w14:paraId="50446B3C" w14:textId="77777777" w:rsidR="00F36164" w:rsidRPr="00F51C77" w:rsidRDefault="00F36164" w:rsidP="00CA3292">
      <w:pPr>
        <w:pStyle w:val="af0"/>
        <w:ind w:right="90"/>
        <w:jc w:val="both"/>
        <w:rPr>
          <w:rFonts w:ascii="Trebuchet MS" w:hAnsi="Trebuchet MS"/>
          <w:sz w:val="16"/>
          <w:szCs w:val="16"/>
        </w:rPr>
      </w:pPr>
      <w:r w:rsidRPr="0039272A">
        <w:rPr>
          <w:rStyle w:val="af1"/>
          <w:rFonts w:ascii="Trebuchet MS" w:hAnsi="Trebuchet MS"/>
          <w:sz w:val="16"/>
          <w:szCs w:val="16"/>
        </w:rPr>
        <w:footnoteRef/>
      </w:r>
      <w:r w:rsidRPr="00F51C77">
        <w:rPr>
          <w:rFonts w:ascii="Trebuchet MS" w:hAnsi="Trebuchet MS"/>
          <w:sz w:val="16"/>
          <w:szCs w:val="16"/>
        </w:rPr>
        <w:t>Στη διαβούλευση για την αναθεώρηση των δημοσιονομικών κανόνων που ξεκίνησε εκ νέου τον Οκτώβριο του 2021</w:t>
      </w:r>
      <w:r>
        <w:rPr>
          <w:rFonts w:ascii="Trebuchet MS" w:hAnsi="Trebuchet MS"/>
          <w:sz w:val="16"/>
          <w:szCs w:val="16"/>
        </w:rPr>
        <w:t>,</w:t>
      </w:r>
      <w:r w:rsidRPr="00F51C77">
        <w:rPr>
          <w:rFonts w:ascii="Trebuchet MS" w:hAnsi="Trebuchet MS"/>
          <w:sz w:val="16"/>
          <w:szCs w:val="16"/>
        </w:rPr>
        <w:t xml:space="preserve"> το ΕΔΣ έχει λάβει μέρος με την </w:t>
      </w:r>
      <w:r>
        <w:rPr>
          <w:rFonts w:ascii="Trebuchet MS" w:hAnsi="Trebuchet MS"/>
          <w:sz w:val="16"/>
          <w:szCs w:val="16"/>
        </w:rPr>
        <w:t>δημοσιοποίηση των προτάσεών του :</w:t>
      </w:r>
      <w:r w:rsidRPr="00F51C77">
        <w:rPr>
          <w:rFonts w:ascii="Trebuchet MS" w:hAnsi="Trebuchet MS"/>
          <w:sz w:val="16"/>
          <w:szCs w:val="16"/>
        </w:rPr>
        <w:t xml:space="preserve"> </w:t>
      </w:r>
      <w:hyperlink r:id="rId7" w:history="1">
        <w:r w:rsidRPr="00F51C77">
          <w:rPr>
            <w:rStyle w:val="-"/>
            <w:sz w:val="16"/>
            <w:szCs w:val="16"/>
          </w:rPr>
          <w:t>https://www.hfisc.gr/ekfrasi-gnomis/theseis-toy-eds-anaforika-me-tin-anatheorisi-toy-symfonoy-statherotitas-kai-anaptyxis</w:t>
        </w:r>
      </w:hyperlink>
    </w:p>
    <w:p w14:paraId="6BD2BBCE" w14:textId="77777777" w:rsidR="00F36164" w:rsidRPr="00F51C77" w:rsidRDefault="00F36164" w:rsidP="00527989">
      <w:pPr>
        <w:pStyle w:val="af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A7C2C"/>
    <w:multiLevelType w:val="multilevel"/>
    <w:tmpl w:val="11FC52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69B28B3"/>
    <w:multiLevelType w:val="hybridMultilevel"/>
    <w:tmpl w:val="98C64BF0"/>
    <w:lvl w:ilvl="0" w:tplc="B6E89098">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74170FC"/>
    <w:multiLevelType w:val="hybridMultilevel"/>
    <w:tmpl w:val="7E700A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8AB3506"/>
    <w:multiLevelType w:val="hybridMultilevel"/>
    <w:tmpl w:val="D01EC1D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B8D5929"/>
    <w:multiLevelType w:val="hybridMultilevel"/>
    <w:tmpl w:val="AA5E652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FE317B5"/>
    <w:multiLevelType w:val="hybridMultilevel"/>
    <w:tmpl w:val="A0E86F70"/>
    <w:lvl w:ilvl="0" w:tplc="7C7C3FF8">
      <w:start w:val="1"/>
      <w:numFmt w:val="upperRoman"/>
      <w:pStyle w:val="a"/>
      <w:suff w:val="space"/>
      <w:lvlText w:val="ΚΕΦΑΛΑΙΟ %1:"/>
      <w:lvlJc w:val="left"/>
      <w:pPr>
        <w:ind w:left="0" w:firstLine="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4386E44"/>
    <w:multiLevelType w:val="multilevel"/>
    <w:tmpl w:val="1BEA49B4"/>
    <w:lvl w:ilvl="0">
      <w:start w:val="1"/>
      <w:numFmt w:val="decimal"/>
      <w:pStyle w:val="a0"/>
      <w:suff w:val="space"/>
      <w:lvlText w:val="%1."/>
      <w:lvlJc w:val="left"/>
      <w:pPr>
        <w:ind w:left="142" w:firstLine="0"/>
      </w:pPr>
      <w:rPr>
        <w:rFonts w:hint="default"/>
      </w:rPr>
    </w:lvl>
    <w:lvl w:ilvl="1">
      <w:start w:val="1"/>
      <w:numFmt w:val="decimal"/>
      <w:pStyle w:val="a1"/>
      <w:suff w:val="space"/>
      <w:lvlText w:val="%1.%2."/>
      <w:lvlJc w:val="left"/>
      <w:pPr>
        <w:ind w:left="709" w:firstLine="0"/>
      </w:pPr>
      <w:rPr>
        <w:rFonts w:hint="default"/>
        <w:color w:val="00A3E0"/>
      </w:rPr>
    </w:lvl>
    <w:lvl w:ilvl="2">
      <w:start w:val="1"/>
      <w:numFmt w:val="decimal"/>
      <w:pStyle w:val="a2"/>
      <w:suff w:val="space"/>
      <w:lvlText w:val="%1.%2.%3."/>
      <w:lvlJc w:val="left"/>
      <w:pPr>
        <w:ind w:left="-3969" w:firstLine="0"/>
      </w:pPr>
      <w:rPr>
        <w:rFonts w:hint="default"/>
      </w:rPr>
    </w:lvl>
    <w:lvl w:ilvl="3">
      <w:start w:val="1"/>
      <w:numFmt w:val="decimal"/>
      <w:lvlText w:val="%1.%2.%3.%4."/>
      <w:lvlJc w:val="left"/>
      <w:pPr>
        <w:ind w:left="-3969" w:firstLine="0"/>
      </w:pPr>
      <w:rPr>
        <w:rFonts w:hint="default"/>
      </w:rPr>
    </w:lvl>
    <w:lvl w:ilvl="4">
      <w:start w:val="1"/>
      <w:numFmt w:val="decimal"/>
      <w:lvlText w:val="%1.%2.%3.%4.%5."/>
      <w:lvlJc w:val="left"/>
      <w:pPr>
        <w:ind w:left="-3969" w:firstLine="0"/>
      </w:pPr>
      <w:rPr>
        <w:rFonts w:hint="default"/>
      </w:rPr>
    </w:lvl>
    <w:lvl w:ilvl="5">
      <w:start w:val="1"/>
      <w:numFmt w:val="decimal"/>
      <w:lvlText w:val="%1.%2.%3.%4.%5.%6."/>
      <w:lvlJc w:val="left"/>
      <w:pPr>
        <w:ind w:left="-3969" w:firstLine="0"/>
      </w:pPr>
      <w:rPr>
        <w:rFonts w:hint="default"/>
      </w:rPr>
    </w:lvl>
    <w:lvl w:ilvl="6">
      <w:start w:val="1"/>
      <w:numFmt w:val="decimal"/>
      <w:lvlText w:val="%1.%2.%3.%4.%5.%6.%7."/>
      <w:lvlJc w:val="left"/>
      <w:pPr>
        <w:ind w:left="-3969" w:firstLine="0"/>
      </w:pPr>
      <w:rPr>
        <w:rFonts w:hint="default"/>
      </w:rPr>
    </w:lvl>
    <w:lvl w:ilvl="7">
      <w:start w:val="1"/>
      <w:numFmt w:val="decimal"/>
      <w:lvlText w:val="%1.%2.%3.%4.%5.%6.%7.%8."/>
      <w:lvlJc w:val="left"/>
      <w:pPr>
        <w:ind w:left="-3969" w:firstLine="0"/>
      </w:pPr>
      <w:rPr>
        <w:rFonts w:hint="default"/>
      </w:rPr>
    </w:lvl>
    <w:lvl w:ilvl="8">
      <w:start w:val="1"/>
      <w:numFmt w:val="decimal"/>
      <w:lvlText w:val="%1.%2.%3.%4.%5.%6.%7.%8.%9."/>
      <w:lvlJc w:val="left"/>
      <w:pPr>
        <w:ind w:left="-3969" w:firstLine="0"/>
      </w:pPr>
      <w:rPr>
        <w:rFonts w:hint="default"/>
      </w:rPr>
    </w:lvl>
  </w:abstractNum>
  <w:abstractNum w:abstractNumId="7" w15:restartNumberingAfterBreak="0">
    <w:nsid w:val="21B26A73"/>
    <w:multiLevelType w:val="hybridMultilevel"/>
    <w:tmpl w:val="F1B20404"/>
    <w:lvl w:ilvl="0" w:tplc="04080013">
      <w:start w:val="1"/>
      <w:numFmt w:val="upperRoman"/>
      <w:lvlText w:val="%1."/>
      <w:lvlJc w:val="righ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8" w15:restartNumberingAfterBreak="0">
    <w:nsid w:val="2BA34888"/>
    <w:multiLevelType w:val="hybridMultilevel"/>
    <w:tmpl w:val="DF5C7D7C"/>
    <w:lvl w:ilvl="0" w:tplc="882205B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4A794BCA"/>
    <w:multiLevelType w:val="hybridMultilevel"/>
    <w:tmpl w:val="66BA6268"/>
    <w:lvl w:ilvl="0" w:tplc="B170C684">
      <w:numFmt w:val="bullet"/>
      <w:lvlText w:val=""/>
      <w:lvlJc w:val="left"/>
      <w:pPr>
        <w:ind w:left="720" w:hanging="360"/>
      </w:pPr>
      <w:rPr>
        <w:rFonts w:ascii="Symbol" w:eastAsia="Calibri" w:hAnsi="Symbol"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52F95C22"/>
    <w:multiLevelType w:val="hybridMultilevel"/>
    <w:tmpl w:val="F3B05384"/>
    <w:lvl w:ilvl="0" w:tplc="0408000F">
      <w:start w:val="1"/>
      <w:numFmt w:val="decimal"/>
      <w:lvlText w:val="%1."/>
      <w:lvlJc w:val="left"/>
      <w:pPr>
        <w:ind w:left="720" w:hanging="360"/>
      </w:pPr>
      <w:rPr>
        <w:rFonts w:hint="default"/>
        <w:b w:val="0"/>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59E57C06"/>
    <w:multiLevelType w:val="hybridMultilevel"/>
    <w:tmpl w:val="5E08ED84"/>
    <w:lvl w:ilvl="0" w:tplc="0BB4521A">
      <w:start w:val="2"/>
      <w:numFmt w:val="bullet"/>
      <w:lvlText w:val="-"/>
      <w:lvlJc w:val="left"/>
      <w:pPr>
        <w:ind w:left="720" w:hanging="360"/>
      </w:pPr>
      <w:rPr>
        <w:rFonts w:ascii="Trebuchet MS" w:eastAsia="Calibri" w:hAnsi="Trebuchet MS" w:cs="Calibri" w:hint="default"/>
      </w:rPr>
    </w:lvl>
    <w:lvl w:ilvl="1" w:tplc="DB76EF88">
      <w:numFmt w:val="bullet"/>
      <w:lvlText w:val="•"/>
      <w:lvlJc w:val="left"/>
      <w:pPr>
        <w:ind w:left="1440" w:hanging="360"/>
      </w:pPr>
      <w:rPr>
        <w:rFonts w:ascii="Trebuchet MS" w:eastAsia="Calibri" w:hAnsi="Trebuchet MS" w:cs="Times New Roman"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D152627"/>
    <w:multiLevelType w:val="hybridMultilevel"/>
    <w:tmpl w:val="A2DA00F8"/>
    <w:lvl w:ilvl="0" w:tplc="78E2D7B4">
      <w:start w:val="1"/>
      <w:numFmt w:val="upperRoman"/>
      <w:pStyle w:val="a3"/>
      <w:suff w:val="space"/>
      <w:lvlText w:val="ΠΑΡΑΡΤΗΜΑ %1:"/>
      <w:lvlJc w:val="left"/>
      <w:pPr>
        <w:ind w:left="0" w:firstLine="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5F021BFE"/>
    <w:multiLevelType w:val="hybridMultilevel"/>
    <w:tmpl w:val="3D04524E"/>
    <w:lvl w:ilvl="0" w:tplc="0BB4521A">
      <w:start w:val="2"/>
      <w:numFmt w:val="bullet"/>
      <w:lvlText w:val="-"/>
      <w:lvlJc w:val="left"/>
      <w:pPr>
        <w:ind w:left="720" w:hanging="360"/>
      </w:pPr>
      <w:rPr>
        <w:rFonts w:ascii="Trebuchet MS" w:eastAsia="Calibri" w:hAnsi="Trebuchet MS" w:cs="Calibri"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69D44287"/>
    <w:multiLevelType w:val="hybridMultilevel"/>
    <w:tmpl w:val="DCFA011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78F52D20"/>
    <w:multiLevelType w:val="hybridMultilevel"/>
    <w:tmpl w:val="AAA2990E"/>
    <w:lvl w:ilvl="0" w:tplc="02B2A1A0">
      <w:start w:val="1"/>
      <w:numFmt w:val="decimal"/>
      <w:pStyle w:val="a4"/>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5"/>
  </w:num>
  <w:num w:numId="2">
    <w:abstractNumId w:val="15"/>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3"/>
  </w:num>
  <w:num w:numId="6">
    <w:abstractNumId w:val="11"/>
  </w:num>
  <w:num w:numId="7">
    <w:abstractNumId w:val="6"/>
  </w:num>
  <w:num w:numId="8">
    <w:abstractNumId w:val="4"/>
  </w:num>
  <w:num w:numId="9">
    <w:abstractNumId w:val="6"/>
  </w:num>
  <w:num w:numId="10">
    <w:abstractNumId w:val="6"/>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9"/>
  </w:num>
  <w:num w:numId="22">
    <w:abstractNumId w:val="6"/>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4"/>
  </w:num>
  <w:num w:numId="26">
    <w:abstractNumId w:val="8"/>
  </w:num>
  <w:num w:numId="27">
    <w:abstractNumId w:val="10"/>
  </w:num>
  <w:num w:numId="28">
    <w:abstractNumId w:val="13"/>
  </w:num>
  <w:num w:numId="29">
    <w:abstractNumId w:val="6"/>
  </w:num>
  <w:num w:numId="30">
    <w:abstractNumId w:val="6"/>
  </w:num>
  <w:num w:numId="31">
    <w:abstractNumId w:val="6"/>
  </w:num>
  <w:num w:numId="32">
    <w:abstractNumId w:val="6"/>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2"/>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6"/>
  </w:num>
  <w:num w:numId="4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M1szQ3tjA0tTQwNDFQ0lEKTi0uzszPAykwrAUAYHRB6CwAAAA="/>
  </w:docVars>
  <w:rsids>
    <w:rsidRoot w:val="009E6471"/>
    <w:rsid w:val="00000C44"/>
    <w:rsid w:val="000011F8"/>
    <w:rsid w:val="00001F92"/>
    <w:rsid w:val="000025BA"/>
    <w:rsid w:val="000056DF"/>
    <w:rsid w:val="00005C7D"/>
    <w:rsid w:val="00006386"/>
    <w:rsid w:val="00007AB2"/>
    <w:rsid w:val="000106BB"/>
    <w:rsid w:val="00013486"/>
    <w:rsid w:val="0001597F"/>
    <w:rsid w:val="00021023"/>
    <w:rsid w:val="000218D8"/>
    <w:rsid w:val="00021DED"/>
    <w:rsid w:val="0002304F"/>
    <w:rsid w:val="00024931"/>
    <w:rsid w:val="00025433"/>
    <w:rsid w:val="000256B9"/>
    <w:rsid w:val="00026B88"/>
    <w:rsid w:val="00026D96"/>
    <w:rsid w:val="00026FA6"/>
    <w:rsid w:val="000270D0"/>
    <w:rsid w:val="00031448"/>
    <w:rsid w:val="000317F1"/>
    <w:rsid w:val="00031AC4"/>
    <w:rsid w:val="00033488"/>
    <w:rsid w:val="0003377E"/>
    <w:rsid w:val="00035CB0"/>
    <w:rsid w:val="00036B7C"/>
    <w:rsid w:val="000404A5"/>
    <w:rsid w:val="000410AF"/>
    <w:rsid w:val="0004110F"/>
    <w:rsid w:val="000414BC"/>
    <w:rsid w:val="00042469"/>
    <w:rsid w:val="000429EF"/>
    <w:rsid w:val="00042D74"/>
    <w:rsid w:val="00043229"/>
    <w:rsid w:val="00046A2A"/>
    <w:rsid w:val="00047365"/>
    <w:rsid w:val="00047DE3"/>
    <w:rsid w:val="00050F48"/>
    <w:rsid w:val="00051128"/>
    <w:rsid w:val="000525D7"/>
    <w:rsid w:val="00052856"/>
    <w:rsid w:val="000528BD"/>
    <w:rsid w:val="000545F5"/>
    <w:rsid w:val="00054D40"/>
    <w:rsid w:val="000559A0"/>
    <w:rsid w:val="00055C15"/>
    <w:rsid w:val="00056874"/>
    <w:rsid w:val="000576D2"/>
    <w:rsid w:val="00060886"/>
    <w:rsid w:val="00060A5E"/>
    <w:rsid w:val="00063B15"/>
    <w:rsid w:val="0006400A"/>
    <w:rsid w:val="0006426C"/>
    <w:rsid w:val="0006501E"/>
    <w:rsid w:val="00065BF4"/>
    <w:rsid w:val="0007081D"/>
    <w:rsid w:val="00071E02"/>
    <w:rsid w:val="00071EA1"/>
    <w:rsid w:val="0007389A"/>
    <w:rsid w:val="0007616B"/>
    <w:rsid w:val="0007739A"/>
    <w:rsid w:val="00077852"/>
    <w:rsid w:val="00077A1D"/>
    <w:rsid w:val="00081268"/>
    <w:rsid w:val="000815B4"/>
    <w:rsid w:val="00081821"/>
    <w:rsid w:val="00081CED"/>
    <w:rsid w:val="00082288"/>
    <w:rsid w:val="00083C63"/>
    <w:rsid w:val="000908EA"/>
    <w:rsid w:val="000913F9"/>
    <w:rsid w:val="000947DE"/>
    <w:rsid w:val="00096728"/>
    <w:rsid w:val="000A02D5"/>
    <w:rsid w:val="000A05B3"/>
    <w:rsid w:val="000A18AA"/>
    <w:rsid w:val="000A1A6E"/>
    <w:rsid w:val="000A1F54"/>
    <w:rsid w:val="000A235F"/>
    <w:rsid w:val="000A2589"/>
    <w:rsid w:val="000A2B48"/>
    <w:rsid w:val="000A2DF7"/>
    <w:rsid w:val="000A3AEF"/>
    <w:rsid w:val="000A3E69"/>
    <w:rsid w:val="000A4ABB"/>
    <w:rsid w:val="000B01F2"/>
    <w:rsid w:val="000B080D"/>
    <w:rsid w:val="000B38C0"/>
    <w:rsid w:val="000B4A3E"/>
    <w:rsid w:val="000B4BEE"/>
    <w:rsid w:val="000B4F2A"/>
    <w:rsid w:val="000B53AB"/>
    <w:rsid w:val="000B57B8"/>
    <w:rsid w:val="000B711F"/>
    <w:rsid w:val="000B7D15"/>
    <w:rsid w:val="000B7FDF"/>
    <w:rsid w:val="000C1B4D"/>
    <w:rsid w:val="000C2DEB"/>
    <w:rsid w:val="000C35DB"/>
    <w:rsid w:val="000C4F41"/>
    <w:rsid w:val="000C5C21"/>
    <w:rsid w:val="000C6462"/>
    <w:rsid w:val="000D3B8F"/>
    <w:rsid w:val="000D5979"/>
    <w:rsid w:val="000D6BFD"/>
    <w:rsid w:val="000D78B8"/>
    <w:rsid w:val="000E076C"/>
    <w:rsid w:val="000E08E1"/>
    <w:rsid w:val="000E314E"/>
    <w:rsid w:val="000E450A"/>
    <w:rsid w:val="000E6D2F"/>
    <w:rsid w:val="000E76AC"/>
    <w:rsid w:val="000E7AF6"/>
    <w:rsid w:val="000F02FF"/>
    <w:rsid w:val="000F0FEE"/>
    <w:rsid w:val="000F1C30"/>
    <w:rsid w:val="000F1D10"/>
    <w:rsid w:val="000F4F90"/>
    <w:rsid w:val="000F61FF"/>
    <w:rsid w:val="000F7708"/>
    <w:rsid w:val="0010051A"/>
    <w:rsid w:val="00100EFE"/>
    <w:rsid w:val="0010678F"/>
    <w:rsid w:val="00106E39"/>
    <w:rsid w:val="001070CC"/>
    <w:rsid w:val="001076F5"/>
    <w:rsid w:val="0010792E"/>
    <w:rsid w:val="00107AE5"/>
    <w:rsid w:val="00111FAE"/>
    <w:rsid w:val="00114433"/>
    <w:rsid w:val="00114A26"/>
    <w:rsid w:val="0011538B"/>
    <w:rsid w:val="00116A47"/>
    <w:rsid w:val="001179A3"/>
    <w:rsid w:val="001202A3"/>
    <w:rsid w:val="00120AED"/>
    <w:rsid w:val="00120B81"/>
    <w:rsid w:val="00121603"/>
    <w:rsid w:val="001218FC"/>
    <w:rsid w:val="00121B6B"/>
    <w:rsid w:val="00121DB0"/>
    <w:rsid w:val="00122A77"/>
    <w:rsid w:val="00124001"/>
    <w:rsid w:val="00124649"/>
    <w:rsid w:val="00124FC7"/>
    <w:rsid w:val="0012543E"/>
    <w:rsid w:val="0012567A"/>
    <w:rsid w:val="0013199F"/>
    <w:rsid w:val="00132214"/>
    <w:rsid w:val="001322F7"/>
    <w:rsid w:val="001357FD"/>
    <w:rsid w:val="001368E1"/>
    <w:rsid w:val="00136923"/>
    <w:rsid w:val="001371AB"/>
    <w:rsid w:val="00137320"/>
    <w:rsid w:val="00140420"/>
    <w:rsid w:val="00142E91"/>
    <w:rsid w:val="00143B76"/>
    <w:rsid w:val="00144402"/>
    <w:rsid w:val="0014685A"/>
    <w:rsid w:val="0015524E"/>
    <w:rsid w:val="00155B2A"/>
    <w:rsid w:val="0015703C"/>
    <w:rsid w:val="001606A9"/>
    <w:rsid w:val="00160B7B"/>
    <w:rsid w:val="001621A6"/>
    <w:rsid w:val="001657CF"/>
    <w:rsid w:val="001667AC"/>
    <w:rsid w:val="00167869"/>
    <w:rsid w:val="00167E2D"/>
    <w:rsid w:val="00170DAB"/>
    <w:rsid w:val="001718DC"/>
    <w:rsid w:val="00171E1B"/>
    <w:rsid w:val="0017386C"/>
    <w:rsid w:val="00173FEE"/>
    <w:rsid w:val="001741AB"/>
    <w:rsid w:val="00174E94"/>
    <w:rsid w:val="001801C1"/>
    <w:rsid w:val="001820F2"/>
    <w:rsid w:val="00183ADF"/>
    <w:rsid w:val="00183CE6"/>
    <w:rsid w:val="00184620"/>
    <w:rsid w:val="001848C2"/>
    <w:rsid w:val="001849B7"/>
    <w:rsid w:val="00185C43"/>
    <w:rsid w:val="00186866"/>
    <w:rsid w:val="001868DC"/>
    <w:rsid w:val="00187557"/>
    <w:rsid w:val="00187726"/>
    <w:rsid w:val="00191B73"/>
    <w:rsid w:val="00192968"/>
    <w:rsid w:val="0019422B"/>
    <w:rsid w:val="00194631"/>
    <w:rsid w:val="00194766"/>
    <w:rsid w:val="00195F86"/>
    <w:rsid w:val="001977C9"/>
    <w:rsid w:val="001A13FD"/>
    <w:rsid w:val="001A2000"/>
    <w:rsid w:val="001A296A"/>
    <w:rsid w:val="001A2A56"/>
    <w:rsid w:val="001A303F"/>
    <w:rsid w:val="001A32AB"/>
    <w:rsid w:val="001A36B5"/>
    <w:rsid w:val="001A390F"/>
    <w:rsid w:val="001A4BDA"/>
    <w:rsid w:val="001A793C"/>
    <w:rsid w:val="001A7A75"/>
    <w:rsid w:val="001B067E"/>
    <w:rsid w:val="001B0842"/>
    <w:rsid w:val="001B1D9E"/>
    <w:rsid w:val="001B26E5"/>
    <w:rsid w:val="001B29EC"/>
    <w:rsid w:val="001B4F9C"/>
    <w:rsid w:val="001B7791"/>
    <w:rsid w:val="001C0808"/>
    <w:rsid w:val="001C1D2B"/>
    <w:rsid w:val="001C2453"/>
    <w:rsid w:val="001C2571"/>
    <w:rsid w:val="001C3378"/>
    <w:rsid w:val="001C36E7"/>
    <w:rsid w:val="001C42D8"/>
    <w:rsid w:val="001C5083"/>
    <w:rsid w:val="001C5AF2"/>
    <w:rsid w:val="001C60F2"/>
    <w:rsid w:val="001C6761"/>
    <w:rsid w:val="001D1BA7"/>
    <w:rsid w:val="001D22BF"/>
    <w:rsid w:val="001D2814"/>
    <w:rsid w:val="001D2F95"/>
    <w:rsid w:val="001D5250"/>
    <w:rsid w:val="001D5345"/>
    <w:rsid w:val="001D53FA"/>
    <w:rsid w:val="001D5746"/>
    <w:rsid w:val="001D59C3"/>
    <w:rsid w:val="001E0895"/>
    <w:rsid w:val="001E08CC"/>
    <w:rsid w:val="001E180D"/>
    <w:rsid w:val="001E18D3"/>
    <w:rsid w:val="001E247D"/>
    <w:rsid w:val="001E6E0F"/>
    <w:rsid w:val="001E74FC"/>
    <w:rsid w:val="001E7630"/>
    <w:rsid w:val="001E777D"/>
    <w:rsid w:val="001F1C47"/>
    <w:rsid w:val="001F32F4"/>
    <w:rsid w:val="001F3AAE"/>
    <w:rsid w:val="001F6951"/>
    <w:rsid w:val="001F7209"/>
    <w:rsid w:val="0020141B"/>
    <w:rsid w:val="00201646"/>
    <w:rsid w:val="00201C60"/>
    <w:rsid w:val="00201E10"/>
    <w:rsid w:val="00203C86"/>
    <w:rsid w:val="002044A1"/>
    <w:rsid w:val="00204577"/>
    <w:rsid w:val="0020516B"/>
    <w:rsid w:val="00205580"/>
    <w:rsid w:val="0020671F"/>
    <w:rsid w:val="002075DF"/>
    <w:rsid w:val="00207ACC"/>
    <w:rsid w:val="002110D0"/>
    <w:rsid w:val="00211132"/>
    <w:rsid w:val="002111F5"/>
    <w:rsid w:val="00212AF1"/>
    <w:rsid w:val="00213187"/>
    <w:rsid w:val="002166B8"/>
    <w:rsid w:val="00216727"/>
    <w:rsid w:val="00216BEB"/>
    <w:rsid w:val="00220B88"/>
    <w:rsid w:val="00220E13"/>
    <w:rsid w:val="002230D5"/>
    <w:rsid w:val="00223FD2"/>
    <w:rsid w:val="00224518"/>
    <w:rsid w:val="00224B7D"/>
    <w:rsid w:val="00226105"/>
    <w:rsid w:val="00226C4E"/>
    <w:rsid w:val="00227184"/>
    <w:rsid w:val="002279AE"/>
    <w:rsid w:val="00230B3D"/>
    <w:rsid w:val="002314CC"/>
    <w:rsid w:val="0023158A"/>
    <w:rsid w:val="002315AE"/>
    <w:rsid w:val="002324F7"/>
    <w:rsid w:val="0023311F"/>
    <w:rsid w:val="002340A8"/>
    <w:rsid w:val="00234451"/>
    <w:rsid w:val="00236493"/>
    <w:rsid w:val="00237589"/>
    <w:rsid w:val="00240D0F"/>
    <w:rsid w:val="002427EF"/>
    <w:rsid w:val="0024356D"/>
    <w:rsid w:val="00243DDC"/>
    <w:rsid w:val="00244D14"/>
    <w:rsid w:val="00244E8E"/>
    <w:rsid w:val="0024509F"/>
    <w:rsid w:val="0024515B"/>
    <w:rsid w:val="00245666"/>
    <w:rsid w:val="0024786C"/>
    <w:rsid w:val="00247B52"/>
    <w:rsid w:val="00247D76"/>
    <w:rsid w:val="00247E25"/>
    <w:rsid w:val="00247F80"/>
    <w:rsid w:val="00251E1E"/>
    <w:rsid w:val="00252070"/>
    <w:rsid w:val="00253996"/>
    <w:rsid w:val="00254A8E"/>
    <w:rsid w:val="00254E38"/>
    <w:rsid w:val="00255070"/>
    <w:rsid w:val="00261B65"/>
    <w:rsid w:val="00263C13"/>
    <w:rsid w:val="00263EBC"/>
    <w:rsid w:val="0026661A"/>
    <w:rsid w:val="00266E15"/>
    <w:rsid w:val="00267863"/>
    <w:rsid w:val="00270F02"/>
    <w:rsid w:val="0027337A"/>
    <w:rsid w:val="0027345C"/>
    <w:rsid w:val="002747C4"/>
    <w:rsid w:val="002750FC"/>
    <w:rsid w:val="00275EE8"/>
    <w:rsid w:val="002765EB"/>
    <w:rsid w:val="002766AC"/>
    <w:rsid w:val="0027772F"/>
    <w:rsid w:val="00277732"/>
    <w:rsid w:val="00280A59"/>
    <w:rsid w:val="00281D02"/>
    <w:rsid w:val="00282ED5"/>
    <w:rsid w:val="00283030"/>
    <w:rsid w:val="00283200"/>
    <w:rsid w:val="00283274"/>
    <w:rsid w:val="0028351C"/>
    <w:rsid w:val="002840F1"/>
    <w:rsid w:val="00287771"/>
    <w:rsid w:val="00290214"/>
    <w:rsid w:val="00291072"/>
    <w:rsid w:val="00292DA6"/>
    <w:rsid w:val="002932EC"/>
    <w:rsid w:val="00293573"/>
    <w:rsid w:val="00293ADD"/>
    <w:rsid w:val="00294F52"/>
    <w:rsid w:val="0029618A"/>
    <w:rsid w:val="0029676C"/>
    <w:rsid w:val="00296E66"/>
    <w:rsid w:val="002A11B0"/>
    <w:rsid w:val="002A2597"/>
    <w:rsid w:val="002A3413"/>
    <w:rsid w:val="002A3DBF"/>
    <w:rsid w:val="002A3F01"/>
    <w:rsid w:val="002A406C"/>
    <w:rsid w:val="002A5431"/>
    <w:rsid w:val="002A5C01"/>
    <w:rsid w:val="002A635C"/>
    <w:rsid w:val="002A6D40"/>
    <w:rsid w:val="002A7510"/>
    <w:rsid w:val="002A75D9"/>
    <w:rsid w:val="002B0D8A"/>
    <w:rsid w:val="002B1237"/>
    <w:rsid w:val="002B21DB"/>
    <w:rsid w:val="002B30FE"/>
    <w:rsid w:val="002B38DB"/>
    <w:rsid w:val="002B406C"/>
    <w:rsid w:val="002B4888"/>
    <w:rsid w:val="002B4974"/>
    <w:rsid w:val="002B5E9D"/>
    <w:rsid w:val="002B7057"/>
    <w:rsid w:val="002B71E6"/>
    <w:rsid w:val="002B7E97"/>
    <w:rsid w:val="002C01EC"/>
    <w:rsid w:val="002C2118"/>
    <w:rsid w:val="002C53EE"/>
    <w:rsid w:val="002C6316"/>
    <w:rsid w:val="002C643A"/>
    <w:rsid w:val="002C64CB"/>
    <w:rsid w:val="002C6C38"/>
    <w:rsid w:val="002C6CB9"/>
    <w:rsid w:val="002C7146"/>
    <w:rsid w:val="002C73E1"/>
    <w:rsid w:val="002D10C1"/>
    <w:rsid w:val="002D1181"/>
    <w:rsid w:val="002D1BF1"/>
    <w:rsid w:val="002D2979"/>
    <w:rsid w:val="002D536C"/>
    <w:rsid w:val="002D5955"/>
    <w:rsid w:val="002D6876"/>
    <w:rsid w:val="002E0DEF"/>
    <w:rsid w:val="002E1D1D"/>
    <w:rsid w:val="002E30A9"/>
    <w:rsid w:val="002E44A7"/>
    <w:rsid w:val="002E54A9"/>
    <w:rsid w:val="002E54AB"/>
    <w:rsid w:val="002E5A0A"/>
    <w:rsid w:val="002E5E2E"/>
    <w:rsid w:val="002E6E84"/>
    <w:rsid w:val="002E7539"/>
    <w:rsid w:val="002F1168"/>
    <w:rsid w:val="002F175E"/>
    <w:rsid w:val="002F34E1"/>
    <w:rsid w:val="002F3D6A"/>
    <w:rsid w:val="002F459F"/>
    <w:rsid w:val="002F4C72"/>
    <w:rsid w:val="002F55A7"/>
    <w:rsid w:val="002F5A77"/>
    <w:rsid w:val="002F6E7E"/>
    <w:rsid w:val="003004C7"/>
    <w:rsid w:val="00301125"/>
    <w:rsid w:val="00302B44"/>
    <w:rsid w:val="00302E04"/>
    <w:rsid w:val="0030501D"/>
    <w:rsid w:val="00305965"/>
    <w:rsid w:val="00305B0F"/>
    <w:rsid w:val="003067C4"/>
    <w:rsid w:val="00307F6E"/>
    <w:rsid w:val="003101EB"/>
    <w:rsid w:val="003104C5"/>
    <w:rsid w:val="0031087E"/>
    <w:rsid w:val="003114F7"/>
    <w:rsid w:val="00311828"/>
    <w:rsid w:val="0031195F"/>
    <w:rsid w:val="003128DA"/>
    <w:rsid w:val="00312FFB"/>
    <w:rsid w:val="003131C6"/>
    <w:rsid w:val="0031389F"/>
    <w:rsid w:val="00313BB5"/>
    <w:rsid w:val="003150A4"/>
    <w:rsid w:val="00317216"/>
    <w:rsid w:val="003179EE"/>
    <w:rsid w:val="00317D8D"/>
    <w:rsid w:val="0032018E"/>
    <w:rsid w:val="0032260A"/>
    <w:rsid w:val="00323C22"/>
    <w:rsid w:val="00325C33"/>
    <w:rsid w:val="00325EEB"/>
    <w:rsid w:val="003301A6"/>
    <w:rsid w:val="00332454"/>
    <w:rsid w:val="0033253A"/>
    <w:rsid w:val="00333346"/>
    <w:rsid w:val="003338AE"/>
    <w:rsid w:val="00335656"/>
    <w:rsid w:val="00335B3E"/>
    <w:rsid w:val="00340A39"/>
    <w:rsid w:val="00340F1E"/>
    <w:rsid w:val="0034114C"/>
    <w:rsid w:val="00341B86"/>
    <w:rsid w:val="00342DDC"/>
    <w:rsid w:val="00343755"/>
    <w:rsid w:val="00343FE1"/>
    <w:rsid w:val="003459B2"/>
    <w:rsid w:val="00347E65"/>
    <w:rsid w:val="00350D4B"/>
    <w:rsid w:val="003539B8"/>
    <w:rsid w:val="00354FDE"/>
    <w:rsid w:val="00357752"/>
    <w:rsid w:val="00357913"/>
    <w:rsid w:val="0036231D"/>
    <w:rsid w:val="003641E0"/>
    <w:rsid w:val="003673DB"/>
    <w:rsid w:val="003674CA"/>
    <w:rsid w:val="00367525"/>
    <w:rsid w:val="003703A4"/>
    <w:rsid w:val="00370866"/>
    <w:rsid w:val="00371D4C"/>
    <w:rsid w:val="003728CF"/>
    <w:rsid w:val="00372FD1"/>
    <w:rsid w:val="00375794"/>
    <w:rsid w:val="00375DBF"/>
    <w:rsid w:val="003777A6"/>
    <w:rsid w:val="003807CB"/>
    <w:rsid w:val="0038196B"/>
    <w:rsid w:val="003825A1"/>
    <w:rsid w:val="00386179"/>
    <w:rsid w:val="003867BD"/>
    <w:rsid w:val="00386D1D"/>
    <w:rsid w:val="00391170"/>
    <w:rsid w:val="00391422"/>
    <w:rsid w:val="003938E0"/>
    <w:rsid w:val="00396F69"/>
    <w:rsid w:val="00397279"/>
    <w:rsid w:val="003A015E"/>
    <w:rsid w:val="003A34F9"/>
    <w:rsid w:val="003A3673"/>
    <w:rsid w:val="003A4DA8"/>
    <w:rsid w:val="003A5420"/>
    <w:rsid w:val="003A5F69"/>
    <w:rsid w:val="003A5F80"/>
    <w:rsid w:val="003A7799"/>
    <w:rsid w:val="003B0C2B"/>
    <w:rsid w:val="003B2E92"/>
    <w:rsid w:val="003B3E65"/>
    <w:rsid w:val="003B51F0"/>
    <w:rsid w:val="003B6458"/>
    <w:rsid w:val="003C0BEE"/>
    <w:rsid w:val="003C30D2"/>
    <w:rsid w:val="003C3404"/>
    <w:rsid w:val="003C3C83"/>
    <w:rsid w:val="003C42B0"/>
    <w:rsid w:val="003C5705"/>
    <w:rsid w:val="003C5A2E"/>
    <w:rsid w:val="003C792F"/>
    <w:rsid w:val="003D2BE2"/>
    <w:rsid w:val="003D2E8E"/>
    <w:rsid w:val="003D3266"/>
    <w:rsid w:val="003D4E1C"/>
    <w:rsid w:val="003D6600"/>
    <w:rsid w:val="003D6ADA"/>
    <w:rsid w:val="003D6EFA"/>
    <w:rsid w:val="003D726D"/>
    <w:rsid w:val="003D72C8"/>
    <w:rsid w:val="003E0E92"/>
    <w:rsid w:val="003E1A67"/>
    <w:rsid w:val="003E1A8B"/>
    <w:rsid w:val="003E2548"/>
    <w:rsid w:val="003E3A4C"/>
    <w:rsid w:val="003E45FF"/>
    <w:rsid w:val="003E49D1"/>
    <w:rsid w:val="003E69BF"/>
    <w:rsid w:val="003E6A21"/>
    <w:rsid w:val="003E6BC0"/>
    <w:rsid w:val="003E6FD7"/>
    <w:rsid w:val="003F0505"/>
    <w:rsid w:val="003F0C9A"/>
    <w:rsid w:val="003F1938"/>
    <w:rsid w:val="003F1BE5"/>
    <w:rsid w:val="003F65CC"/>
    <w:rsid w:val="003F684E"/>
    <w:rsid w:val="003F7017"/>
    <w:rsid w:val="00400FAF"/>
    <w:rsid w:val="00402083"/>
    <w:rsid w:val="00402219"/>
    <w:rsid w:val="0040310A"/>
    <w:rsid w:val="00403469"/>
    <w:rsid w:val="00403C12"/>
    <w:rsid w:val="00404804"/>
    <w:rsid w:val="00405766"/>
    <w:rsid w:val="00405F4D"/>
    <w:rsid w:val="00410AEF"/>
    <w:rsid w:val="00410CEF"/>
    <w:rsid w:val="00410E69"/>
    <w:rsid w:val="004117A4"/>
    <w:rsid w:val="00411F17"/>
    <w:rsid w:val="004120FB"/>
    <w:rsid w:val="004122F6"/>
    <w:rsid w:val="004127EA"/>
    <w:rsid w:val="00412880"/>
    <w:rsid w:val="00412A7F"/>
    <w:rsid w:val="00413CB2"/>
    <w:rsid w:val="00414A41"/>
    <w:rsid w:val="00416466"/>
    <w:rsid w:val="004165DE"/>
    <w:rsid w:val="00417A7F"/>
    <w:rsid w:val="00417CD3"/>
    <w:rsid w:val="004215F5"/>
    <w:rsid w:val="0042300F"/>
    <w:rsid w:val="00425B54"/>
    <w:rsid w:val="00425BF3"/>
    <w:rsid w:val="00426885"/>
    <w:rsid w:val="00426D6F"/>
    <w:rsid w:val="00426FA4"/>
    <w:rsid w:val="00427A15"/>
    <w:rsid w:val="00430EF5"/>
    <w:rsid w:val="00430F3D"/>
    <w:rsid w:val="00430FC2"/>
    <w:rsid w:val="00431AD3"/>
    <w:rsid w:val="00434786"/>
    <w:rsid w:val="00434929"/>
    <w:rsid w:val="00434B00"/>
    <w:rsid w:val="00435055"/>
    <w:rsid w:val="00437A72"/>
    <w:rsid w:val="00437D7B"/>
    <w:rsid w:val="0044009E"/>
    <w:rsid w:val="00440F71"/>
    <w:rsid w:val="004413B3"/>
    <w:rsid w:val="004426D8"/>
    <w:rsid w:val="00443209"/>
    <w:rsid w:val="0044447D"/>
    <w:rsid w:val="0044506B"/>
    <w:rsid w:val="00450BC1"/>
    <w:rsid w:val="00451802"/>
    <w:rsid w:val="00451AD9"/>
    <w:rsid w:val="00451EE6"/>
    <w:rsid w:val="004547B6"/>
    <w:rsid w:val="00455A35"/>
    <w:rsid w:val="00455A6B"/>
    <w:rsid w:val="004621A9"/>
    <w:rsid w:val="00462275"/>
    <w:rsid w:val="00465D6A"/>
    <w:rsid w:val="004664B9"/>
    <w:rsid w:val="00466581"/>
    <w:rsid w:val="0046745B"/>
    <w:rsid w:val="004703FE"/>
    <w:rsid w:val="00470AC2"/>
    <w:rsid w:val="00473FFA"/>
    <w:rsid w:val="0047430C"/>
    <w:rsid w:val="0047674D"/>
    <w:rsid w:val="00476BBD"/>
    <w:rsid w:val="00476C02"/>
    <w:rsid w:val="004844E8"/>
    <w:rsid w:val="00485450"/>
    <w:rsid w:val="00486DB5"/>
    <w:rsid w:val="00487E51"/>
    <w:rsid w:val="0049002D"/>
    <w:rsid w:val="004949E2"/>
    <w:rsid w:val="00494BDC"/>
    <w:rsid w:val="00496AF7"/>
    <w:rsid w:val="00496FBC"/>
    <w:rsid w:val="00497057"/>
    <w:rsid w:val="004971D0"/>
    <w:rsid w:val="0049730B"/>
    <w:rsid w:val="004A3501"/>
    <w:rsid w:val="004A4E2B"/>
    <w:rsid w:val="004A5101"/>
    <w:rsid w:val="004A53AF"/>
    <w:rsid w:val="004A7FE0"/>
    <w:rsid w:val="004B0E78"/>
    <w:rsid w:val="004B1CC9"/>
    <w:rsid w:val="004B2F35"/>
    <w:rsid w:val="004B3926"/>
    <w:rsid w:val="004B5FF4"/>
    <w:rsid w:val="004B7FEF"/>
    <w:rsid w:val="004C25A4"/>
    <w:rsid w:val="004C64D8"/>
    <w:rsid w:val="004C691F"/>
    <w:rsid w:val="004C6CCC"/>
    <w:rsid w:val="004C7503"/>
    <w:rsid w:val="004D012B"/>
    <w:rsid w:val="004D1A1F"/>
    <w:rsid w:val="004D2790"/>
    <w:rsid w:val="004D2D3A"/>
    <w:rsid w:val="004D2F39"/>
    <w:rsid w:val="004D398D"/>
    <w:rsid w:val="004D522D"/>
    <w:rsid w:val="004D7DAD"/>
    <w:rsid w:val="004E0708"/>
    <w:rsid w:val="004E0C8C"/>
    <w:rsid w:val="004E1712"/>
    <w:rsid w:val="004E26F0"/>
    <w:rsid w:val="004E2ABD"/>
    <w:rsid w:val="004E4F46"/>
    <w:rsid w:val="004E5FD1"/>
    <w:rsid w:val="004E5FD9"/>
    <w:rsid w:val="004F0D85"/>
    <w:rsid w:val="004F108E"/>
    <w:rsid w:val="004F1144"/>
    <w:rsid w:val="004F23AB"/>
    <w:rsid w:val="004F315D"/>
    <w:rsid w:val="004F32AD"/>
    <w:rsid w:val="004F59E8"/>
    <w:rsid w:val="004F7507"/>
    <w:rsid w:val="00500704"/>
    <w:rsid w:val="00500CB0"/>
    <w:rsid w:val="00501045"/>
    <w:rsid w:val="00502481"/>
    <w:rsid w:val="00502F2A"/>
    <w:rsid w:val="0050508D"/>
    <w:rsid w:val="00505E48"/>
    <w:rsid w:val="005072FE"/>
    <w:rsid w:val="00511BF9"/>
    <w:rsid w:val="0051242F"/>
    <w:rsid w:val="0051257B"/>
    <w:rsid w:val="00514DC0"/>
    <w:rsid w:val="0051525A"/>
    <w:rsid w:val="005159E1"/>
    <w:rsid w:val="005166C3"/>
    <w:rsid w:val="00517639"/>
    <w:rsid w:val="00520007"/>
    <w:rsid w:val="0052086E"/>
    <w:rsid w:val="00520A0C"/>
    <w:rsid w:val="0052156F"/>
    <w:rsid w:val="005228A1"/>
    <w:rsid w:val="005236B1"/>
    <w:rsid w:val="00523840"/>
    <w:rsid w:val="005246FB"/>
    <w:rsid w:val="00524960"/>
    <w:rsid w:val="00524AC5"/>
    <w:rsid w:val="005271AD"/>
    <w:rsid w:val="00527989"/>
    <w:rsid w:val="00530477"/>
    <w:rsid w:val="0053314B"/>
    <w:rsid w:val="00533E4A"/>
    <w:rsid w:val="00535DC8"/>
    <w:rsid w:val="0053605E"/>
    <w:rsid w:val="005369C0"/>
    <w:rsid w:val="005376E2"/>
    <w:rsid w:val="00540289"/>
    <w:rsid w:val="00541AE2"/>
    <w:rsid w:val="00542634"/>
    <w:rsid w:val="00542B07"/>
    <w:rsid w:val="00543F2D"/>
    <w:rsid w:val="005445C6"/>
    <w:rsid w:val="00545A42"/>
    <w:rsid w:val="005460A4"/>
    <w:rsid w:val="005476D0"/>
    <w:rsid w:val="0055063C"/>
    <w:rsid w:val="00550EFF"/>
    <w:rsid w:val="0055198C"/>
    <w:rsid w:val="005520E8"/>
    <w:rsid w:val="00554274"/>
    <w:rsid w:val="00555CF9"/>
    <w:rsid w:val="00556A68"/>
    <w:rsid w:val="00556DE8"/>
    <w:rsid w:val="00560728"/>
    <w:rsid w:val="0056085F"/>
    <w:rsid w:val="00565700"/>
    <w:rsid w:val="00565940"/>
    <w:rsid w:val="00565C82"/>
    <w:rsid w:val="00566997"/>
    <w:rsid w:val="00567A9A"/>
    <w:rsid w:val="0057063E"/>
    <w:rsid w:val="005706CA"/>
    <w:rsid w:val="00570C16"/>
    <w:rsid w:val="005716FD"/>
    <w:rsid w:val="00572B14"/>
    <w:rsid w:val="005735F6"/>
    <w:rsid w:val="00573F59"/>
    <w:rsid w:val="0057504A"/>
    <w:rsid w:val="00576AD0"/>
    <w:rsid w:val="00577A22"/>
    <w:rsid w:val="00577E8B"/>
    <w:rsid w:val="005804EA"/>
    <w:rsid w:val="005808FB"/>
    <w:rsid w:val="00581A92"/>
    <w:rsid w:val="00581E23"/>
    <w:rsid w:val="0058209A"/>
    <w:rsid w:val="00583EBB"/>
    <w:rsid w:val="0058486E"/>
    <w:rsid w:val="005860B2"/>
    <w:rsid w:val="00587260"/>
    <w:rsid w:val="00587E55"/>
    <w:rsid w:val="00593C0B"/>
    <w:rsid w:val="0059528A"/>
    <w:rsid w:val="00595E07"/>
    <w:rsid w:val="0059604A"/>
    <w:rsid w:val="005A0E7C"/>
    <w:rsid w:val="005A26CC"/>
    <w:rsid w:val="005A299E"/>
    <w:rsid w:val="005A3AD3"/>
    <w:rsid w:val="005A3F14"/>
    <w:rsid w:val="005A45C7"/>
    <w:rsid w:val="005A5444"/>
    <w:rsid w:val="005A765C"/>
    <w:rsid w:val="005B15D7"/>
    <w:rsid w:val="005B25AD"/>
    <w:rsid w:val="005B2938"/>
    <w:rsid w:val="005B2D89"/>
    <w:rsid w:val="005B3360"/>
    <w:rsid w:val="005B362C"/>
    <w:rsid w:val="005B3753"/>
    <w:rsid w:val="005B3C5B"/>
    <w:rsid w:val="005B49EA"/>
    <w:rsid w:val="005B7181"/>
    <w:rsid w:val="005C1648"/>
    <w:rsid w:val="005C360F"/>
    <w:rsid w:val="005C47FA"/>
    <w:rsid w:val="005C553F"/>
    <w:rsid w:val="005C5A2C"/>
    <w:rsid w:val="005C7049"/>
    <w:rsid w:val="005C7EA1"/>
    <w:rsid w:val="005D1512"/>
    <w:rsid w:val="005D1684"/>
    <w:rsid w:val="005D22C9"/>
    <w:rsid w:val="005D39F5"/>
    <w:rsid w:val="005D632A"/>
    <w:rsid w:val="005D73F7"/>
    <w:rsid w:val="005E0EB1"/>
    <w:rsid w:val="005E3027"/>
    <w:rsid w:val="005E40F4"/>
    <w:rsid w:val="005E53EA"/>
    <w:rsid w:val="005E59F2"/>
    <w:rsid w:val="005E65FE"/>
    <w:rsid w:val="005E6861"/>
    <w:rsid w:val="005F108C"/>
    <w:rsid w:val="005F443C"/>
    <w:rsid w:val="005F4C14"/>
    <w:rsid w:val="005F6AAD"/>
    <w:rsid w:val="005F7182"/>
    <w:rsid w:val="00601DE7"/>
    <w:rsid w:val="00602220"/>
    <w:rsid w:val="00605379"/>
    <w:rsid w:val="00605A6E"/>
    <w:rsid w:val="00605E00"/>
    <w:rsid w:val="00606EC0"/>
    <w:rsid w:val="00607398"/>
    <w:rsid w:val="00607C89"/>
    <w:rsid w:val="00611773"/>
    <w:rsid w:val="00614A13"/>
    <w:rsid w:val="006161CB"/>
    <w:rsid w:val="00616598"/>
    <w:rsid w:val="0061739C"/>
    <w:rsid w:val="00617806"/>
    <w:rsid w:val="00620234"/>
    <w:rsid w:val="00621F5D"/>
    <w:rsid w:val="006226A7"/>
    <w:rsid w:val="006237EF"/>
    <w:rsid w:val="00623925"/>
    <w:rsid w:val="00623940"/>
    <w:rsid w:val="00623ADB"/>
    <w:rsid w:val="006253E5"/>
    <w:rsid w:val="006302B6"/>
    <w:rsid w:val="0063120D"/>
    <w:rsid w:val="00631FA9"/>
    <w:rsid w:val="00633360"/>
    <w:rsid w:val="00633809"/>
    <w:rsid w:val="00633FD9"/>
    <w:rsid w:val="00634009"/>
    <w:rsid w:val="006344D2"/>
    <w:rsid w:val="006359FD"/>
    <w:rsid w:val="00635DC2"/>
    <w:rsid w:val="00636B7B"/>
    <w:rsid w:val="00640F19"/>
    <w:rsid w:val="00641354"/>
    <w:rsid w:val="0064168B"/>
    <w:rsid w:val="006432AF"/>
    <w:rsid w:val="006466DD"/>
    <w:rsid w:val="00647659"/>
    <w:rsid w:val="00650482"/>
    <w:rsid w:val="00650A47"/>
    <w:rsid w:val="00650D40"/>
    <w:rsid w:val="006516D7"/>
    <w:rsid w:val="00651B9C"/>
    <w:rsid w:val="00651CBA"/>
    <w:rsid w:val="00651CEA"/>
    <w:rsid w:val="00652223"/>
    <w:rsid w:val="0065262E"/>
    <w:rsid w:val="006535B0"/>
    <w:rsid w:val="006536BE"/>
    <w:rsid w:val="0065437A"/>
    <w:rsid w:val="00660173"/>
    <w:rsid w:val="00660743"/>
    <w:rsid w:val="00661EC3"/>
    <w:rsid w:val="00661F3D"/>
    <w:rsid w:val="006621AA"/>
    <w:rsid w:val="006629A1"/>
    <w:rsid w:val="00662C54"/>
    <w:rsid w:val="00663964"/>
    <w:rsid w:val="006643BD"/>
    <w:rsid w:val="00664F4F"/>
    <w:rsid w:val="0066713B"/>
    <w:rsid w:val="00670F96"/>
    <w:rsid w:val="00673297"/>
    <w:rsid w:val="00673AB1"/>
    <w:rsid w:val="00674652"/>
    <w:rsid w:val="006750F2"/>
    <w:rsid w:val="006757D9"/>
    <w:rsid w:val="00676102"/>
    <w:rsid w:val="00676DBF"/>
    <w:rsid w:val="00676E5C"/>
    <w:rsid w:val="0068122D"/>
    <w:rsid w:val="006814B0"/>
    <w:rsid w:val="006818DD"/>
    <w:rsid w:val="00682D56"/>
    <w:rsid w:val="006842C3"/>
    <w:rsid w:val="0068574A"/>
    <w:rsid w:val="00686349"/>
    <w:rsid w:val="00686FEB"/>
    <w:rsid w:val="00687A24"/>
    <w:rsid w:val="00687DCC"/>
    <w:rsid w:val="0069089F"/>
    <w:rsid w:val="00691EED"/>
    <w:rsid w:val="0069280C"/>
    <w:rsid w:val="00692931"/>
    <w:rsid w:val="0069363D"/>
    <w:rsid w:val="00693A88"/>
    <w:rsid w:val="00694126"/>
    <w:rsid w:val="0069612F"/>
    <w:rsid w:val="006A1BED"/>
    <w:rsid w:val="006A4FA4"/>
    <w:rsid w:val="006A57CA"/>
    <w:rsid w:val="006A5846"/>
    <w:rsid w:val="006A5A78"/>
    <w:rsid w:val="006A69C4"/>
    <w:rsid w:val="006A6D24"/>
    <w:rsid w:val="006B0321"/>
    <w:rsid w:val="006B0BFA"/>
    <w:rsid w:val="006B0D52"/>
    <w:rsid w:val="006B1193"/>
    <w:rsid w:val="006B1918"/>
    <w:rsid w:val="006B31CC"/>
    <w:rsid w:val="006B3806"/>
    <w:rsid w:val="006B384E"/>
    <w:rsid w:val="006B47CE"/>
    <w:rsid w:val="006B523B"/>
    <w:rsid w:val="006B5E71"/>
    <w:rsid w:val="006B6CAF"/>
    <w:rsid w:val="006B71F5"/>
    <w:rsid w:val="006C0F8B"/>
    <w:rsid w:val="006C1826"/>
    <w:rsid w:val="006C312A"/>
    <w:rsid w:val="006C3A07"/>
    <w:rsid w:val="006C3AF3"/>
    <w:rsid w:val="006C4768"/>
    <w:rsid w:val="006C739B"/>
    <w:rsid w:val="006D0658"/>
    <w:rsid w:val="006D2A20"/>
    <w:rsid w:val="006D3964"/>
    <w:rsid w:val="006D3D2C"/>
    <w:rsid w:val="006D4017"/>
    <w:rsid w:val="006D5D0D"/>
    <w:rsid w:val="006D5FA7"/>
    <w:rsid w:val="006E33C4"/>
    <w:rsid w:val="006E4035"/>
    <w:rsid w:val="006E4812"/>
    <w:rsid w:val="006E4840"/>
    <w:rsid w:val="006E61FC"/>
    <w:rsid w:val="006E6DAA"/>
    <w:rsid w:val="006E7434"/>
    <w:rsid w:val="006F0E9D"/>
    <w:rsid w:val="006F18CF"/>
    <w:rsid w:val="006F1C1F"/>
    <w:rsid w:val="006F1DA6"/>
    <w:rsid w:val="006F318D"/>
    <w:rsid w:val="006F5192"/>
    <w:rsid w:val="0070092E"/>
    <w:rsid w:val="00700F02"/>
    <w:rsid w:val="007020A8"/>
    <w:rsid w:val="00702B0F"/>
    <w:rsid w:val="00702C48"/>
    <w:rsid w:val="00702EC6"/>
    <w:rsid w:val="00702ED8"/>
    <w:rsid w:val="00704A1F"/>
    <w:rsid w:val="00705C87"/>
    <w:rsid w:val="00705CDA"/>
    <w:rsid w:val="00707C90"/>
    <w:rsid w:val="00710ED7"/>
    <w:rsid w:val="00711884"/>
    <w:rsid w:val="007131F1"/>
    <w:rsid w:val="00714353"/>
    <w:rsid w:val="007145C0"/>
    <w:rsid w:val="00716F89"/>
    <w:rsid w:val="00720272"/>
    <w:rsid w:val="00720ED0"/>
    <w:rsid w:val="00721A4A"/>
    <w:rsid w:val="00723610"/>
    <w:rsid w:val="0072431E"/>
    <w:rsid w:val="007254C6"/>
    <w:rsid w:val="00725712"/>
    <w:rsid w:val="00726256"/>
    <w:rsid w:val="00726423"/>
    <w:rsid w:val="0073047E"/>
    <w:rsid w:val="007311D7"/>
    <w:rsid w:val="007320E4"/>
    <w:rsid w:val="007328AF"/>
    <w:rsid w:val="00735672"/>
    <w:rsid w:val="00735D4F"/>
    <w:rsid w:val="0074203A"/>
    <w:rsid w:val="00743A5E"/>
    <w:rsid w:val="007443A9"/>
    <w:rsid w:val="00744796"/>
    <w:rsid w:val="007447BD"/>
    <w:rsid w:val="00745906"/>
    <w:rsid w:val="00745D00"/>
    <w:rsid w:val="007464AB"/>
    <w:rsid w:val="00747088"/>
    <w:rsid w:val="0075194B"/>
    <w:rsid w:val="00752724"/>
    <w:rsid w:val="00752B48"/>
    <w:rsid w:val="0075506B"/>
    <w:rsid w:val="00757B17"/>
    <w:rsid w:val="00757B40"/>
    <w:rsid w:val="00760092"/>
    <w:rsid w:val="007607DE"/>
    <w:rsid w:val="007608A4"/>
    <w:rsid w:val="00760C60"/>
    <w:rsid w:val="00760DEC"/>
    <w:rsid w:val="00760FCD"/>
    <w:rsid w:val="007613A4"/>
    <w:rsid w:val="007614C1"/>
    <w:rsid w:val="00761934"/>
    <w:rsid w:val="00761ABD"/>
    <w:rsid w:val="00762D1B"/>
    <w:rsid w:val="00762E6B"/>
    <w:rsid w:val="00764EA4"/>
    <w:rsid w:val="00767F09"/>
    <w:rsid w:val="00770552"/>
    <w:rsid w:val="00770DF2"/>
    <w:rsid w:val="00772487"/>
    <w:rsid w:val="007735B6"/>
    <w:rsid w:val="00773F9F"/>
    <w:rsid w:val="00775107"/>
    <w:rsid w:val="00776DF1"/>
    <w:rsid w:val="0077743D"/>
    <w:rsid w:val="00777E40"/>
    <w:rsid w:val="00780143"/>
    <w:rsid w:val="00781029"/>
    <w:rsid w:val="007815E1"/>
    <w:rsid w:val="00783D7E"/>
    <w:rsid w:val="00785C66"/>
    <w:rsid w:val="00785DDF"/>
    <w:rsid w:val="00787B67"/>
    <w:rsid w:val="00787D3C"/>
    <w:rsid w:val="0079126A"/>
    <w:rsid w:val="00791466"/>
    <w:rsid w:val="0079218A"/>
    <w:rsid w:val="00792A28"/>
    <w:rsid w:val="00792E82"/>
    <w:rsid w:val="0079419D"/>
    <w:rsid w:val="00794BF4"/>
    <w:rsid w:val="00794C96"/>
    <w:rsid w:val="00795583"/>
    <w:rsid w:val="007962E1"/>
    <w:rsid w:val="00797ED5"/>
    <w:rsid w:val="007A1CEA"/>
    <w:rsid w:val="007A2299"/>
    <w:rsid w:val="007A5AA4"/>
    <w:rsid w:val="007A5ABC"/>
    <w:rsid w:val="007A7A63"/>
    <w:rsid w:val="007B0ABA"/>
    <w:rsid w:val="007B0EEF"/>
    <w:rsid w:val="007B1443"/>
    <w:rsid w:val="007B1A86"/>
    <w:rsid w:val="007B28B6"/>
    <w:rsid w:val="007B2B82"/>
    <w:rsid w:val="007B30D3"/>
    <w:rsid w:val="007B4CC0"/>
    <w:rsid w:val="007B6D63"/>
    <w:rsid w:val="007B72E4"/>
    <w:rsid w:val="007C0217"/>
    <w:rsid w:val="007C0934"/>
    <w:rsid w:val="007C0D3D"/>
    <w:rsid w:val="007C4299"/>
    <w:rsid w:val="007C569A"/>
    <w:rsid w:val="007C738D"/>
    <w:rsid w:val="007D12E1"/>
    <w:rsid w:val="007D6510"/>
    <w:rsid w:val="007D6536"/>
    <w:rsid w:val="007D7BA5"/>
    <w:rsid w:val="007E23BD"/>
    <w:rsid w:val="007E2EA9"/>
    <w:rsid w:val="007E37D3"/>
    <w:rsid w:val="007E4040"/>
    <w:rsid w:val="007E4421"/>
    <w:rsid w:val="007E4468"/>
    <w:rsid w:val="007E4882"/>
    <w:rsid w:val="007E513B"/>
    <w:rsid w:val="007E748A"/>
    <w:rsid w:val="007E75BB"/>
    <w:rsid w:val="007F001F"/>
    <w:rsid w:val="007F0532"/>
    <w:rsid w:val="007F0661"/>
    <w:rsid w:val="007F070F"/>
    <w:rsid w:val="007F1FE9"/>
    <w:rsid w:val="007F3B80"/>
    <w:rsid w:val="007F3FC3"/>
    <w:rsid w:val="007F4FF2"/>
    <w:rsid w:val="007F5B70"/>
    <w:rsid w:val="007F6518"/>
    <w:rsid w:val="007F79C0"/>
    <w:rsid w:val="00800604"/>
    <w:rsid w:val="00800F86"/>
    <w:rsid w:val="0080194C"/>
    <w:rsid w:val="00801E63"/>
    <w:rsid w:val="008026D4"/>
    <w:rsid w:val="00802BC2"/>
    <w:rsid w:val="0080314C"/>
    <w:rsid w:val="00804DB6"/>
    <w:rsid w:val="00805132"/>
    <w:rsid w:val="008064F9"/>
    <w:rsid w:val="008065C3"/>
    <w:rsid w:val="0080727E"/>
    <w:rsid w:val="00810BC2"/>
    <w:rsid w:val="0081100C"/>
    <w:rsid w:val="00811B32"/>
    <w:rsid w:val="00812324"/>
    <w:rsid w:val="0081432C"/>
    <w:rsid w:val="00814599"/>
    <w:rsid w:val="008156B8"/>
    <w:rsid w:val="00815A4B"/>
    <w:rsid w:val="00816DA1"/>
    <w:rsid w:val="0081724E"/>
    <w:rsid w:val="00817AF3"/>
    <w:rsid w:val="00822DF4"/>
    <w:rsid w:val="008234B8"/>
    <w:rsid w:val="0082370A"/>
    <w:rsid w:val="0082379B"/>
    <w:rsid w:val="00823C8C"/>
    <w:rsid w:val="00823D6E"/>
    <w:rsid w:val="00826C6B"/>
    <w:rsid w:val="008321D5"/>
    <w:rsid w:val="00832330"/>
    <w:rsid w:val="00833B43"/>
    <w:rsid w:val="0083464D"/>
    <w:rsid w:val="00836328"/>
    <w:rsid w:val="00836A4D"/>
    <w:rsid w:val="008379B7"/>
    <w:rsid w:val="00842F73"/>
    <w:rsid w:val="00844286"/>
    <w:rsid w:val="00844D6F"/>
    <w:rsid w:val="008458D2"/>
    <w:rsid w:val="008508C7"/>
    <w:rsid w:val="00850AD9"/>
    <w:rsid w:val="00851951"/>
    <w:rsid w:val="00851D48"/>
    <w:rsid w:val="00852143"/>
    <w:rsid w:val="008537DC"/>
    <w:rsid w:val="00853AFA"/>
    <w:rsid w:val="00854B21"/>
    <w:rsid w:val="0085547C"/>
    <w:rsid w:val="00855638"/>
    <w:rsid w:val="00860A02"/>
    <w:rsid w:val="00862E7B"/>
    <w:rsid w:val="0086325B"/>
    <w:rsid w:val="00864462"/>
    <w:rsid w:val="00864F67"/>
    <w:rsid w:val="008651A3"/>
    <w:rsid w:val="00865FD4"/>
    <w:rsid w:val="00866253"/>
    <w:rsid w:val="0086788C"/>
    <w:rsid w:val="00870249"/>
    <w:rsid w:val="00870C06"/>
    <w:rsid w:val="00871325"/>
    <w:rsid w:val="00871D96"/>
    <w:rsid w:val="008736CD"/>
    <w:rsid w:val="00873B5F"/>
    <w:rsid w:val="00873E5D"/>
    <w:rsid w:val="0087410B"/>
    <w:rsid w:val="008746CC"/>
    <w:rsid w:val="008752C8"/>
    <w:rsid w:val="008753FE"/>
    <w:rsid w:val="008759C2"/>
    <w:rsid w:val="00875CA9"/>
    <w:rsid w:val="00875D7F"/>
    <w:rsid w:val="00876902"/>
    <w:rsid w:val="00876B49"/>
    <w:rsid w:val="00876BB3"/>
    <w:rsid w:val="008805E3"/>
    <w:rsid w:val="00881266"/>
    <w:rsid w:val="00883EB9"/>
    <w:rsid w:val="00885B80"/>
    <w:rsid w:val="00885FDF"/>
    <w:rsid w:val="008866AA"/>
    <w:rsid w:val="00892E85"/>
    <w:rsid w:val="00893455"/>
    <w:rsid w:val="00895358"/>
    <w:rsid w:val="008961C4"/>
    <w:rsid w:val="00896920"/>
    <w:rsid w:val="00896E59"/>
    <w:rsid w:val="008A07A4"/>
    <w:rsid w:val="008A0828"/>
    <w:rsid w:val="008A0D57"/>
    <w:rsid w:val="008A190C"/>
    <w:rsid w:val="008A2F72"/>
    <w:rsid w:val="008A3DF5"/>
    <w:rsid w:val="008A40EB"/>
    <w:rsid w:val="008A46CD"/>
    <w:rsid w:val="008A478D"/>
    <w:rsid w:val="008A5BB3"/>
    <w:rsid w:val="008A61D6"/>
    <w:rsid w:val="008B04D6"/>
    <w:rsid w:val="008B0E32"/>
    <w:rsid w:val="008B1BC3"/>
    <w:rsid w:val="008B2FF0"/>
    <w:rsid w:val="008B415B"/>
    <w:rsid w:val="008B7685"/>
    <w:rsid w:val="008C10A9"/>
    <w:rsid w:val="008C1BEC"/>
    <w:rsid w:val="008C2875"/>
    <w:rsid w:val="008C4011"/>
    <w:rsid w:val="008C443E"/>
    <w:rsid w:val="008C6B9B"/>
    <w:rsid w:val="008C7473"/>
    <w:rsid w:val="008D2932"/>
    <w:rsid w:val="008D4932"/>
    <w:rsid w:val="008D5DC4"/>
    <w:rsid w:val="008D7E86"/>
    <w:rsid w:val="008E130B"/>
    <w:rsid w:val="008E141E"/>
    <w:rsid w:val="008E17B4"/>
    <w:rsid w:val="008E18A1"/>
    <w:rsid w:val="008E275F"/>
    <w:rsid w:val="008E319E"/>
    <w:rsid w:val="008E320A"/>
    <w:rsid w:val="008E3B9A"/>
    <w:rsid w:val="008E45D7"/>
    <w:rsid w:val="008E47D6"/>
    <w:rsid w:val="008E4F76"/>
    <w:rsid w:val="008E5601"/>
    <w:rsid w:val="008F2F07"/>
    <w:rsid w:val="008F2FB2"/>
    <w:rsid w:val="008F37BD"/>
    <w:rsid w:val="008F3D9D"/>
    <w:rsid w:val="008F4EA2"/>
    <w:rsid w:val="008F5B87"/>
    <w:rsid w:val="0090083B"/>
    <w:rsid w:val="00900D32"/>
    <w:rsid w:val="009035EC"/>
    <w:rsid w:val="009043C3"/>
    <w:rsid w:val="00904FBB"/>
    <w:rsid w:val="00906505"/>
    <w:rsid w:val="009101E1"/>
    <w:rsid w:val="00910A2D"/>
    <w:rsid w:val="00910A75"/>
    <w:rsid w:val="00913F25"/>
    <w:rsid w:val="00915850"/>
    <w:rsid w:val="00915AEC"/>
    <w:rsid w:val="009175DC"/>
    <w:rsid w:val="00920BC7"/>
    <w:rsid w:val="00921649"/>
    <w:rsid w:val="00921B80"/>
    <w:rsid w:val="00921DAC"/>
    <w:rsid w:val="009256D6"/>
    <w:rsid w:val="00925F3E"/>
    <w:rsid w:val="0092686C"/>
    <w:rsid w:val="00930689"/>
    <w:rsid w:val="00930D86"/>
    <w:rsid w:val="00931776"/>
    <w:rsid w:val="009334FD"/>
    <w:rsid w:val="009337BD"/>
    <w:rsid w:val="00933D4A"/>
    <w:rsid w:val="0093456A"/>
    <w:rsid w:val="00934A93"/>
    <w:rsid w:val="0093506F"/>
    <w:rsid w:val="00935562"/>
    <w:rsid w:val="0093695D"/>
    <w:rsid w:val="00936C06"/>
    <w:rsid w:val="009376C0"/>
    <w:rsid w:val="009403B1"/>
    <w:rsid w:val="009414C6"/>
    <w:rsid w:val="009434FF"/>
    <w:rsid w:val="009439EF"/>
    <w:rsid w:val="009444E7"/>
    <w:rsid w:val="009458A1"/>
    <w:rsid w:val="00946991"/>
    <w:rsid w:val="00947B4E"/>
    <w:rsid w:val="00950EB7"/>
    <w:rsid w:val="0095190D"/>
    <w:rsid w:val="009522E3"/>
    <w:rsid w:val="0095557D"/>
    <w:rsid w:val="00955CCA"/>
    <w:rsid w:val="009604DE"/>
    <w:rsid w:val="00961E43"/>
    <w:rsid w:val="00962D20"/>
    <w:rsid w:val="009634C3"/>
    <w:rsid w:val="009637E2"/>
    <w:rsid w:val="0096439B"/>
    <w:rsid w:val="00965470"/>
    <w:rsid w:val="00966554"/>
    <w:rsid w:val="0096778D"/>
    <w:rsid w:val="0097094E"/>
    <w:rsid w:val="00970A14"/>
    <w:rsid w:val="00970BD9"/>
    <w:rsid w:val="009714CF"/>
    <w:rsid w:val="0097391A"/>
    <w:rsid w:val="009741B0"/>
    <w:rsid w:val="0097452F"/>
    <w:rsid w:val="00975AF5"/>
    <w:rsid w:val="00976A85"/>
    <w:rsid w:val="00977E2D"/>
    <w:rsid w:val="00980F59"/>
    <w:rsid w:val="009832EA"/>
    <w:rsid w:val="00985A1E"/>
    <w:rsid w:val="00986E21"/>
    <w:rsid w:val="00990B1C"/>
    <w:rsid w:val="009911F1"/>
    <w:rsid w:val="00991721"/>
    <w:rsid w:val="00991DF7"/>
    <w:rsid w:val="00992120"/>
    <w:rsid w:val="00993403"/>
    <w:rsid w:val="00994326"/>
    <w:rsid w:val="00994552"/>
    <w:rsid w:val="009957D6"/>
    <w:rsid w:val="00995B64"/>
    <w:rsid w:val="00996D5A"/>
    <w:rsid w:val="009A0DE1"/>
    <w:rsid w:val="009A0EBC"/>
    <w:rsid w:val="009A1AC1"/>
    <w:rsid w:val="009A1EEA"/>
    <w:rsid w:val="009A2221"/>
    <w:rsid w:val="009A41EF"/>
    <w:rsid w:val="009A5073"/>
    <w:rsid w:val="009A69A4"/>
    <w:rsid w:val="009B1401"/>
    <w:rsid w:val="009B172B"/>
    <w:rsid w:val="009B1BB9"/>
    <w:rsid w:val="009B2CE3"/>
    <w:rsid w:val="009B3264"/>
    <w:rsid w:val="009B400F"/>
    <w:rsid w:val="009B41DA"/>
    <w:rsid w:val="009B4E47"/>
    <w:rsid w:val="009B5089"/>
    <w:rsid w:val="009B6321"/>
    <w:rsid w:val="009B70F8"/>
    <w:rsid w:val="009B7CCC"/>
    <w:rsid w:val="009B7E42"/>
    <w:rsid w:val="009C091D"/>
    <w:rsid w:val="009C0BB4"/>
    <w:rsid w:val="009C162F"/>
    <w:rsid w:val="009C188C"/>
    <w:rsid w:val="009C21A0"/>
    <w:rsid w:val="009C2B7A"/>
    <w:rsid w:val="009C3CE1"/>
    <w:rsid w:val="009C41DC"/>
    <w:rsid w:val="009C7CCC"/>
    <w:rsid w:val="009C7EF9"/>
    <w:rsid w:val="009D008C"/>
    <w:rsid w:val="009D04BB"/>
    <w:rsid w:val="009D056D"/>
    <w:rsid w:val="009D1D38"/>
    <w:rsid w:val="009D302C"/>
    <w:rsid w:val="009D4BEB"/>
    <w:rsid w:val="009D577C"/>
    <w:rsid w:val="009D6138"/>
    <w:rsid w:val="009E0659"/>
    <w:rsid w:val="009E11D9"/>
    <w:rsid w:val="009E1A5C"/>
    <w:rsid w:val="009E221B"/>
    <w:rsid w:val="009E2CC9"/>
    <w:rsid w:val="009E33CE"/>
    <w:rsid w:val="009E3BDB"/>
    <w:rsid w:val="009E3C51"/>
    <w:rsid w:val="009E46C6"/>
    <w:rsid w:val="009E578C"/>
    <w:rsid w:val="009E6275"/>
    <w:rsid w:val="009E6471"/>
    <w:rsid w:val="009E748F"/>
    <w:rsid w:val="009F022C"/>
    <w:rsid w:val="009F0EFC"/>
    <w:rsid w:val="009F19EB"/>
    <w:rsid w:val="009F1EF9"/>
    <w:rsid w:val="009F2148"/>
    <w:rsid w:val="009F2B6C"/>
    <w:rsid w:val="009F332D"/>
    <w:rsid w:val="009F409F"/>
    <w:rsid w:val="009F4C11"/>
    <w:rsid w:val="009F4E13"/>
    <w:rsid w:val="009F6033"/>
    <w:rsid w:val="009F753D"/>
    <w:rsid w:val="00A00398"/>
    <w:rsid w:val="00A00CF0"/>
    <w:rsid w:val="00A0168C"/>
    <w:rsid w:val="00A026DC"/>
    <w:rsid w:val="00A04C82"/>
    <w:rsid w:val="00A05383"/>
    <w:rsid w:val="00A06690"/>
    <w:rsid w:val="00A06A79"/>
    <w:rsid w:val="00A070DA"/>
    <w:rsid w:val="00A076BA"/>
    <w:rsid w:val="00A07AE0"/>
    <w:rsid w:val="00A109E6"/>
    <w:rsid w:val="00A111EC"/>
    <w:rsid w:val="00A11C04"/>
    <w:rsid w:val="00A134DA"/>
    <w:rsid w:val="00A150F3"/>
    <w:rsid w:val="00A179EB"/>
    <w:rsid w:val="00A207ED"/>
    <w:rsid w:val="00A21F10"/>
    <w:rsid w:val="00A2393F"/>
    <w:rsid w:val="00A260F9"/>
    <w:rsid w:val="00A26616"/>
    <w:rsid w:val="00A3184B"/>
    <w:rsid w:val="00A31A85"/>
    <w:rsid w:val="00A31B11"/>
    <w:rsid w:val="00A32453"/>
    <w:rsid w:val="00A3535A"/>
    <w:rsid w:val="00A4015A"/>
    <w:rsid w:val="00A40670"/>
    <w:rsid w:val="00A41476"/>
    <w:rsid w:val="00A41AE4"/>
    <w:rsid w:val="00A43677"/>
    <w:rsid w:val="00A4473C"/>
    <w:rsid w:val="00A44850"/>
    <w:rsid w:val="00A44859"/>
    <w:rsid w:val="00A45F61"/>
    <w:rsid w:val="00A46A06"/>
    <w:rsid w:val="00A47BF9"/>
    <w:rsid w:val="00A53728"/>
    <w:rsid w:val="00A53758"/>
    <w:rsid w:val="00A54937"/>
    <w:rsid w:val="00A5583B"/>
    <w:rsid w:val="00A56139"/>
    <w:rsid w:val="00A56345"/>
    <w:rsid w:val="00A563EF"/>
    <w:rsid w:val="00A57BC2"/>
    <w:rsid w:val="00A601FC"/>
    <w:rsid w:val="00A6576F"/>
    <w:rsid w:val="00A65AB6"/>
    <w:rsid w:val="00A72B24"/>
    <w:rsid w:val="00A74DB9"/>
    <w:rsid w:val="00A75629"/>
    <w:rsid w:val="00A769DE"/>
    <w:rsid w:val="00A77BE5"/>
    <w:rsid w:val="00A77D80"/>
    <w:rsid w:val="00A8013C"/>
    <w:rsid w:val="00A8160E"/>
    <w:rsid w:val="00A82C85"/>
    <w:rsid w:val="00A83F46"/>
    <w:rsid w:val="00A8470A"/>
    <w:rsid w:val="00A85009"/>
    <w:rsid w:val="00A8595C"/>
    <w:rsid w:val="00A85FFA"/>
    <w:rsid w:val="00A87CE7"/>
    <w:rsid w:val="00A9028B"/>
    <w:rsid w:val="00A92488"/>
    <w:rsid w:val="00A92643"/>
    <w:rsid w:val="00A93454"/>
    <w:rsid w:val="00A934EC"/>
    <w:rsid w:val="00A943A5"/>
    <w:rsid w:val="00A949CF"/>
    <w:rsid w:val="00A94AB4"/>
    <w:rsid w:val="00A96983"/>
    <w:rsid w:val="00A976B5"/>
    <w:rsid w:val="00A97944"/>
    <w:rsid w:val="00A97CC0"/>
    <w:rsid w:val="00AA0708"/>
    <w:rsid w:val="00AA1458"/>
    <w:rsid w:val="00AA1DDD"/>
    <w:rsid w:val="00AA3E57"/>
    <w:rsid w:val="00AA4DDB"/>
    <w:rsid w:val="00AA4EDB"/>
    <w:rsid w:val="00AA5D63"/>
    <w:rsid w:val="00AA66D3"/>
    <w:rsid w:val="00AA6792"/>
    <w:rsid w:val="00AA7283"/>
    <w:rsid w:val="00AB2DDA"/>
    <w:rsid w:val="00AB5DA1"/>
    <w:rsid w:val="00AB6131"/>
    <w:rsid w:val="00AC2E14"/>
    <w:rsid w:val="00AC3695"/>
    <w:rsid w:val="00AC4002"/>
    <w:rsid w:val="00AC73CE"/>
    <w:rsid w:val="00AC76DA"/>
    <w:rsid w:val="00AD1538"/>
    <w:rsid w:val="00AD18D5"/>
    <w:rsid w:val="00AD202F"/>
    <w:rsid w:val="00AD31D9"/>
    <w:rsid w:val="00AD4E71"/>
    <w:rsid w:val="00AD774A"/>
    <w:rsid w:val="00AD7D11"/>
    <w:rsid w:val="00AE0373"/>
    <w:rsid w:val="00AE0C8B"/>
    <w:rsid w:val="00AE1AD6"/>
    <w:rsid w:val="00AE1B04"/>
    <w:rsid w:val="00AE3BC4"/>
    <w:rsid w:val="00AE3BF2"/>
    <w:rsid w:val="00AE5EBE"/>
    <w:rsid w:val="00AE68E5"/>
    <w:rsid w:val="00AE74EB"/>
    <w:rsid w:val="00AE797D"/>
    <w:rsid w:val="00AE7A0A"/>
    <w:rsid w:val="00AF007C"/>
    <w:rsid w:val="00AF1CAD"/>
    <w:rsid w:val="00AF2C40"/>
    <w:rsid w:val="00AF3A02"/>
    <w:rsid w:val="00AF4A00"/>
    <w:rsid w:val="00AF4B66"/>
    <w:rsid w:val="00AF7022"/>
    <w:rsid w:val="00B0009B"/>
    <w:rsid w:val="00B02022"/>
    <w:rsid w:val="00B02BE6"/>
    <w:rsid w:val="00B03333"/>
    <w:rsid w:val="00B03FFA"/>
    <w:rsid w:val="00B04CA7"/>
    <w:rsid w:val="00B05865"/>
    <w:rsid w:val="00B062B3"/>
    <w:rsid w:val="00B07789"/>
    <w:rsid w:val="00B07D1A"/>
    <w:rsid w:val="00B103F0"/>
    <w:rsid w:val="00B10C69"/>
    <w:rsid w:val="00B1212D"/>
    <w:rsid w:val="00B15130"/>
    <w:rsid w:val="00B155B9"/>
    <w:rsid w:val="00B20796"/>
    <w:rsid w:val="00B21764"/>
    <w:rsid w:val="00B23619"/>
    <w:rsid w:val="00B23841"/>
    <w:rsid w:val="00B24C26"/>
    <w:rsid w:val="00B27400"/>
    <w:rsid w:val="00B3072F"/>
    <w:rsid w:val="00B30A92"/>
    <w:rsid w:val="00B334DD"/>
    <w:rsid w:val="00B33657"/>
    <w:rsid w:val="00B33A42"/>
    <w:rsid w:val="00B34621"/>
    <w:rsid w:val="00B3544F"/>
    <w:rsid w:val="00B368D3"/>
    <w:rsid w:val="00B36DF4"/>
    <w:rsid w:val="00B37128"/>
    <w:rsid w:val="00B40BEA"/>
    <w:rsid w:val="00B40C64"/>
    <w:rsid w:val="00B47A74"/>
    <w:rsid w:val="00B511C3"/>
    <w:rsid w:val="00B52880"/>
    <w:rsid w:val="00B54D00"/>
    <w:rsid w:val="00B564CC"/>
    <w:rsid w:val="00B57943"/>
    <w:rsid w:val="00B60209"/>
    <w:rsid w:val="00B605C6"/>
    <w:rsid w:val="00B60DDB"/>
    <w:rsid w:val="00B61C7C"/>
    <w:rsid w:val="00B6235D"/>
    <w:rsid w:val="00B6340D"/>
    <w:rsid w:val="00B661AE"/>
    <w:rsid w:val="00B661D6"/>
    <w:rsid w:val="00B66463"/>
    <w:rsid w:val="00B70BA2"/>
    <w:rsid w:val="00B7198B"/>
    <w:rsid w:val="00B728FF"/>
    <w:rsid w:val="00B73100"/>
    <w:rsid w:val="00B73748"/>
    <w:rsid w:val="00B73D24"/>
    <w:rsid w:val="00B756F8"/>
    <w:rsid w:val="00B75733"/>
    <w:rsid w:val="00B75ED3"/>
    <w:rsid w:val="00B76165"/>
    <w:rsid w:val="00B76452"/>
    <w:rsid w:val="00B76A9B"/>
    <w:rsid w:val="00B770DB"/>
    <w:rsid w:val="00B81EA0"/>
    <w:rsid w:val="00B82E53"/>
    <w:rsid w:val="00B832DB"/>
    <w:rsid w:val="00B83987"/>
    <w:rsid w:val="00B84822"/>
    <w:rsid w:val="00B849EF"/>
    <w:rsid w:val="00B85462"/>
    <w:rsid w:val="00B877B8"/>
    <w:rsid w:val="00B8785C"/>
    <w:rsid w:val="00B92325"/>
    <w:rsid w:val="00B94EBC"/>
    <w:rsid w:val="00B95D8A"/>
    <w:rsid w:val="00B96E51"/>
    <w:rsid w:val="00B97FD4"/>
    <w:rsid w:val="00BA05F1"/>
    <w:rsid w:val="00BA075B"/>
    <w:rsid w:val="00BA0A56"/>
    <w:rsid w:val="00BA2E5D"/>
    <w:rsid w:val="00BA3E54"/>
    <w:rsid w:val="00BA5457"/>
    <w:rsid w:val="00BA5877"/>
    <w:rsid w:val="00BA75FF"/>
    <w:rsid w:val="00BB09A7"/>
    <w:rsid w:val="00BB0F02"/>
    <w:rsid w:val="00BB266F"/>
    <w:rsid w:val="00BB2DE2"/>
    <w:rsid w:val="00BB3627"/>
    <w:rsid w:val="00BB415F"/>
    <w:rsid w:val="00BB427E"/>
    <w:rsid w:val="00BB5F1E"/>
    <w:rsid w:val="00BC2A36"/>
    <w:rsid w:val="00BC329B"/>
    <w:rsid w:val="00BC33A4"/>
    <w:rsid w:val="00BC3CAB"/>
    <w:rsid w:val="00BC516B"/>
    <w:rsid w:val="00BC5361"/>
    <w:rsid w:val="00BC7A7E"/>
    <w:rsid w:val="00BC7B2C"/>
    <w:rsid w:val="00BD083F"/>
    <w:rsid w:val="00BD344F"/>
    <w:rsid w:val="00BD37C5"/>
    <w:rsid w:val="00BD3E0E"/>
    <w:rsid w:val="00BD412E"/>
    <w:rsid w:val="00BD4FFB"/>
    <w:rsid w:val="00BD56A8"/>
    <w:rsid w:val="00BD5A22"/>
    <w:rsid w:val="00BD6B30"/>
    <w:rsid w:val="00BE1677"/>
    <w:rsid w:val="00BE2523"/>
    <w:rsid w:val="00BE488F"/>
    <w:rsid w:val="00BE4FFF"/>
    <w:rsid w:val="00BE6641"/>
    <w:rsid w:val="00BF090B"/>
    <w:rsid w:val="00BF4169"/>
    <w:rsid w:val="00BF6DEF"/>
    <w:rsid w:val="00C0053A"/>
    <w:rsid w:val="00C007D7"/>
    <w:rsid w:val="00C00D83"/>
    <w:rsid w:val="00C01E1D"/>
    <w:rsid w:val="00C02D43"/>
    <w:rsid w:val="00C037B8"/>
    <w:rsid w:val="00C043E0"/>
    <w:rsid w:val="00C0478B"/>
    <w:rsid w:val="00C056B7"/>
    <w:rsid w:val="00C061EE"/>
    <w:rsid w:val="00C06564"/>
    <w:rsid w:val="00C06A2E"/>
    <w:rsid w:val="00C07036"/>
    <w:rsid w:val="00C11043"/>
    <w:rsid w:val="00C12016"/>
    <w:rsid w:val="00C12695"/>
    <w:rsid w:val="00C138CA"/>
    <w:rsid w:val="00C14316"/>
    <w:rsid w:val="00C14992"/>
    <w:rsid w:val="00C1558B"/>
    <w:rsid w:val="00C1734E"/>
    <w:rsid w:val="00C20D96"/>
    <w:rsid w:val="00C2131D"/>
    <w:rsid w:val="00C233BE"/>
    <w:rsid w:val="00C24BC9"/>
    <w:rsid w:val="00C24E6E"/>
    <w:rsid w:val="00C265EF"/>
    <w:rsid w:val="00C268D1"/>
    <w:rsid w:val="00C26CD3"/>
    <w:rsid w:val="00C27083"/>
    <w:rsid w:val="00C332BC"/>
    <w:rsid w:val="00C33D2E"/>
    <w:rsid w:val="00C347CF"/>
    <w:rsid w:val="00C35146"/>
    <w:rsid w:val="00C35819"/>
    <w:rsid w:val="00C40655"/>
    <w:rsid w:val="00C4325E"/>
    <w:rsid w:val="00C43457"/>
    <w:rsid w:val="00C45E3C"/>
    <w:rsid w:val="00C46142"/>
    <w:rsid w:val="00C4685D"/>
    <w:rsid w:val="00C50375"/>
    <w:rsid w:val="00C518C9"/>
    <w:rsid w:val="00C51E06"/>
    <w:rsid w:val="00C535A5"/>
    <w:rsid w:val="00C55F4D"/>
    <w:rsid w:val="00C56A6B"/>
    <w:rsid w:val="00C57BFF"/>
    <w:rsid w:val="00C602EF"/>
    <w:rsid w:val="00C60337"/>
    <w:rsid w:val="00C6163E"/>
    <w:rsid w:val="00C6170E"/>
    <w:rsid w:val="00C61A31"/>
    <w:rsid w:val="00C61E5B"/>
    <w:rsid w:val="00C6335A"/>
    <w:rsid w:val="00C64A62"/>
    <w:rsid w:val="00C65D56"/>
    <w:rsid w:val="00C65FD8"/>
    <w:rsid w:val="00C668F3"/>
    <w:rsid w:val="00C670BF"/>
    <w:rsid w:val="00C676A2"/>
    <w:rsid w:val="00C71748"/>
    <w:rsid w:val="00C72BD8"/>
    <w:rsid w:val="00C73338"/>
    <w:rsid w:val="00C75C22"/>
    <w:rsid w:val="00C76E14"/>
    <w:rsid w:val="00C80A26"/>
    <w:rsid w:val="00C80D28"/>
    <w:rsid w:val="00C81756"/>
    <w:rsid w:val="00C828A6"/>
    <w:rsid w:val="00C8478E"/>
    <w:rsid w:val="00C84EBB"/>
    <w:rsid w:val="00C85F22"/>
    <w:rsid w:val="00C86770"/>
    <w:rsid w:val="00C87B60"/>
    <w:rsid w:val="00C90401"/>
    <w:rsid w:val="00C91415"/>
    <w:rsid w:val="00C92F2B"/>
    <w:rsid w:val="00C9333D"/>
    <w:rsid w:val="00C93B02"/>
    <w:rsid w:val="00C94DD0"/>
    <w:rsid w:val="00C95B85"/>
    <w:rsid w:val="00C95E7B"/>
    <w:rsid w:val="00CA1548"/>
    <w:rsid w:val="00CA1920"/>
    <w:rsid w:val="00CA3292"/>
    <w:rsid w:val="00CA3AC5"/>
    <w:rsid w:val="00CA568F"/>
    <w:rsid w:val="00CA7C47"/>
    <w:rsid w:val="00CB0573"/>
    <w:rsid w:val="00CB19FB"/>
    <w:rsid w:val="00CB3479"/>
    <w:rsid w:val="00CB45A0"/>
    <w:rsid w:val="00CB6B59"/>
    <w:rsid w:val="00CC05A7"/>
    <w:rsid w:val="00CC0B22"/>
    <w:rsid w:val="00CC2A53"/>
    <w:rsid w:val="00CC2E40"/>
    <w:rsid w:val="00CD01C6"/>
    <w:rsid w:val="00CD07F3"/>
    <w:rsid w:val="00CD1C1F"/>
    <w:rsid w:val="00CD384A"/>
    <w:rsid w:val="00CD4CD7"/>
    <w:rsid w:val="00CD4E82"/>
    <w:rsid w:val="00CE045F"/>
    <w:rsid w:val="00CE1F55"/>
    <w:rsid w:val="00CE2260"/>
    <w:rsid w:val="00CE26D9"/>
    <w:rsid w:val="00CE4178"/>
    <w:rsid w:val="00CE6E23"/>
    <w:rsid w:val="00CF0184"/>
    <w:rsid w:val="00CF01E6"/>
    <w:rsid w:val="00CF2D50"/>
    <w:rsid w:val="00CF3677"/>
    <w:rsid w:val="00CF4B33"/>
    <w:rsid w:val="00CF4E34"/>
    <w:rsid w:val="00D00327"/>
    <w:rsid w:val="00D01673"/>
    <w:rsid w:val="00D0231E"/>
    <w:rsid w:val="00D0444F"/>
    <w:rsid w:val="00D045DA"/>
    <w:rsid w:val="00D0480C"/>
    <w:rsid w:val="00D0503E"/>
    <w:rsid w:val="00D051BA"/>
    <w:rsid w:val="00D05A68"/>
    <w:rsid w:val="00D05D57"/>
    <w:rsid w:val="00D06E8C"/>
    <w:rsid w:val="00D07140"/>
    <w:rsid w:val="00D11975"/>
    <w:rsid w:val="00D12B9D"/>
    <w:rsid w:val="00D130E2"/>
    <w:rsid w:val="00D1401A"/>
    <w:rsid w:val="00D16D45"/>
    <w:rsid w:val="00D17235"/>
    <w:rsid w:val="00D17B8D"/>
    <w:rsid w:val="00D205A8"/>
    <w:rsid w:val="00D24EB7"/>
    <w:rsid w:val="00D25A31"/>
    <w:rsid w:val="00D26724"/>
    <w:rsid w:val="00D32ED6"/>
    <w:rsid w:val="00D333AD"/>
    <w:rsid w:val="00D339AA"/>
    <w:rsid w:val="00D34119"/>
    <w:rsid w:val="00D34CCA"/>
    <w:rsid w:val="00D35474"/>
    <w:rsid w:val="00D365BB"/>
    <w:rsid w:val="00D3777E"/>
    <w:rsid w:val="00D37923"/>
    <w:rsid w:val="00D412A4"/>
    <w:rsid w:val="00D433A8"/>
    <w:rsid w:val="00D435C2"/>
    <w:rsid w:val="00D4395D"/>
    <w:rsid w:val="00D44193"/>
    <w:rsid w:val="00D44320"/>
    <w:rsid w:val="00D44B3E"/>
    <w:rsid w:val="00D5158D"/>
    <w:rsid w:val="00D51681"/>
    <w:rsid w:val="00D53B4C"/>
    <w:rsid w:val="00D54042"/>
    <w:rsid w:val="00D540E2"/>
    <w:rsid w:val="00D5549E"/>
    <w:rsid w:val="00D560DA"/>
    <w:rsid w:val="00D562F0"/>
    <w:rsid w:val="00D56524"/>
    <w:rsid w:val="00D56B21"/>
    <w:rsid w:val="00D56BA5"/>
    <w:rsid w:val="00D57770"/>
    <w:rsid w:val="00D60FCC"/>
    <w:rsid w:val="00D61B10"/>
    <w:rsid w:val="00D64F50"/>
    <w:rsid w:val="00D65F57"/>
    <w:rsid w:val="00D66C6A"/>
    <w:rsid w:val="00D70434"/>
    <w:rsid w:val="00D7150F"/>
    <w:rsid w:val="00D72642"/>
    <w:rsid w:val="00D726AC"/>
    <w:rsid w:val="00D72A05"/>
    <w:rsid w:val="00D7510E"/>
    <w:rsid w:val="00D77320"/>
    <w:rsid w:val="00D810D8"/>
    <w:rsid w:val="00D817FA"/>
    <w:rsid w:val="00D82AF3"/>
    <w:rsid w:val="00D84BFC"/>
    <w:rsid w:val="00D85054"/>
    <w:rsid w:val="00D85F60"/>
    <w:rsid w:val="00D867DA"/>
    <w:rsid w:val="00D90E0A"/>
    <w:rsid w:val="00D92246"/>
    <w:rsid w:val="00D9275D"/>
    <w:rsid w:val="00D9398E"/>
    <w:rsid w:val="00D9510B"/>
    <w:rsid w:val="00D954FD"/>
    <w:rsid w:val="00D96190"/>
    <w:rsid w:val="00D96404"/>
    <w:rsid w:val="00D96D68"/>
    <w:rsid w:val="00D9724F"/>
    <w:rsid w:val="00DA114D"/>
    <w:rsid w:val="00DA1289"/>
    <w:rsid w:val="00DA5B54"/>
    <w:rsid w:val="00DA648D"/>
    <w:rsid w:val="00DA68AA"/>
    <w:rsid w:val="00DB0231"/>
    <w:rsid w:val="00DB083A"/>
    <w:rsid w:val="00DB19D0"/>
    <w:rsid w:val="00DB1DCB"/>
    <w:rsid w:val="00DB296C"/>
    <w:rsid w:val="00DB411C"/>
    <w:rsid w:val="00DB5E8A"/>
    <w:rsid w:val="00DB6F39"/>
    <w:rsid w:val="00DC2590"/>
    <w:rsid w:val="00DC3838"/>
    <w:rsid w:val="00DC4F60"/>
    <w:rsid w:val="00DC5CD0"/>
    <w:rsid w:val="00DC62CD"/>
    <w:rsid w:val="00DC64FC"/>
    <w:rsid w:val="00DC7A26"/>
    <w:rsid w:val="00DD0F18"/>
    <w:rsid w:val="00DD1914"/>
    <w:rsid w:val="00DD283F"/>
    <w:rsid w:val="00DD284E"/>
    <w:rsid w:val="00DD2DB8"/>
    <w:rsid w:val="00DD33D4"/>
    <w:rsid w:val="00DD3495"/>
    <w:rsid w:val="00DD3CA8"/>
    <w:rsid w:val="00DD3CC6"/>
    <w:rsid w:val="00DD6ED7"/>
    <w:rsid w:val="00DE0074"/>
    <w:rsid w:val="00DE07A3"/>
    <w:rsid w:val="00DE16B9"/>
    <w:rsid w:val="00DE44FD"/>
    <w:rsid w:val="00DE464B"/>
    <w:rsid w:val="00DE4EBC"/>
    <w:rsid w:val="00DE6363"/>
    <w:rsid w:val="00DE7F32"/>
    <w:rsid w:val="00DF1023"/>
    <w:rsid w:val="00DF2770"/>
    <w:rsid w:val="00DF3DBC"/>
    <w:rsid w:val="00DF4ABD"/>
    <w:rsid w:val="00DF5916"/>
    <w:rsid w:val="00DF60E7"/>
    <w:rsid w:val="00DF722A"/>
    <w:rsid w:val="00DF7C60"/>
    <w:rsid w:val="00E0059C"/>
    <w:rsid w:val="00E00CA5"/>
    <w:rsid w:val="00E02C84"/>
    <w:rsid w:val="00E04146"/>
    <w:rsid w:val="00E04F6F"/>
    <w:rsid w:val="00E0512F"/>
    <w:rsid w:val="00E0558E"/>
    <w:rsid w:val="00E1051D"/>
    <w:rsid w:val="00E10F7A"/>
    <w:rsid w:val="00E11634"/>
    <w:rsid w:val="00E118BF"/>
    <w:rsid w:val="00E11B4E"/>
    <w:rsid w:val="00E1223C"/>
    <w:rsid w:val="00E12465"/>
    <w:rsid w:val="00E124F1"/>
    <w:rsid w:val="00E128C4"/>
    <w:rsid w:val="00E12CCE"/>
    <w:rsid w:val="00E13E88"/>
    <w:rsid w:val="00E14117"/>
    <w:rsid w:val="00E14AA8"/>
    <w:rsid w:val="00E14B4C"/>
    <w:rsid w:val="00E15555"/>
    <w:rsid w:val="00E158AF"/>
    <w:rsid w:val="00E165F5"/>
    <w:rsid w:val="00E16B28"/>
    <w:rsid w:val="00E16F9D"/>
    <w:rsid w:val="00E21381"/>
    <w:rsid w:val="00E220C1"/>
    <w:rsid w:val="00E238F2"/>
    <w:rsid w:val="00E23A9F"/>
    <w:rsid w:val="00E24F21"/>
    <w:rsid w:val="00E264DD"/>
    <w:rsid w:val="00E27190"/>
    <w:rsid w:val="00E272D5"/>
    <w:rsid w:val="00E30CBA"/>
    <w:rsid w:val="00E327D6"/>
    <w:rsid w:val="00E32ACF"/>
    <w:rsid w:val="00E33D27"/>
    <w:rsid w:val="00E34C52"/>
    <w:rsid w:val="00E35DBB"/>
    <w:rsid w:val="00E36210"/>
    <w:rsid w:val="00E37242"/>
    <w:rsid w:val="00E40E40"/>
    <w:rsid w:val="00E40FE1"/>
    <w:rsid w:val="00E4102F"/>
    <w:rsid w:val="00E41AB8"/>
    <w:rsid w:val="00E423C9"/>
    <w:rsid w:val="00E4268B"/>
    <w:rsid w:val="00E42B36"/>
    <w:rsid w:val="00E45AAC"/>
    <w:rsid w:val="00E45AC2"/>
    <w:rsid w:val="00E46322"/>
    <w:rsid w:val="00E468E1"/>
    <w:rsid w:val="00E4691D"/>
    <w:rsid w:val="00E47E2C"/>
    <w:rsid w:val="00E51379"/>
    <w:rsid w:val="00E52EF1"/>
    <w:rsid w:val="00E5492C"/>
    <w:rsid w:val="00E54F45"/>
    <w:rsid w:val="00E5697D"/>
    <w:rsid w:val="00E56B80"/>
    <w:rsid w:val="00E56EEC"/>
    <w:rsid w:val="00E57E1C"/>
    <w:rsid w:val="00E57E80"/>
    <w:rsid w:val="00E6111F"/>
    <w:rsid w:val="00E61F69"/>
    <w:rsid w:val="00E6372E"/>
    <w:rsid w:val="00E64357"/>
    <w:rsid w:val="00E648C9"/>
    <w:rsid w:val="00E6582E"/>
    <w:rsid w:val="00E701FA"/>
    <w:rsid w:val="00E717DB"/>
    <w:rsid w:val="00E723B5"/>
    <w:rsid w:val="00E74C66"/>
    <w:rsid w:val="00E74D02"/>
    <w:rsid w:val="00E74D1F"/>
    <w:rsid w:val="00E777C4"/>
    <w:rsid w:val="00E77F7B"/>
    <w:rsid w:val="00E80589"/>
    <w:rsid w:val="00E830EB"/>
    <w:rsid w:val="00E84FC5"/>
    <w:rsid w:val="00E85212"/>
    <w:rsid w:val="00E855F2"/>
    <w:rsid w:val="00E8624C"/>
    <w:rsid w:val="00E86D97"/>
    <w:rsid w:val="00E907F8"/>
    <w:rsid w:val="00E90CC6"/>
    <w:rsid w:val="00E90D64"/>
    <w:rsid w:val="00E920C7"/>
    <w:rsid w:val="00E932C1"/>
    <w:rsid w:val="00E9364E"/>
    <w:rsid w:val="00E93EDB"/>
    <w:rsid w:val="00E942BB"/>
    <w:rsid w:val="00E95B96"/>
    <w:rsid w:val="00EA0D84"/>
    <w:rsid w:val="00EA1451"/>
    <w:rsid w:val="00EA37BD"/>
    <w:rsid w:val="00EA3B88"/>
    <w:rsid w:val="00EA545C"/>
    <w:rsid w:val="00EA55B8"/>
    <w:rsid w:val="00EA56B7"/>
    <w:rsid w:val="00EA62A6"/>
    <w:rsid w:val="00EA7F54"/>
    <w:rsid w:val="00EB0785"/>
    <w:rsid w:val="00EB14D9"/>
    <w:rsid w:val="00EB268E"/>
    <w:rsid w:val="00EB2D89"/>
    <w:rsid w:val="00EB3827"/>
    <w:rsid w:val="00EB57AC"/>
    <w:rsid w:val="00EB58A6"/>
    <w:rsid w:val="00EB6DD5"/>
    <w:rsid w:val="00EB7AF8"/>
    <w:rsid w:val="00EC16AC"/>
    <w:rsid w:val="00EC2BBF"/>
    <w:rsid w:val="00EC35DA"/>
    <w:rsid w:val="00EC4452"/>
    <w:rsid w:val="00EC4631"/>
    <w:rsid w:val="00EC5548"/>
    <w:rsid w:val="00EC77DB"/>
    <w:rsid w:val="00ED37B4"/>
    <w:rsid w:val="00ED4A55"/>
    <w:rsid w:val="00ED4AF6"/>
    <w:rsid w:val="00ED4CE1"/>
    <w:rsid w:val="00ED52C5"/>
    <w:rsid w:val="00ED6840"/>
    <w:rsid w:val="00ED7A36"/>
    <w:rsid w:val="00EE17DC"/>
    <w:rsid w:val="00EE256D"/>
    <w:rsid w:val="00EE3465"/>
    <w:rsid w:val="00EE355D"/>
    <w:rsid w:val="00EE38EF"/>
    <w:rsid w:val="00EE5123"/>
    <w:rsid w:val="00EE5DE6"/>
    <w:rsid w:val="00EE6960"/>
    <w:rsid w:val="00EF1BFD"/>
    <w:rsid w:val="00EF2018"/>
    <w:rsid w:val="00EF247E"/>
    <w:rsid w:val="00EF2926"/>
    <w:rsid w:val="00EF3C0F"/>
    <w:rsid w:val="00EF4140"/>
    <w:rsid w:val="00EF5D3A"/>
    <w:rsid w:val="00F00161"/>
    <w:rsid w:val="00F00881"/>
    <w:rsid w:val="00F025D9"/>
    <w:rsid w:val="00F03007"/>
    <w:rsid w:val="00F03309"/>
    <w:rsid w:val="00F03E17"/>
    <w:rsid w:val="00F05479"/>
    <w:rsid w:val="00F0764F"/>
    <w:rsid w:val="00F11877"/>
    <w:rsid w:val="00F20485"/>
    <w:rsid w:val="00F2070C"/>
    <w:rsid w:val="00F21A31"/>
    <w:rsid w:val="00F22DAD"/>
    <w:rsid w:val="00F233A7"/>
    <w:rsid w:val="00F24989"/>
    <w:rsid w:val="00F27098"/>
    <w:rsid w:val="00F27CC6"/>
    <w:rsid w:val="00F30A6C"/>
    <w:rsid w:val="00F31053"/>
    <w:rsid w:val="00F320F2"/>
    <w:rsid w:val="00F32DD6"/>
    <w:rsid w:val="00F33134"/>
    <w:rsid w:val="00F342DD"/>
    <w:rsid w:val="00F360C9"/>
    <w:rsid w:val="00F36164"/>
    <w:rsid w:val="00F37928"/>
    <w:rsid w:val="00F37C23"/>
    <w:rsid w:val="00F40A68"/>
    <w:rsid w:val="00F41E97"/>
    <w:rsid w:val="00F41E9F"/>
    <w:rsid w:val="00F41ED1"/>
    <w:rsid w:val="00F41F8B"/>
    <w:rsid w:val="00F43567"/>
    <w:rsid w:val="00F439B1"/>
    <w:rsid w:val="00F44FA8"/>
    <w:rsid w:val="00F45B7E"/>
    <w:rsid w:val="00F45CA6"/>
    <w:rsid w:val="00F471FE"/>
    <w:rsid w:val="00F47383"/>
    <w:rsid w:val="00F47586"/>
    <w:rsid w:val="00F50558"/>
    <w:rsid w:val="00F5293A"/>
    <w:rsid w:val="00F53A2C"/>
    <w:rsid w:val="00F541F0"/>
    <w:rsid w:val="00F5434A"/>
    <w:rsid w:val="00F55668"/>
    <w:rsid w:val="00F55EC3"/>
    <w:rsid w:val="00F56176"/>
    <w:rsid w:val="00F6034B"/>
    <w:rsid w:val="00F60788"/>
    <w:rsid w:val="00F60FC9"/>
    <w:rsid w:val="00F62115"/>
    <w:rsid w:val="00F64B37"/>
    <w:rsid w:val="00F70DC0"/>
    <w:rsid w:val="00F71CF0"/>
    <w:rsid w:val="00F7379C"/>
    <w:rsid w:val="00F74C5F"/>
    <w:rsid w:val="00F76DD9"/>
    <w:rsid w:val="00F76EE0"/>
    <w:rsid w:val="00F778C1"/>
    <w:rsid w:val="00F813E4"/>
    <w:rsid w:val="00F814D5"/>
    <w:rsid w:val="00F82C03"/>
    <w:rsid w:val="00F833AF"/>
    <w:rsid w:val="00F83A3F"/>
    <w:rsid w:val="00F850BD"/>
    <w:rsid w:val="00F853DD"/>
    <w:rsid w:val="00F8550F"/>
    <w:rsid w:val="00F85F68"/>
    <w:rsid w:val="00F86EAD"/>
    <w:rsid w:val="00F906C8"/>
    <w:rsid w:val="00F919DB"/>
    <w:rsid w:val="00F93479"/>
    <w:rsid w:val="00F9391C"/>
    <w:rsid w:val="00F94211"/>
    <w:rsid w:val="00F944A5"/>
    <w:rsid w:val="00F94E52"/>
    <w:rsid w:val="00F9516E"/>
    <w:rsid w:val="00F963A3"/>
    <w:rsid w:val="00F964D9"/>
    <w:rsid w:val="00F97FC4"/>
    <w:rsid w:val="00FA0E9F"/>
    <w:rsid w:val="00FA17B4"/>
    <w:rsid w:val="00FA1937"/>
    <w:rsid w:val="00FA29F8"/>
    <w:rsid w:val="00FA720A"/>
    <w:rsid w:val="00FA7D7A"/>
    <w:rsid w:val="00FB0EFC"/>
    <w:rsid w:val="00FB1907"/>
    <w:rsid w:val="00FB3FEF"/>
    <w:rsid w:val="00FB6D33"/>
    <w:rsid w:val="00FB729C"/>
    <w:rsid w:val="00FC1507"/>
    <w:rsid w:val="00FC1985"/>
    <w:rsid w:val="00FC4A9B"/>
    <w:rsid w:val="00FD204F"/>
    <w:rsid w:val="00FD2CDD"/>
    <w:rsid w:val="00FD7878"/>
    <w:rsid w:val="00FD791B"/>
    <w:rsid w:val="00FD7C60"/>
    <w:rsid w:val="00FE1977"/>
    <w:rsid w:val="00FE1DB4"/>
    <w:rsid w:val="00FE2F0D"/>
    <w:rsid w:val="00FE53D7"/>
    <w:rsid w:val="00FE5C76"/>
    <w:rsid w:val="00FE65A7"/>
    <w:rsid w:val="00FE69FD"/>
    <w:rsid w:val="00FE77FD"/>
    <w:rsid w:val="00FE79AF"/>
    <w:rsid w:val="00FF008C"/>
    <w:rsid w:val="00FF0990"/>
    <w:rsid w:val="00FF0FF7"/>
    <w:rsid w:val="00FF25AF"/>
    <w:rsid w:val="00FF29E2"/>
    <w:rsid w:val="00FF3B0A"/>
    <w:rsid w:val="00FF55B8"/>
    <w:rsid w:val="00FF585F"/>
    <w:rsid w:val="00FF7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5FCC1"/>
  <w15:docId w15:val="{C7052195-E600-4030-8BC6-CDAEB9051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C46142"/>
    <w:pPr>
      <w:spacing w:after="200" w:line="276" w:lineRule="auto"/>
      <w:jc w:val="both"/>
    </w:pPr>
    <w:rPr>
      <w:rFonts w:ascii="Trebuchet MS" w:hAnsi="Trebuchet MS"/>
      <w:color w:val="676A6E"/>
    </w:rPr>
  </w:style>
  <w:style w:type="paragraph" w:styleId="1">
    <w:name w:val="heading 1"/>
    <w:basedOn w:val="a5"/>
    <w:next w:val="a5"/>
    <w:link w:val="1Char"/>
    <w:uiPriority w:val="9"/>
    <w:qFormat/>
    <w:rsid w:val="006732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5"/>
    <w:next w:val="a5"/>
    <w:link w:val="2Char"/>
    <w:uiPriority w:val="9"/>
    <w:semiHidden/>
    <w:unhideWhenUsed/>
    <w:qFormat/>
    <w:rsid w:val="00B033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5"/>
    <w:next w:val="a5"/>
    <w:link w:val="3Char"/>
    <w:uiPriority w:val="9"/>
    <w:semiHidden/>
    <w:unhideWhenUsed/>
    <w:qFormat/>
    <w:rsid w:val="00354FDE"/>
    <w:pPr>
      <w:keepNext/>
      <w:spacing w:before="240" w:after="60"/>
      <w:outlineLvl w:val="2"/>
    </w:pPr>
    <w:rPr>
      <w:rFonts w:ascii="Calibri Light" w:eastAsia="Times New Roman" w:hAnsi="Calibri Light" w:cs="Times New Roman"/>
      <w:b/>
      <w:bCs/>
      <w:sz w:val="26"/>
      <w:szCs w:val="2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Char">
    <w:name w:val="Επικεφαλίδα 1 Char"/>
    <w:basedOn w:val="a6"/>
    <w:link w:val="1"/>
    <w:uiPriority w:val="9"/>
    <w:rsid w:val="00673297"/>
    <w:rPr>
      <w:rFonts w:asciiTheme="majorHAnsi" w:eastAsiaTheme="majorEastAsia" w:hAnsiTheme="majorHAnsi" w:cstheme="majorBidi"/>
      <w:color w:val="2E74B5" w:themeColor="accent1" w:themeShade="BF"/>
      <w:sz w:val="32"/>
      <w:szCs w:val="32"/>
    </w:rPr>
  </w:style>
  <w:style w:type="paragraph" w:customStyle="1" w:styleId="a">
    <w:name w:val="Τιτλος Κεφαλαίου"/>
    <w:next w:val="a5"/>
    <w:qFormat/>
    <w:rsid w:val="008F4EA2"/>
    <w:pPr>
      <w:numPr>
        <w:numId w:val="1"/>
      </w:numPr>
      <w:pBdr>
        <w:bottom w:val="single" w:sz="4" w:space="1" w:color="00A3E0"/>
      </w:pBdr>
      <w:spacing w:after="240" w:line="276" w:lineRule="auto"/>
      <w:outlineLvl w:val="0"/>
    </w:pPr>
    <w:rPr>
      <w:rFonts w:ascii="Trebuchet MS" w:hAnsi="Trebuchet MS"/>
      <w:b/>
      <w:color w:val="00A3E0"/>
      <w:sz w:val="40"/>
    </w:rPr>
  </w:style>
  <w:style w:type="paragraph" w:styleId="a9">
    <w:name w:val="TOC Heading"/>
    <w:basedOn w:val="1"/>
    <w:next w:val="a5"/>
    <w:uiPriority w:val="39"/>
    <w:unhideWhenUsed/>
    <w:qFormat/>
    <w:rsid w:val="005D632A"/>
    <w:pPr>
      <w:spacing w:line="259" w:lineRule="auto"/>
      <w:outlineLvl w:val="9"/>
    </w:pPr>
    <w:rPr>
      <w:lang w:eastAsia="el-GR"/>
    </w:rPr>
  </w:style>
  <w:style w:type="paragraph" w:styleId="10">
    <w:name w:val="toc 1"/>
    <w:basedOn w:val="a5"/>
    <w:next w:val="a5"/>
    <w:autoRedefine/>
    <w:uiPriority w:val="39"/>
    <w:unhideWhenUsed/>
    <w:rsid w:val="00A94AB4"/>
    <w:pPr>
      <w:tabs>
        <w:tab w:val="right" w:leader="dot" w:pos="8296"/>
      </w:tabs>
      <w:spacing w:after="120" w:line="240" w:lineRule="auto"/>
    </w:pPr>
    <w:rPr>
      <w:rFonts w:eastAsia="Calibri" w:cs="Times New Roman"/>
      <w:i/>
      <w:noProof/>
      <w:color w:val="00B0F0"/>
      <w:spacing w:val="20"/>
      <w:lang w:eastAsia="el-GR"/>
    </w:rPr>
  </w:style>
  <w:style w:type="character" w:styleId="-">
    <w:name w:val="Hyperlink"/>
    <w:basedOn w:val="a6"/>
    <w:uiPriority w:val="99"/>
    <w:unhideWhenUsed/>
    <w:rsid w:val="00783D7E"/>
    <w:rPr>
      <w:color w:val="0563C1" w:themeColor="hyperlink"/>
      <w:u w:val="single"/>
    </w:rPr>
  </w:style>
  <w:style w:type="paragraph" w:customStyle="1" w:styleId="aa">
    <w:name w:val="Τιτλος Ενοτητας Κεφαλαίου"/>
    <w:basedOn w:val="a5"/>
    <w:link w:val="Char"/>
    <w:qFormat/>
    <w:rsid w:val="00EB3827"/>
    <w:pPr>
      <w:outlineLvl w:val="1"/>
    </w:pPr>
    <w:rPr>
      <w:b/>
      <w:color w:val="00A3E0"/>
      <w:sz w:val="36"/>
    </w:rPr>
  </w:style>
  <w:style w:type="paragraph" w:styleId="20">
    <w:name w:val="toc 2"/>
    <w:basedOn w:val="a5"/>
    <w:next w:val="a5"/>
    <w:autoRedefine/>
    <w:uiPriority w:val="39"/>
    <w:unhideWhenUsed/>
    <w:rsid w:val="00174E94"/>
    <w:pPr>
      <w:tabs>
        <w:tab w:val="right" w:leader="dot" w:pos="8296"/>
      </w:tabs>
      <w:spacing w:after="100"/>
    </w:pPr>
    <w:rPr>
      <w:noProof/>
      <w:color w:val="auto"/>
    </w:rPr>
  </w:style>
  <w:style w:type="paragraph" w:customStyle="1" w:styleId="ab">
    <w:name w:val="Σχόλιο Ενότητας Κεφαλαίου"/>
    <w:basedOn w:val="a5"/>
    <w:next w:val="a5"/>
    <w:qFormat/>
    <w:rsid w:val="004D7DAD"/>
    <w:pPr>
      <w:outlineLvl w:val="0"/>
    </w:pPr>
    <w:rPr>
      <w:b/>
      <w:i/>
      <w:color w:val="84BD00"/>
      <w:spacing w:val="20"/>
    </w:rPr>
  </w:style>
  <w:style w:type="paragraph" w:customStyle="1" w:styleId="a4">
    <w:name w:val="Τίτλος Υποενότητας Κεφαλαίου"/>
    <w:basedOn w:val="aa"/>
    <w:next w:val="a5"/>
    <w:link w:val="Char0"/>
    <w:rsid w:val="00500CB0"/>
    <w:pPr>
      <w:numPr>
        <w:numId w:val="2"/>
      </w:numPr>
      <w:tabs>
        <w:tab w:val="num" w:pos="360"/>
      </w:tabs>
      <w:ind w:left="0" w:firstLine="0"/>
      <w:outlineLvl w:val="2"/>
    </w:pPr>
    <w:rPr>
      <w:sz w:val="32"/>
    </w:rPr>
  </w:style>
  <w:style w:type="paragraph" w:styleId="30">
    <w:name w:val="toc 3"/>
    <w:basedOn w:val="a5"/>
    <w:next w:val="a5"/>
    <w:autoRedefine/>
    <w:uiPriority w:val="39"/>
    <w:unhideWhenUsed/>
    <w:rsid w:val="00B103F0"/>
    <w:pPr>
      <w:tabs>
        <w:tab w:val="right" w:leader="dot" w:pos="8302"/>
      </w:tabs>
      <w:spacing w:after="100"/>
    </w:pPr>
    <w:rPr>
      <w:i/>
      <w:noProof/>
      <w:color w:val="auto"/>
      <w:sz w:val="20"/>
      <w:szCs w:val="20"/>
    </w:rPr>
  </w:style>
  <w:style w:type="character" w:customStyle="1" w:styleId="Char">
    <w:name w:val="Τιτλος Ενοτητας Κεφαλαίου Char"/>
    <w:basedOn w:val="a6"/>
    <w:link w:val="aa"/>
    <w:rsid w:val="00500CB0"/>
    <w:rPr>
      <w:rFonts w:ascii="Trebuchet MS" w:hAnsi="Trebuchet MS"/>
      <w:b/>
      <w:color w:val="00A3E0"/>
      <w:sz w:val="36"/>
    </w:rPr>
  </w:style>
  <w:style w:type="character" w:customStyle="1" w:styleId="Char0">
    <w:name w:val="Τίτλος Υποενότητας Κεφαλαίου Char"/>
    <w:basedOn w:val="Char"/>
    <w:link w:val="a4"/>
    <w:rsid w:val="00500CB0"/>
    <w:rPr>
      <w:rFonts w:ascii="Trebuchet MS" w:hAnsi="Trebuchet MS"/>
      <w:b/>
      <w:color w:val="00A3E0"/>
      <w:sz w:val="32"/>
    </w:rPr>
  </w:style>
  <w:style w:type="paragraph" w:styleId="ac">
    <w:name w:val="List Paragraph"/>
    <w:basedOn w:val="a5"/>
    <w:uiPriority w:val="34"/>
    <w:qFormat/>
    <w:rsid w:val="00EA0D84"/>
    <w:pPr>
      <w:ind w:left="720"/>
      <w:contextualSpacing/>
    </w:pPr>
  </w:style>
  <w:style w:type="paragraph" w:customStyle="1" w:styleId="a0">
    <w:name w:val="Τίτλος Ενότητας"/>
    <w:basedOn w:val="aa"/>
    <w:next w:val="a5"/>
    <w:qFormat/>
    <w:rsid w:val="00EA0D84"/>
    <w:pPr>
      <w:numPr>
        <w:numId w:val="7"/>
      </w:numPr>
    </w:pPr>
  </w:style>
  <w:style w:type="paragraph" w:customStyle="1" w:styleId="a1">
    <w:name w:val="Τίτλος Υποενότητας Κεφ"/>
    <w:basedOn w:val="aa"/>
    <w:next w:val="a5"/>
    <w:qFormat/>
    <w:rsid w:val="00EA0D84"/>
    <w:pPr>
      <w:numPr>
        <w:ilvl w:val="1"/>
        <w:numId w:val="7"/>
      </w:numPr>
      <w:outlineLvl w:val="2"/>
    </w:pPr>
    <w:rPr>
      <w:sz w:val="32"/>
    </w:rPr>
  </w:style>
  <w:style w:type="paragraph" w:customStyle="1" w:styleId="a2">
    <w:name w:val="Τίτλος υπουποενότητας"/>
    <w:basedOn w:val="aa"/>
    <w:qFormat/>
    <w:rsid w:val="00E00CA5"/>
    <w:pPr>
      <w:numPr>
        <w:ilvl w:val="2"/>
        <w:numId w:val="7"/>
      </w:numPr>
      <w:outlineLvl w:val="3"/>
    </w:pPr>
    <w:rPr>
      <w:sz w:val="28"/>
    </w:rPr>
  </w:style>
  <w:style w:type="paragraph" w:styleId="4">
    <w:name w:val="toc 4"/>
    <w:basedOn w:val="a5"/>
    <w:next w:val="a5"/>
    <w:autoRedefine/>
    <w:uiPriority w:val="39"/>
    <w:unhideWhenUsed/>
    <w:rsid w:val="00236493"/>
    <w:pPr>
      <w:spacing w:after="100"/>
    </w:pPr>
  </w:style>
  <w:style w:type="paragraph" w:customStyle="1" w:styleId="a3">
    <w:name w:val="Παραρτημα"/>
    <w:next w:val="a5"/>
    <w:qFormat/>
    <w:rsid w:val="00E74D02"/>
    <w:pPr>
      <w:numPr>
        <w:numId w:val="4"/>
      </w:numPr>
      <w:pBdr>
        <w:bottom w:val="single" w:sz="4" w:space="1" w:color="00A3E0"/>
      </w:pBdr>
      <w:spacing w:line="360" w:lineRule="auto"/>
      <w:outlineLvl w:val="0"/>
    </w:pPr>
    <w:rPr>
      <w:rFonts w:ascii="Trebuchet MS" w:hAnsi="Trebuchet MS"/>
      <w:b/>
      <w:color w:val="00A3E0"/>
      <w:sz w:val="40"/>
    </w:rPr>
  </w:style>
  <w:style w:type="paragraph" w:styleId="5">
    <w:name w:val="toc 5"/>
    <w:basedOn w:val="a5"/>
    <w:next w:val="a5"/>
    <w:autoRedefine/>
    <w:uiPriority w:val="39"/>
    <w:unhideWhenUsed/>
    <w:rsid w:val="00236493"/>
    <w:pPr>
      <w:spacing w:after="100"/>
    </w:pPr>
  </w:style>
  <w:style w:type="paragraph" w:styleId="ad">
    <w:name w:val="caption"/>
    <w:basedOn w:val="a5"/>
    <w:next w:val="a5"/>
    <w:uiPriority w:val="35"/>
    <w:unhideWhenUsed/>
    <w:qFormat/>
    <w:rsid w:val="00AA3E57"/>
    <w:pPr>
      <w:spacing w:line="240" w:lineRule="auto"/>
    </w:pPr>
    <w:rPr>
      <w:i/>
      <w:iCs/>
      <w:color w:val="44546A" w:themeColor="text2"/>
      <w:sz w:val="18"/>
      <w:szCs w:val="18"/>
    </w:rPr>
  </w:style>
  <w:style w:type="table" w:styleId="ae">
    <w:name w:val="Table Grid"/>
    <w:basedOn w:val="a7"/>
    <w:uiPriority w:val="39"/>
    <w:rsid w:val="00AA3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able of figures"/>
    <w:basedOn w:val="a5"/>
    <w:next w:val="a5"/>
    <w:uiPriority w:val="99"/>
    <w:unhideWhenUsed/>
    <w:rsid w:val="008E5601"/>
    <w:pPr>
      <w:spacing w:after="0"/>
    </w:pPr>
  </w:style>
  <w:style w:type="paragraph" w:styleId="af0">
    <w:name w:val="footnote text"/>
    <w:basedOn w:val="a5"/>
    <w:link w:val="Char1"/>
    <w:uiPriority w:val="99"/>
    <w:unhideWhenUsed/>
    <w:rsid w:val="00B95D8A"/>
    <w:pPr>
      <w:spacing w:after="0" w:line="240" w:lineRule="auto"/>
      <w:jc w:val="left"/>
    </w:pPr>
    <w:rPr>
      <w:rFonts w:asciiTheme="minorHAnsi" w:hAnsiTheme="minorHAnsi"/>
      <w:color w:val="auto"/>
      <w:sz w:val="20"/>
      <w:szCs w:val="20"/>
    </w:rPr>
  </w:style>
  <w:style w:type="character" w:customStyle="1" w:styleId="Char1">
    <w:name w:val="Κείμενο υποσημείωσης Char"/>
    <w:basedOn w:val="a6"/>
    <w:link w:val="af0"/>
    <w:uiPriority w:val="99"/>
    <w:rsid w:val="00B95D8A"/>
    <w:rPr>
      <w:sz w:val="20"/>
      <w:szCs w:val="20"/>
    </w:rPr>
  </w:style>
  <w:style w:type="character" w:styleId="af1">
    <w:name w:val="footnote reference"/>
    <w:basedOn w:val="a6"/>
    <w:uiPriority w:val="99"/>
    <w:unhideWhenUsed/>
    <w:qFormat/>
    <w:rsid w:val="00B95D8A"/>
    <w:rPr>
      <w:vertAlign w:val="superscript"/>
    </w:rPr>
  </w:style>
  <w:style w:type="character" w:styleId="af2">
    <w:name w:val="annotation reference"/>
    <w:basedOn w:val="a6"/>
    <w:uiPriority w:val="99"/>
    <w:semiHidden/>
    <w:unhideWhenUsed/>
    <w:rsid w:val="00B95D8A"/>
    <w:rPr>
      <w:sz w:val="16"/>
      <w:szCs w:val="16"/>
    </w:rPr>
  </w:style>
  <w:style w:type="paragraph" w:styleId="af3">
    <w:name w:val="annotation text"/>
    <w:basedOn w:val="a5"/>
    <w:link w:val="Char2"/>
    <w:uiPriority w:val="99"/>
    <w:unhideWhenUsed/>
    <w:rsid w:val="00B95D8A"/>
    <w:pPr>
      <w:spacing w:after="160" w:line="240" w:lineRule="auto"/>
      <w:jc w:val="left"/>
    </w:pPr>
    <w:rPr>
      <w:rFonts w:asciiTheme="minorHAnsi" w:hAnsiTheme="minorHAnsi"/>
      <w:color w:val="auto"/>
      <w:sz w:val="20"/>
      <w:szCs w:val="20"/>
    </w:rPr>
  </w:style>
  <w:style w:type="character" w:customStyle="1" w:styleId="Char2">
    <w:name w:val="Κείμενο σχολίου Char"/>
    <w:basedOn w:val="a6"/>
    <w:link w:val="af3"/>
    <w:uiPriority w:val="99"/>
    <w:rsid w:val="00B95D8A"/>
    <w:rPr>
      <w:sz w:val="20"/>
      <w:szCs w:val="20"/>
    </w:rPr>
  </w:style>
  <w:style w:type="paragraph" w:styleId="af4">
    <w:name w:val="Balloon Text"/>
    <w:basedOn w:val="a5"/>
    <w:link w:val="Char3"/>
    <w:uiPriority w:val="99"/>
    <w:semiHidden/>
    <w:unhideWhenUsed/>
    <w:rsid w:val="002D536C"/>
    <w:pPr>
      <w:spacing w:after="0" w:line="240" w:lineRule="auto"/>
    </w:pPr>
    <w:rPr>
      <w:rFonts w:ascii="Tahoma" w:hAnsi="Tahoma" w:cs="Tahoma"/>
      <w:sz w:val="16"/>
      <w:szCs w:val="16"/>
    </w:rPr>
  </w:style>
  <w:style w:type="character" w:customStyle="1" w:styleId="Char3">
    <w:name w:val="Κείμενο πλαισίου Char"/>
    <w:basedOn w:val="a6"/>
    <w:link w:val="af4"/>
    <w:uiPriority w:val="99"/>
    <w:semiHidden/>
    <w:rsid w:val="002D536C"/>
    <w:rPr>
      <w:rFonts w:ascii="Tahoma" w:hAnsi="Tahoma" w:cs="Tahoma"/>
      <w:color w:val="676A6E"/>
      <w:sz w:val="16"/>
      <w:szCs w:val="16"/>
    </w:rPr>
  </w:style>
  <w:style w:type="character" w:styleId="-0">
    <w:name w:val="FollowedHyperlink"/>
    <w:basedOn w:val="a6"/>
    <w:uiPriority w:val="99"/>
    <w:semiHidden/>
    <w:unhideWhenUsed/>
    <w:rsid w:val="001179A3"/>
    <w:rPr>
      <w:color w:val="954F72" w:themeColor="followedHyperlink"/>
      <w:u w:val="single"/>
    </w:rPr>
  </w:style>
  <w:style w:type="paragraph" w:styleId="af5">
    <w:name w:val="header"/>
    <w:basedOn w:val="a5"/>
    <w:link w:val="Char4"/>
    <w:uiPriority w:val="99"/>
    <w:unhideWhenUsed/>
    <w:rsid w:val="00247D76"/>
    <w:pPr>
      <w:tabs>
        <w:tab w:val="center" w:pos="4153"/>
        <w:tab w:val="right" w:pos="8306"/>
      </w:tabs>
      <w:spacing w:after="0" w:line="240" w:lineRule="auto"/>
    </w:pPr>
  </w:style>
  <w:style w:type="character" w:customStyle="1" w:styleId="Char4">
    <w:name w:val="Κεφαλίδα Char"/>
    <w:basedOn w:val="a6"/>
    <w:link w:val="af5"/>
    <w:uiPriority w:val="99"/>
    <w:rsid w:val="00247D76"/>
    <w:rPr>
      <w:rFonts w:ascii="Trebuchet MS" w:hAnsi="Trebuchet MS"/>
      <w:color w:val="676A6E"/>
    </w:rPr>
  </w:style>
  <w:style w:type="paragraph" w:styleId="af6">
    <w:name w:val="footer"/>
    <w:basedOn w:val="a5"/>
    <w:link w:val="Char5"/>
    <w:uiPriority w:val="99"/>
    <w:unhideWhenUsed/>
    <w:rsid w:val="00247D76"/>
    <w:pPr>
      <w:tabs>
        <w:tab w:val="center" w:pos="4153"/>
        <w:tab w:val="right" w:pos="8306"/>
      </w:tabs>
      <w:spacing w:after="0" w:line="240" w:lineRule="auto"/>
    </w:pPr>
  </w:style>
  <w:style w:type="character" w:customStyle="1" w:styleId="Char5">
    <w:name w:val="Υποσέλιδο Char"/>
    <w:basedOn w:val="a6"/>
    <w:link w:val="af6"/>
    <w:uiPriority w:val="99"/>
    <w:rsid w:val="00247D76"/>
    <w:rPr>
      <w:rFonts w:ascii="Trebuchet MS" w:hAnsi="Trebuchet MS"/>
      <w:color w:val="676A6E"/>
    </w:rPr>
  </w:style>
  <w:style w:type="paragraph" w:styleId="af7">
    <w:name w:val="No Spacing"/>
    <w:link w:val="Char6"/>
    <w:uiPriority w:val="1"/>
    <w:qFormat/>
    <w:rsid w:val="00946991"/>
    <w:pPr>
      <w:spacing w:after="0" w:line="240" w:lineRule="auto"/>
    </w:pPr>
    <w:rPr>
      <w:rFonts w:eastAsiaTheme="minorEastAsia"/>
      <w:lang w:eastAsia="el-GR"/>
    </w:rPr>
  </w:style>
  <w:style w:type="paragraph" w:styleId="11">
    <w:name w:val="index 1"/>
    <w:basedOn w:val="a5"/>
    <w:next w:val="a5"/>
    <w:autoRedefine/>
    <w:uiPriority w:val="99"/>
    <w:semiHidden/>
    <w:unhideWhenUsed/>
    <w:rsid w:val="00247E25"/>
    <w:pPr>
      <w:spacing w:after="0" w:line="240" w:lineRule="auto"/>
      <w:ind w:left="220" w:hanging="220"/>
    </w:pPr>
  </w:style>
  <w:style w:type="character" w:customStyle="1" w:styleId="Char6">
    <w:name w:val="Χωρίς διάστιχο Char"/>
    <w:basedOn w:val="a6"/>
    <w:link w:val="af7"/>
    <w:uiPriority w:val="1"/>
    <w:rsid w:val="00946991"/>
    <w:rPr>
      <w:rFonts w:eastAsiaTheme="minorEastAsia"/>
      <w:lang w:eastAsia="el-GR"/>
    </w:rPr>
  </w:style>
  <w:style w:type="paragraph" w:customStyle="1" w:styleId="Default">
    <w:name w:val="Default"/>
    <w:rsid w:val="00B770DB"/>
    <w:pPr>
      <w:autoSpaceDE w:val="0"/>
      <w:autoSpaceDN w:val="0"/>
      <w:adjustRightInd w:val="0"/>
      <w:spacing w:after="0" w:line="240" w:lineRule="auto"/>
    </w:pPr>
    <w:rPr>
      <w:rFonts w:ascii="Tahoma" w:hAnsi="Tahoma" w:cs="Tahoma"/>
      <w:color w:val="000000"/>
      <w:sz w:val="24"/>
      <w:szCs w:val="24"/>
    </w:rPr>
  </w:style>
  <w:style w:type="paragraph" w:styleId="af8">
    <w:name w:val="annotation subject"/>
    <w:basedOn w:val="af3"/>
    <w:next w:val="af3"/>
    <w:link w:val="Char7"/>
    <w:uiPriority w:val="99"/>
    <w:semiHidden/>
    <w:unhideWhenUsed/>
    <w:rsid w:val="002324F7"/>
    <w:pPr>
      <w:spacing w:after="200"/>
      <w:jc w:val="both"/>
    </w:pPr>
    <w:rPr>
      <w:rFonts w:ascii="Trebuchet MS" w:hAnsi="Trebuchet MS"/>
      <w:b/>
      <w:bCs/>
      <w:color w:val="676A6E"/>
    </w:rPr>
  </w:style>
  <w:style w:type="character" w:customStyle="1" w:styleId="Char7">
    <w:name w:val="Θέμα σχολίου Char"/>
    <w:basedOn w:val="Char2"/>
    <w:link w:val="af8"/>
    <w:uiPriority w:val="99"/>
    <w:semiHidden/>
    <w:rsid w:val="002324F7"/>
    <w:rPr>
      <w:rFonts w:ascii="Trebuchet MS" w:hAnsi="Trebuchet MS"/>
      <w:b/>
      <w:bCs/>
      <w:color w:val="676A6E"/>
      <w:sz w:val="20"/>
      <w:szCs w:val="20"/>
    </w:rPr>
  </w:style>
  <w:style w:type="character" w:customStyle="1" w:styleId="2Char">
    <w:name w:val="Επικεφαλίδα 2 Char"/>
    <w:basedOn w:val="a6"/>
    <w:link w:val="2"/>
    <w:uiPriority w:val="9"/>
    <w:semiHidden/>
    <w:rsid w:val="00B03333"/>
    <w:rPr>
      <w:rFonts w:asciiTheme="majorHAnsi" w:eastAsiaTheme="majorEastAsia" w:hAnsiTheme="majorHAnsi" w:cstheme="majorBidi"/>
      <w:color w:val="2E74B5" w:themeColor="accent1" w:themeShade="BF"/>
      <w:sz w:val="26"/>
      <w:szCs w:val="26"/>
    </w:rPr>
  </w:style>
  <w:style w:type="paragraph" w:styleId="af9">
    <w:name w:val="Revision"/>
    <w:hidden/>
    <w:uiPriority w:val="99"/>
    <w:semiHidden/>
    <w:rsid w:val="00B40BEA"/>
    <w:pPr>
      <w:spacing w:after="0" w:line="240" w:lineRule="auto"/>
    </w:pPr>
    <w:rPr>
      <w:rFonts w:ascii="Trebuchet MS" w:hAnsi="Trebuchet MS"/>
      <w:color w:val="676A6E"/>
    </w:rPr>
  </w:style>
  <w:style w:type="paragraph" w:styleId="afa">
    <w:name w:val="endnote text"/>
    <w:basedOn w:val="a5"/>
    <w:link w:val="Char8"/>
    <w:uiPriority w:val="99"/>
    <w:semiHidden/>
    <w:unhideWhenUsed/>
    <w:rsid w:val="006B71F5"/>
    <w:pPr>
      <w:spacing w:after="0" w:line="240" w:lineRule="auto"/>
    </w:pPr>
    <w:rPr>
      <w:sz w:val="20"/>
      <w:szCs w:val="20"/>
    </w:rPr>
  </w:style>
  <w:style w:type="character" w:customStyle="1" w:styleId="Char8">
    <w:name w:val="Κείμενο σημείωσης τέλους Char"/>
    <w:basedOn w:val="a6"/>
    <w:link w:val="afa"/>
    <w:uiPriority w:val="99"/>
    <w:semiHidden/>
    <w:rsid w:val="006B71F5"/>
    <w:rPr>
      <w:rFonts w:ascii="Trebuchet MS" w:hAnsi="Trebuchet MS"/>
      <w:color w:val="676A6E"/>
      <w:sz w:val="20"/>
      <w:szCs w:val="20"/>
    </w:rPr>
  </w:style>
  <w:style w:type="character" w:styleId="afb">
    <w:name w:val="endnote reference"/>
    <w:basedOn w:val="a6"/>
    <w:uiPriority w:val="99"/>
    <w:semiHidden/>
    <w:unhideWhenUsed/>
    <w:rsid w:val="006B71F5"/>
    <w:rPr>
      <w:vertAlign w:val="superscript"/>
    </w:rPr>
  </w:style>
  <w:style w:type="table" w:customStyle="1" w:styleId="12">
    <w:name w:val="Πλέγμα πίνακα1"/>
    <w:basedOn w:val="a7"/>
    <w:next w:val="ae"/>
    <w:uiPriority w:val="39"/>
    <w:rsid w:val="004E5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Πλέγμα πίνακα2"/>
    <w:basedOn w:val="a7"/>
    <w:next w:val="ae"/>
    <w:uiPriority w:val="39"/>
    <w:rsid w:val="00931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Πλέγμα πίνακα3"/>
    <w:basedOn w:val="a7"/>
    <w:next w:val="ae"/>
    <w:uiPriority w:val="39"/>
    <w:rsid w:val="00931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Πλέγμα πίνακα4"/>
    <w:basedOn w:val="a7"/>
    <w:next w:val="ae"/>
    <w:uiPriority w:val="39"/>
    <w:rsid w:val="00B06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Πλέγμα πίνακα5"/>
    <w:basedOn w:val="a7"/>
    <w:next w:val="ae"/>
    <w:uiPriority w:val="39"/>
    <w:rsid w:val="00636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Χωρίς λίστα1"/>
    <w:next w:val="a8"/>
    <w:uiPriority w:val="99"/>
    <w:semiHidden/>
    <w:unhideWhenUsed/>
    <w:rsid w:val="0097094E"/>
  </w:style>
  <w:style w:type="table" w:customStyle="1" w:styleId="6">
    <w:name w:val="Πλέγμα πίνακα6"/>
    <w:basedOn w:val="a7"/>
    <w:next w:val="ae"/>
    <w:uiPriority w:val="39"/>
    <w:rsid w:val="00970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60">
    <w:name w:val="toc 6"/>
    <w:basedOn w:val="a5"/>
    <w:next w:val="a5"/>
    <w:autoRedefine/>
    <w:uiPriority w:val="39"/>
    <w:unhideWhenUsed/>
    <w:rsid w:val="005B2D89"/>
    <w:pPr>
      <w:spacing w:after="100" w:line="259" w:lineRule="auto"/>
      <w:ind w:left="1100"/>
      <w:jc w:val="left"/>
    </w:pPr>
    <w:rPr>
      <w:rFonts w:asciiTheme="minorHAnsi" w:eastAsiaTheme="minorEastAsia" w:hAnsiTheme="minorHAnsi"/>
      <w:color w:val="auto"/>
      <w:lang w:eastAsia="el-GR"/>
    </w:rPr>
  </w:style>
  <w:style w:type="paragraph" w:styleId="7">
    <w:name w:val="toc 7"/>
    <w:basedOn w:val="a5"/>
    <w:next w:val="a5"/>
    <w:autoRedefine/>
    <w:uiPriority w:val="39"/>
    <w:unhideWhenUsed/>
    <w:rsid w:val="005B2D89"/>
    <w:pPr>
      <w:spacing w:after="100" w:line="259" w:lineRule="auto"/>
      <w:ind w:left="1320"/>
      <w:jc w:val="left"/>
    </w:pPr>
    <w:rPr>
      <w:rFonts w:asciiTheme="minorHAnsi" w:eastAsiaTheme="minorEastAsia" w:hAnsiTheme="minorHAnsi"/>
      <w:color w:val="auto"/>
      <w:lang w:eastAsia="el-GR"/>
    </w:rPr>
  </w:style>
  <w:style w:type="paragraph" w:styleId="8">
    <w:name w:val="toc 8"/>
    <w:basedOn w:val="a5"/>
    <w:next w:val="a5"/>
    <w:autoRedefine/>
    <w:uiPriority w:val="39"/>
    <w:unhideWhenUsed/>
    <w:rsid w:val="005B2D89"/>
    <w:pPr>
      <w:spacing w:after="100" w:line="259" w:lineRule="auto"/>
      <w:ind w:left="1540"/>
      <w:jc w:val="left"/>
    </w:pPr>
    <w:rPr>
      <w:rFonts w:asciiTheme="minorHAnsi" w:eastAsiaTheme="minorEastAsia" w:hAnsiTheme="minorHAnsi"/>
      <w:color w:val="auto"/>
      <w:lang w:eastAsia="el-GR"/>
    </w:rPr>
  </w:style>
  <w:style w:type="paragraph" w:styleId="9">
    <w:name w:val="toc 9"/>
    <w:basedOn w:val="a5"/>
    <w:next w:val="a5"/>
    <w:autoRedefine/>
    <w:uiPriority w:val="39"/>
    <w:unhideWhenUsed/>
    <w:rsid w:val="005B2D89"/>
    <w:pPr>
      <w:spacing w:after="100" w:line="259" w:lineRule="auto"/>
      <w:ind w:left="1760"/>
      <w:jc w:val="left"/>
    </w:pPr>
    <w:rPr>
      <w:rFonts w:asciiTheme="minorHAnsi" w:eastAsiaTheme="minorEastAsia" w:hAnsiTheme="minorHAnsi"/>
      <w:color w:val="auto"/>
      <w:lang w:eastAsia="el-GR"/>
    </w:rPr>
  </w:style>
  <w:style w:type="table" w:customStyle="1" w:styleId="70">
    <w:name w:val="Πλέγμα πίνακα7"/>
    <w:basedOn w:val="a7"/>
    <w:next w:val="ae"/>
    <w:uiPriority w:val="39"/>
    <w:rsid w:val="00DF7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Χωρίς λίστα2"/>
    <w:next w:val="a8"/>
    <w:uiPriority w:val="99"/>
    <w:semiHidden/>
    <w:unhideWhenUsed/>
    <w:rsid w:val="00DF722A"/>
  </w:style>
  <w:style w:type="table" w:customStyle="1" w:styleId="80">
    <w:name w:val="Πλέγμα πίνακα8"/>
    <w:basedOn w:val="a7"/>
    <w:next w:val="ae"/>
    <w:uiPriority w:val="39"/>
    <w:rsid w:val="00DF7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ΠΙΝΑΚΑΣ ΕΚΘΕΣΗΣ"/>
    <w:basedOn w:val="a5"/>
    <w:link w:val="Char9"/>
    <w:qFormat/>
    <w:rsid w:val="00797ED5"/>
    <w:pPr>
      <w:spacing w:after="0" w:line="240" w:lineRule="auto"/>
      <w:jc w:val="left"/>
    </w:pPr>
    <w:rPr>
      <w:rFonts w:eastAsia="Times New Roman" w:cs="Times New Roman"/>
      <w:color w:val="auto"/>
      <w:sz w:val="18"/>
      <w:szCs w:val="18"/>
      <w:lang w:eastAsia="el-GR"/>
    </w:rPr>
  </w:style>
  <w:style w:type="character" w:customStyle="1" w:styleId="Char9">
    <w:name w:val="ΠΙΝΑΚΑΣ ΕΚΘΕΣΗΣ Char"/>
    <w:basedOn w:val="a6"/>
    <w:link w:val="afc"/>
    <w:rsid w:val="00797ED5"/>
    <w:rPr>
      <w:rFonts w:ascii="Trebuchet MS" w:eastAsia="Times New Roman" w:hAnsi="Trebuchet MS" w:cs="Times New Roman"/>
      <w:sz w:val="18"/>
      <w:szCs w:val="18"/>
      <w:lang w:eastAsia="el-GR"/>
    </w:rPr>
  </w:style>
  <w:style w:type="character" w:customStyle="1" w:styleId="3Char">
    <w:name w:val="Επικεφαλίδα 3 Char"/>
    <w:basedOn w:val="a6"/>
    <w:link w:val="3"/>
    <w:uiPriority w:val="9"/>
    <w:semiHidden/>
    <w:rsid w:val="00354FDE"/>
    <w:rPr>
      <w:rFonts w:ascii="Calibri Light" w:eastAsia="Times New Roman" w:hAnsi="Calibri Light" w:cs="Times New Roman"/>
      <w:b/>
      <w:bCs/>
      <w:color w:val="676A6E"/>
      <w:sz w:val="26"/>
      <w:szCs w:val="26"/>
    </w:rPr>
  </w:style>
  <w:style w:type="numbering" w:customStyle="1" w:styleId="32">
    <w:name w:val="Χωρίς λίστα3"/>
    <w:next w:val="a8"/>
    <w:uiPriority w:val="99"/>
    <w:semiHidden/>
    <w:unhideWhenUsed/>
    <w:rsid w:val="00354FDE"/>
  </w:style>
  <w:style w:type="table" w:customStyle="1" w:styleId="90">
    <w:name w:val="Πλέγμα πίνακα9"/>
    <w:basedOn w:val="a7"/>
    <w:next w:val="ae"/>
    <w:uiPriority w:val="39"/>
    <w:rsid w:val="00354FDE"/>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Πλέγμα πίνακα11"/>
    <w:basedOn w:val="a7"/>
    <w:next w:val="ae"/>
    <w:uiPriority w:val="39"/>
    <w:rsid w:val="00354FDE"/>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Πλέγμα πίνακα21"/>
    <w:basedOn w:val="a7"/>
    <w:next w:val="ae"/>
    <w:uiPriority w:val="39"/>
    <w:rsid w:val="00354FDE"/>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Πλέγμα πίνακα31"/>
    <w:basedOn w:val="a7"/>
    <w:next w:val="ae"/>
    <w:uiPriority w:val="39"/>
    <w:rsid w:val="00354FDE"/>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Πλέγμα πίνακα41"/>
    <w:basedOn w:val="a7"/>
    <w:next w:val="ae"/>
    <w:uiPriority w:val="39"/>
    <w:rsid w:val="00354FDE"/>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Πλέγμα πίνακα51"/>
    <w:basedOn w:val="a7"/>
    <w:next w:val="ae"/>
    <w:uiPriority w:val="39"/>
    <w:rsid w:val="00354FDE"/>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Χωρίς λίστα11"/>
    <w:next w:val="a8"/>
    <w:uiPriority w:val="99"/>
    <w:semiHidden/>
    <w:unhideWhenUsed/>
    <w:rsid w:val="00354FDE"/>
  </w:style>
  <w:style w:type="table" w:customStyle="1" w:styleId="61">
    <w:name w:val="Πλέγμα πίνακα61"/>
    <w:basedOn w:val="a7"/>
    <w:next w:val="ae"/>
    <w:uiPriority w:val="39"/>
    <w:rsid w:val="00354FDE"/>
    <w:pPr>
      <w:spacing w:after="0" w:line="240" w:lineRule="auto"/>
    </w:pPr>
    <w:rPr>
      <w:rFonts w:ascii="Calibri" w:eastAsia="Calibri" w:hAnsi="Calibri"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Πλέγμα πίνακα10"/>
    <w:basedOn w:val="a7"/>
    <w:next w:val="ae"/>
    <w:uiPriority w:val="39"/>
    <w:rsid w:val="00AC76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7"/>
    <w:uiPriority w:val="49"/>
    <w:rsid w:val="00CC0B22"/>
    <w:pPr>
      <w:spacing w:after="0" w:line="240" w:lineRule="auto"/>
    </w:pPr>
    <w:rPr>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2">
    <w:name w:val="Πλέγμα πίνακα42"/>
    <w:basedOn w:val="a7"/>
    <w:next w:val="ae"/>
    <w:uiPriority w:val="39"/>
    <w:rsid w:val="00E92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5"/>
    <w:uiPriority w:val="99"/>
    <w:unhideWhenUsed/>
    <w:rsid w:val="007B6D63"/>
    <w:pPr>
      <w:spacing w:before="100" w:beforeAutospacing="1" w:after="100" w:afterAutospacing="1" w:line="240" w:lineRule="auto"/>
      <w:jc w:val="left"/>
    </w:pPr>
    <w:rPr>
      <w:rFonts w:ascii="Times New Roman" w:eastAsia="Times New Roman" w:hAnsi="Times New Roman" w:cs="Times New Roman"/>
      <w:color w:val="auto"/>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6993">
      <w:bodyDiv w:val="1"/>
      <w:marLeft w:val="0"/>
      <w:marRight w:val="0"/>
      <w:marTop w:val="0"/>
      <w:marBottom w:val="0"/>
      <w:divBdr>
        <w:top w:val="none" w:sz="0" w:space="0" w:color="auto"/>
        <w:left w:val="none" w:sz="0" w:space="0" w:color="auto"/>
        <w:bottom w:val="none" w:sz="0" w:space="0" w:color="auto"/>
        <w:right w:val="none" w:sz="0" w:space="0" w:color="auto"/>
      </w:divBdr>
    </w:div>
    <w:div w:id="659891714">
      <w:bodyDiv w:val="1"/>
      <w:marLeft w:val="0"/>
      <w:marRight w:val="0"/>
      <w:marTop w:val="0"/>
      <w:marBottom w:val="0"/>
      <w:divBdr>
        <w:top w:val="none" w:sz="0" w:space="0" w:color="auto"/>
        <w:left w:val="none" w:sz="0" w:space="0" w:color="auto"/>
        <w:bottom w:val="none" w:sz="0" w:space="0" w:color="auto"/>
        <w:right w:val="none" w:sz="0" w:space="0" w:color="auto"/>
      </w:divBdr>
    </w:div>
    <w:div w:id="694624251">
      <w:bodyDiv w:val="1"/>
      <w:marLeft w:val="0"/>
      <w:marRight w:val="0"/>
      <w:marTop w:val="0"/>
      <w:marBottom w:val="0"/>
      <w:divBdr>
        <w:top w:val="none" w:sz="0" w:space="0" w:color="auto"/>
        <w:left w:val="none" w:sz="0" w:space="0" w:color="auto"/>
        <w:bottom w:val="none" w:sz="0" w:space="0" w:color="auto"/>
        <w:right w:val="none" w:sz="0" w:space="0" w:color="auto"/>
      </w:divBdr>
    </w:div>
    <w:div w:id="874585934">
      <w:bodyDiv w:val="1"/>
      <w:marLeft w:val="0"/>
      <w:marRight w:val="0"/>
      <w:marTop w:val="0"/>
      <w:marBottom w:val="0"/>
      <w:divBdr>
        <w:top w:val="none" w:sz="0" w:space="0" w:color="auto"/>
        <w:left w:val="none" w:sz="0" w:space="0" w:color="auto"/>
        <w:bottom w:val="none" w:sz="0" w:space="0" w:color="auto"/>
        <w:right w:val="none" w:sz="0" w:space="0" w:color="auto"/>
      </w:divBdr>
    </w:div>
    <w:div w:id="950892162">
      <w:bodyDiv w:val="1"/>
      <w:marLeft w:val="0"/>
      <w:marRight w:val="0"/>
      <w:marTop w:val="0"/>
      <w:marBottom w:val="0"/>
      <w:divBdr>
        <w:top w:val="none" w:sz="0" w:space="0" w:color="auto"/>
        <w:left w:val="none" w:sz="0" w:space="0" w:color="auto"/>
        <w:bottom w:val="none" w:sz="0" w:space="0" w:color="auto"/>
        <w:right w:val="none" w:sz="0" w:space="0" w:color="auto"/>
      </w:divBdr>
    </w:div>
    <w:div w:id="971181099">
      <w:bodyDiv w:val="1"/>
      <w:marLeft w:val="0"/>
      <w:marRight w:val="0"/>
      <w:marTop w:val="0"/>
      <w:marBottom w:val="0"/>
      <w:divBdr>
        <w:top w:val="none" w:sz="0" w:space="0" w:color="auto"/>
        <w:left w:val="none" w:sz="0" w:space="0" w:color="auto"/>
        <w:bottom w:val="none" w:sz="0" w:space="0" w:color="auto"/>
        <w:right w:val="none" w:sz="0" w:space="0" w:color="auto"/>
      </w:divBdr>
    </w:div>
    <w:div w:id="973869609">
      <w:bodyDiv w:val="1"/>
      <w:marLeft w:val="0"/>
      <w:marRight w:val="0"/>
      <w:marTop w:val="0"/>
      <w:marBottom w:val="0"/>
      <w:divBdr>
        <w:top w:val="none" w:sz="0" w:space="0" w:color="auto"/>
        <w:left w:val="none" w:sz="0" w:space="0" w:color="auto"/>
        <w:bottom w:val="none" w:sz="0" w:space="0" w:color="auto"/>
        <w:right w:val="none" w:sz="0" w:space="0" w:color="auto"/>
      </w:divBdr>
    </w:div>
    <w:div w:id="1229612672">
      <w:bodyDiv w:val="1"/>
      <w:marLeft w:val="0"/>
      <w:marRight w:val="0"/>
      <w:marTop w:val="0"/>
      <w:marBottom w:val="0"/>
      <w:divBdr>
        <w:top w:val="none" w:sz="0" w:space="0" w:color="auto"/>
        <w:left w:val="none" w:sz="0" w:space="0" w:color="auto"/>
        <w:bottom w:val="none" w:sz="0" w:space="0" w:color="auto"/>
        <w:right w:val="none" w:sz="0" w:space="0" w:color="auto"/>
      </w:divBdr>
    </w:div>
    <w:div w:id="1377051256">
      <w:bodyDiv w:val="1"/>
      <w:marLeft w:val="0"/>
      <w:marRight w:val="0"/>
      <w:marTop w:val="0"/>
      <w:marBottom w:val="0"/>
      <w:divBdr>
        <w:top w:val="none" w:sz="0" w:space="0" w:color="auto"/>
        <w:left w:val="none" w:sz="0" w:space="0" w:color="auto"/>
        <w:bottom w:val="none" w:sz="0" w:space="0" w:color="auto"/>
        <w:right w:val="none" w:sz="0" w:space="0" w:color="auto"/>
      </w:divBdr>
    </w:div>
    <w:div w:id="1404378779">
      <w:bodyDiv w:val="1"/>
      <w:marLeft w:val="0"/>
      <w:marRight w:val="0"/>
      <w:marTop w:val="0"/>
      <w:marBottom w:val="0"/>
      <w:divBdr>
        <w:top w:val="none" w:sz="0" w:space="0" w:color="auto"/>
        <w:left w:val="none" w:sz="0" w:space="0" w:color="auto"/>
        <w:bottom w:val="none" w:sz="0" w:space="0" w:color="auto"/>
        <w:right w:val="none" w:sz="0" w:space="0" w:color="auto"/>
      </w:divBdr>
    </w:div>
    <w:div w:id="1593318038">
      <w:bodyDiv w:val="1"/>
      <w:marLeft w:val="0"/>
      <w:marRight w:val="0"/>
      <w:marTop w:val="0"/>
      <w:marBottom w:val="0"/>
      <w:divBdr>
        <w:top w:val="none" w:sz="0" w:space="0" w:color="auto"/>
        <w:left w:val="none" w:sz="0" w:space="0" w:color="auto"/>
        <w:bottom w:val="none" w:sz="0" w:space="0" w:color="auto"/>
        <w:right w:val="none" w:sz="0" w:space="0" w:color="auto"/>
      </w:divBdr>
    </w:div>
    <w:div w:id="212221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hyperlink" Target="mailto:hfisc@hfisc.gr" TargetMode="Externa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hyperlink" Target="https://www.ecb.europa.eu/mopo/implement/pepp/html/index.en.html"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fontTable" Target="fontTable.xml"/><Relationship Id="rId10" Type="http://schemas.openxmlformats.org/officeDocument/2006/relationships/hyperlink" Target="http://www.hfisc.gr" TargetMode="External"/><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chart" Target="charts/chart33.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4.xml"/><Relationship Id="rId20" Type="http://schemas.openxmlformats.org/officeDocument/2006/relationships/chart" Target="charts/chart9.xml"/><Relationship Id="rId41"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hfisc.gr/sites/default/files/earini_2020_final_0.pdf" TargetMode="External"/><Relationship Id="rId7" Type="http://schemas.openxmlformats.org/officeDocument/2006/relationships/hyperlink" Target="https://www.hfisc.gr/ekfrasi-gnomis/theseis-toy-eds-anaforika-me-tin-anatheorisi-toy-symfonoy-statherotitas-kai-anaptyxis" TargetMode="External"/><Relationship Id="rId2" Type="http://schemas.openxmlformats.org/officeDocument/2006/relationships/hyperlink" Target="https://www.aia.gr/userfiles/675393df-ab1a-4b77-826c-f3096a3d7f12/passenger-traffic-october-21-gr.pdf" TargetMode="External"/><Relationship Id="rId1" Type="http://schemas.openxmlformats.org/officeDocument/2006/relationships/hyperlink" Target="https://www.ecb.europa.eu/pub/pdf/other/ecb.projections202109_ecbstaff~1f59a501e2.en.pdf" TargetMode="External"/><Relationship Id="rId6" Type="http://schemas.openxmlformats.org/officeDocument/2006/relationships/hyperlink" Target="https://ec.europa.eu/info/sites/default/files/2018-efb-annual-report_en.pdf" TargetMode="External"/><Relationship Id="rId5" Type="http://schemas.openxmlformats.org/officeDocument/2006/relationships/hyperlink" Target="https://eur-lex.europa.eu/legal-content/EL/TXT/PDF/" TargetMode="External"/><Relationship Id="rId4" Type="http://schemas.openxmlformats.org/officeDocument/2006/relationships/hyperlink" Target="https://eur-lex.europa.eu/LexUriServ/LexUriServ.do"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dimitriou\Desktop\&#966;&#952;&#953;&#957;&#959;&#960;&#969;&#961;&#953;&#957;&#942;%202021\&#915;&#961;&#945;&#966;&#942;&#956;&#945;&#964;&#945;.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D:\&#922;&#945;&#961;&#953;&#941;&#961;&#945;\&#917;&#916;&#931;\&#922;&#959;&#961;&#969;&#957;&#959;&#970;&#972;&#962;\11.%20&#925;&#959;&#941;&#956;&#946;&#961;&#953;&#959;&#962;%202021\&#928;&#945;&#961;&#945;&#948;&#959;&#964;&#941;&#945;\&#928;&#955;&#951;&#952;&#969;&#961;&#953;&#963;&#956;&#972;&#962;%2012_11_21.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______________Microsoft_Excel.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______________Microsoft_Excel1.xlsx"/></Relationships>
</file>

<file path=word/charts/_rels/chart13.xml.rels><?xml version="1.0" encoding="UTF-8" standalone="yes"?>
<Relationships xmlns="http://schemas.openxmlformats.org/package/2006/relationships"><Relationship Id="rId2" Type="http://schemas.openxmlformats.org/officeDocument/2006/relationships/oleObject" Target="file:///D:\&#922;&#945;&#961;&#953;&#941;&#961;&#945;\&#917;&#916;&#931;\&#922;&#959;&#961;&#969;&#957;&#959;&#970;&#972;&#962;\11.%20&#925;&#959;&#941;&#956;&#946;&#961;&#953;&#959;&#962;%202021\&#928;&#945;&#961;&#945;&#948;&#959;&#964;&#941;&#945;\&#921;&#963;&#959;&#950;&#973;&#947;&#953;&#959;%20&#960;&#955;&#951;&#961;&#969;&#956;&#974;&#957;%202_11_21.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D:\&#922;&#945;&#961;&#953;&#941;&#961;&#945;\&#917;&#916;&#931;\&#922;&#959;&#961;&#969;&#957;&#959;&#970;&#972;&#962;\11.%20&#925;&#959;&#941;&#956;&#946;&#961;&#953;&#959;&#962;%202021\&#928;&#945;&#961;&#945;&#948;&#959;&#964;&#941;&#945;\&#921;&#963;&#959;&#950;&#973;&#947;&#953;&#959;%20&#960;&#955;&#951;&#961;&#969;&#956;&#974;&#957;%202_11_21.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D:\&#922;&#945;&#961;&#953;&#941;&#961;&#945;\&#917;&#916;&#931;\&#922;&#959;&#961;&#969;&#957;&#959;&#970;&#972;&#962;\11.%20&#925;&#959;&#941;&#956;&#946;&#961;&#953;&#959;&#962;%202021\&#928;&#945;&#961;&#945;&#948;&#959;&#964;&#941;&#945;\&#921;&#963;&#959;&#950;&#973;&#947;&#953;&#959;%20&#960;&#955;&#951;&#961;&#969;&#956;&#974;&#957;%202_11_21.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D:\&#922;&#945;&#961;&#953;&#941;&#961;&#945;\&#917;&#916;&#931;\&#922;&#959;&#961;&#969;&#957;&#959;&#970;&#972;&#962;\11.%20&#925;&#959;&#941;&#956;&#946;&#961;&#953;&#959;&#962;%202021\&#928;&#945;&#961;&#945;&#948;&#959;&#964;&#941;&#945;\&#921;&#963;&#959;&#950;&#973;&#947;&#953;&#959;%20&#960;&#955;&#951;&#961;&#969;&#956;&#974;&#957;%202_11_21.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D:\&#922;&#945;&#961;&#953;&#941;&#961;&#945;\&#917;&#916;&#931;\&#922;&#959;&#961;&#969;&#957;&#959;&#970;&#972;&#962;\11.%20&#925;&#959;&#941;&#956;&#946;&#961;&#953;&#959;&#962;%202021\&#928;&#945;&#961;&#945;&#948;&#959;&#964;&#941;&#945;\&#921;&#963;&#959;&#950;&#973;&#947;&#953;&#959;%20&#960;&#955;&#951;&#961;&#969;&#956;&#974;&#957;%202_11_21.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D:\&#922;&#945;&#961;&#953;&#941;&#961;&#945;\&#917;&#916;&#931;\&#922;&#959;&#961;&#969;&#957;&#959;&#970;&#972;&#962;\11.%20&#925;&#959;&#941;&#956;&#946;&#961;&#953;&#959;&#962;%202021\&#928;&#945;&#961;&#945;&#948;&#959;&#964;&#941;&#945;\&#921;&#963;&#959;&#950;&#973;&#947;&#953;&#959;%20&#960;&#955;&#951;&#961;&#969;&#956;&#974;&#957;%202_11_21.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dimitriou\Desktop\&#966;&#952;&#953;&#957;&#959;&#960;&#969;&#961;&#953;&#957;&#942;%202021\&#960;&#961;&#959;&#946;&#955;&#941;&#968;&#949;&#953;&#962;%20&#913;&#917;&#928;.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hfisc-vsrv-02\HFISC_DATA\research\kostakis\&#915;&#921;&#913;&#925;&#925;&#919;&#931;\&#933;&#928;&#919;&#929;&#917;&#931;&#921;&#913;&#931;\HFISC_&#917;&#922;&#920;&#917;&#931;&#917;&#921;&#931;\&#917;&#926;&#913;&#924;&#919;&#925;&#921;&#913;&#921;&#913;\&#934;&#920;&#921;&#925;2021\&#927;&#953;&#954;&#959;&#957;&#959;&#956;&#953;&#942;%20&#963;&#965;&#947;&#954;&#965;&#961;&#943;&#945;%20&#934;2021.xls"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hfisc-vsrv-02\HFISC_DATA\research\kostakis\&#915;&#921;&#913;&#925;&#925;&#919;&#931;\&#933;&#928;&#919;&#929;&#917;&#931;&#921;&#913;&#931;\HFISC_&#917;&#922;&#920;&#917;&#931;&#917;&#921;&#931;\&#917;&#926;&#913;&#924;&#919;&#925;&#921;&#913;&#921;&#913;\&#934;&#920;&#921;&#925;2021\&#927;&#953;&#954;&#959;&#957;&#959;&#956;&#953;&#942;%20&#963;&#965;&#947;&#954;&#965;&#961;&#943;&#945;%20&#934;2021.xls"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______________Microsoft_Excel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hfisc-vsrv-02\HFISC_DATA\research\kostakis\&#915;&#921;&#913;&#925;&#925;&#919;&#931;\&#933;&#928;&#919;&#929;&#917;&#931;&#921;&#913;&#931;\HFISC_&#917;&#922;&#920;&#917;&#931;&#917;&#921;&#931;\&#917;&#926;&#913;&#924;&#919;&#925;&#921;&#913;&#921;&#913;\&#934;&#920;&#921;&#925;2021\PMI.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Hfisc-vsrv-02\hfisc_data\research\pappas\&#917;&#916;&#931;\&#917;&#916;&#931;_1_6_2020\&#917;&#922;&#920;&#917;&#931;&#917;&#921;&#931;\010.%20&#934;&#920;&#921;&#925;&#927;&#928;&#937;&#929;&#921;&#925;&#919;%202021\&#935;&#961;&#951;&#956;&#945;&#964;&#959;&#960;&#953;&#963;&#964;&#969;&#964;&#953;&#954;&#940;\&#922;&#945;&#964;&#945;&#952;&#941;&#963;&#949;&#953;&#962;_&#964;&#959;&#956;&#941;&#945;.xls" TargetMode="External"/></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______________Microsoft_Excel3.xlsx"/></Relationships>
</file>

<file path=word/charts/_rels/chart26.xml.rels><?xml version="1.0" encoding="UTF-8" standalone="yes"?>
<Relationships xmlns="http://schemas.openxmlformats.org/package/2006/relationships"><Relationship Id="rId2" Type="http://schemas.openxmlformats.org/officeDocument/2006/relationships/oleObject" Target="file:///\\hfisc-vsrv-02\HFISC_DATA\research\kostakis\&#915;&#921;&#913;&#925;&#925;&#919;&#931;\&#933;&#928;&#919;&#929;&#917;&#931;&#921;&#913;&#931;\HFISC_&#917;&#922;&#920;&#917;&#931;&#917;&#921;&#931;\&#917;&#926;&#913;&#924;&#919;&#925;&#921;&#913;&#921;&#913;\&#934;&#920;&#921;&#925;2021\&#916;&#945;&#957;&#949;&#953;&#945;_1980.xls" TargetMode="External"/><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hfisc-vsrv-02\HFISC_DATA\research\kostakis\&#915;&#921;&#913;&#925;&#925;&#919;&#931;\&#933;&#928;&#919;&#929;&#917;&#931;&#921;&#913;&#931;\HFISC_&#917;&#922;&#920;&#917;&#931;&#917;&#921;&#931;\&#917;&#926;&#913;&#924;&#919;&#925;&#921;&#913;&#921;&#913;\&#934;&#920;&#921;&#925;2021\&#916;&#945;&#957;&#949;&#953;&#945;_1980.xls" TargetMode="External"/><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hfisc-vsrv-02\HFISC_DATA\research\kostakis\&#915;&#921;&#913;&#925;&#925;&#919;&#931;\&#933;&#928;&#919;&#929;&#917;&#931;&#921;&#913;&#931;\HFISC_&#917;&#922;&#920;&#917;&#931;&#917;&#921;&#931;\&#917;&#926;&#913;&#924;&#919;&#925;&#921;&#913;&#921;&#913;\&#934;&#920;&#921;&#925;2021\NPLS_TIMESERIES_BoG_GR%20(8).xlsx" TargetMode="External"/></Relationships>
</file>

<file path=word/charts/_rels/chart29.xml.rels><?xml version="1.0" encoding="UTF-8" standalone="yes"?>
<Relationships xmlns="http://schemas.openxmlformats.org/package/2006/relationships"><Relationship Id="rId3" Type="http://schemas.openxmlformats.org/officeDocument/2006/relationships/package" Target="../embeddings/___________________Microsoft_Excel4.xlsx"/><Relationship Id="rId2" Type="http://schemas.microsoft.com/office/2011/relationships/chartColorStyle" Target="colors10.xml"/><Relationship Id="rId1" Type="http://schemas.microsoft.com/office/2011/relationships/chartStyle" Target="style10.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geoio\Desktop\1.2%20-%20&#922;&#923;&#913;&#916;&#921;&#922;&#917;&#931;%20&#917;&#926;&#917;&#923;&#921;&#926;&#917;&#921;&#931;.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______________Microsoft_Excel5.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Hfisc-vsrv-02\HFISC_DATA\research\schoinas\&#904;&#954;&#952;&#949;&#963;&#951;%20&#914;%202021\&#923;&#951;&#958;&#953;&#960;&#961;&#972;&#952;&#949;&#963;&#956;&#949;&#962;%20&#927;&#966;&#949;&#953;&#955;&#941;&#962;\&#923;&#919;&#926;&#921;&#928;&#929;&#927;&#920;&#917;&#931;&#924;&#917;&#931;%20&#913;&#928;&#913;&#921;&#932;&#919;&#931;&#917;&#921;&#931;%20%20&#913;&#965;&#947;&#959;&#973;&#963;&#964;&#959;&#965;%202021%20xlsx.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______________Microsoft_Excel6.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______________Microsoft_Excel7.xlsx"/><Relationship Id="rId1" Type="http://schemas.openxmlformats.org/officeDocument/2006/relationships/themeOverride" Target="../theme/themeOverride30.xm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______________Microsoft_Excel8.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______________Microsoft_Excel9.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geoio\Desktop\1.2%20-%20&#922;&#923;&#913;&#916;&#921;&#922;&#917;&#931;%20&#917;&#926;&#917;&#923;&#921;&#926;&#917;&#921;&#93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geoio\Desktop\1.2%20-%20&#922;&#923;&#913;&#916;&#921;&#922;&#917;&#931;%20&#917;&#926;&#917;&#923;&#921;&#926;&#917;&#921;&#93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geoio\Desktop\1.2%20-%20&#922;&#923;&#913;&#916;&#921;&#922;&#917;&#931;%20&#917;&#926;&#917;&#923;&#921;&#926;&#917;&#921;&#931;.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D:\&#922;&#945;&#961;&#953;&#941;&#961;&#945;\&#917;&#916;&#931;\&#922;&#959;&#961;&#969;&#957;&#959;&#970;&#972;&#962;\11.%20&#925;&#959;&#941;&#956;&#946;&#961;&#953;&#959;&#962;%202021\&#928;&#945;&#961;&#945;&#948;&#959;&#964;&#941;&#945;\&#928;&#955;&#951;&#952;&#969;&#961;&#953;&#963;&#956;&#972;&#962;%2012_11_2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922;&#945;&#961;&#953;&#941;&#961;&#945;\&#917;&#916;&#931;\&#922;&#959;&#961;&#969;&#957;&#959;&#970;&#972;&#962;\11.%20&#925;&#959;&#941;&#956;&#946;&#961;&#953;&#959;&#962;%202021\&#928;&#945;&#961;&#945;&#948;&#959;&#964;&#941;&#945;\&#928;&#955;&#951;&#952;&#969;&#961;&#953;&#963;&#956;&#972;&#962;%2012_11_21.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922;&#945;&#961;&#953;&#941;&#961;&#945;\&#917;&#916;&#931;\&#922;&#959;&#961;&#969;&#957;&#959;&#970;&#972;&#962;\11.%20&#925;&#959;&#941;&#956;&#946;&#961;&#953;&#959;&#962;%202021\&#928;&#945;&#961;&#945;&#948;&#959;&#964;&#941;&#945;\&#928;&#955;&#951;&#952;&#969;&#961;&#953;&#963;&#956;&#972;&#962;%2012_11_21.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88648293963255"/>
          <c:y val="5.0925925925925923E-2"/>
          <c:w val="0.79076837270341205"/>
          <c:h val="0.71402012248468938"/>
        </c:manualLayout>
      </c:layout>
      <c:barChart>
        <c:barDir val="col"/>
        <c:grouping val="clustered"/>
        <c:varyColors val="0"/>
        <c:ser>
          <c:idx val="0"/>
          <c:order val="0"/>
          <c:tx>
            <c:strRef>
              <c:f>GDP!$G$108</c:f>
              <c:strCache>
                <c:ptCount val="1"/>
                <c:pt idx="0">
                  <c:v>ΑΕΠ</c:v>
                </c:pt>
              </c:strCache>
            </c:strRef>
          </c:tx>
          <c:spPr>
            <a:solidFill>
              <a:schemeClr val="accent1"/>
            </a:solidFill>
            <a:ln w="0">
              <a:noFill/>
            </a:ln>
            <a:effectLst>
              <a:outerShdw blurRad="50800" dist="38100" dir="2700000" algn="tl" rotWithShape="0">
                <a:prstClr val="black">
                  <a:alpha val="40000"/>
                </a:prstClr>
              </a:outerShdw>
            </a:effectLst>
          </c:spPr>
          <c:invertIfNegative val="0"/>
          <c:cat>
            <c:multiLvlStrRef>
              <c:f>GDP!$A$97:$B$114</c:f>
              <c:multiLvlStrCache>
                <c:ptCount val="10"/>
                <c:lvl>
                  <c:pt idx="0">
                    <c:v>I</c:v>
                  </c:pt>
                  <c:pt idx="1">
                    <c:v>II</c:v>
                  </c:pt>
                  <c:pt idx="2">
                    <c:v>ΙΙΙ</c:v>
                  </c:pt>
                  <c:pt idx="3">
                    <c:v>IV</c:v>
                  </c:pt>
                  <c:pt idx="4">
                    <c:v>I</c:v>
                  </c:pt>
                  <c:pt idx="5">
                    <c:v>II</c:v>
                  </c:pt>
                  <c:pt idx="6">
                    <c:v>ΙΙΙ</c:v>
                  </c:pt>
                  <c:pt idx="7">
                    <c:v>IV</c:v>
                  </c:pt>
                  <c:pt idx="8">
                    <c:v>I</c:v>
                  </c:pt>
                  <c:pt idx="9">
                    <c:v>II</c:v>
                  </c:pt>
                </c:lvl>
                <c:lvl>
                  <c:pt idx="0">
                    <c:v>2019</c:v>
                  </c:pt>
                  <c:pt idx="4">
                    <c:v>2020</c:v>
                  </c:pt>
                  <c:pt idx="8">
                    <c:v>2021</c:v>
                  </c:pt>
                </c:lvl>
              </c:multiLvlStrCache>
            </c:multiLvlStrRef>
          </c:cat>
          <c:val>
            <c:numRef>
              <c:f>GDP!$C$97:$C$114</c:f>
              <c:numCache>
                <c:formatCode>0</c:formatCode>
                <c:ptCount val="10"/>
                <c:pt idx="0">
                  <c:v>45686.555373514435</c:v>
                </c:pt>
                <c:pt idx="1">
                  <c:v>45971.561114366697</c:v>
                </c:pt>
                <c:pt idx="2">
                  <c:v>45702.314520468077</c:v>
                </c:pt>
                <c:pt idx="3">
                  <c:v>45683.191820318651</c:v>
                </c:pt>
                <c:pt idx="4">
                  <c:v>45486.59765322056</c:v>
                </c:pt>
                <c:pt idx="5">
                  <c:v>39577.672364731021</c:v>
                </c:pt>
                <c:pt idx="6">
                  <c:v>41116.362626379465</c:v>
                </c:pt>
                <c:pt idx="7">
                  <c:v>42555.287743016066</c:v>
                </c:pt>
                <c:pt idx="8">
                  <c:v>44460.478412311946</c:v>
                </c:pt>
                <c:pt idx="9">
                  <c:v>45987.32961588246</c:v>
                </c:pt>
              </c:numCache>
            </c:numRef>
          </c:val>
          <c:extLst>
            <c:ext xmlns:c16="http://schemas.microsoft.com/office/drawing/2014/chart" uri="{C3380CC4-5D6E-409C-BE32-E72D297353CC}">
              <c16:uniqueId val="{00000000-521C-4F35-A3D0-20E962BAFFAB}"/>
            </c:ext>
          </c:extLst>
        </c:ser>
        <c:dLbls>
          <c:showLegendKey val="0"/>
          <c:showVal val="0"/>
          <c:showCatName val="0"/>
          <c:showSerName val="0"/>
          <c:showPercent val="0"/>
          <c:showBubbleSize val="0"/>
        </c:dLbls>
        <c:gapWidth val="79"/>
        <c:overlap val="91"/>
        <c:axId val="1126098447"/>
        <c:axId val="1126099695"/>
      </c:barChart>
      <c:lineChart>
        <c:grouping val="standard"/>
        <c:varyColors val="0"/>
        <c:ser>
          <c:idx val="2"/>
          <c:order val="1"/>
          <c:tx>
            <c:strRef>
              <c:f>GDP!$F$108</c:f>
              <c:strCache>
                <c:ptCount val="1"/>
                <c:pt idx="0">
                  <c:v>ετήσια μεταβολή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rebuchet MS" panose="020B0603020202020204" pitchFamily="34" charset="0"/>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GDP!$A$97:$B$114</c:f>
              <c:multiLvlStrCache>
                <c:ptCount val="10"/>
                <c:lvl>
                  <c:pt idx="0">
                    <c:v>I</c:v>
                  </c:pt>
                  <c:pt idx="1">
                    <c:v>II</c:v>
                  </c:pt>
                  <c:pt idx="2">
                    <c:v>ΙΙΙ</c:v>
                  </c:pt>
                  <c:pt idx="3">
                    <c:v>IV</c:v>
                  </c:pt>
                  <c:pt idx="4">
                    <c:v>I</c:v>
                  </c:pt>
                  <c:pt idx="5">
                    <c:v>II</c:v>
                  </c:pt>
                  <c:pt idx="6">
                    <c:v>ΙΙΙ</c:v>
                  </c:pt>
                  <c:pt idx="7">
                    <c:v>IV</c:v>
                  </c:pt>
                  <c:pt idx="8">
                    <c:v>I</c:v>
                  </c:pt>
                  <c:pt idx="9">
                    <c:v>II</c:v>
                  </c:pt>
                </c:lvl>
                <c:lvl>
                  <c:pt idx="0">
                    <c:v>2019</c:v>
                  </c:pt>
                  <c:pt idx="4">
                    <c:v>2020</c:v>
                  </c:pt>
                  <c:pt idx="8">
                    <c:v>2021</c:v>
                  </c:pt>
                </c:lvl>
              </c:multiLvlStrCache>
            </c:multiLvlStrRef>
          </c:cat>
          <c:val>
            <c:numRef>
              <c:f>GDP!$E$97:$E$114</c:f>
              <c:numCache>
                <c:formatCode>0.0%</c:formatCode>
                <c:ptCount val="10"/>
                <c:pt idx="0">
                  <c:v>1.834368482754491E-2</c:v>
                </c:pt>
                <c:pt idx="1">
                  <c:v>2.2573703237079683E-2</c:v>
                </c:pt>
                <c:pt idx="2">
                  <c:v>1.5679533699079033E-2</c:v>
                </c:pt>
                <c:pt idx="3">
                  <c:v>9.562740665906639E-3</c:v>
                </c:pt>
                <c:pt idx="4">
                  <c:v>-4.3767300611548101E-3</c:v>
                </c:pt>
                <c:pt idx="5">
                  <c:v>-0.13908356807220768</c:v>
                </c:pt>
                <c:pt idx="6">
                  <c:v>-0.10034397474628476</c:v>
                </c:pt>
                <c:pt idx="7">
                  <c:v>-6.8469473184038274E-2</c:v>
                </c:pt>
                <c:pt idx="8">
                  <c:v>-2.2558716058112615E-2</c:v>
                </c:pt>
                <c:pt idx="9">
                  <c:v>0.16195134448743623</c:v>
                </c:pt>
              </c:numCache>
            </c:numRef>
          </c:val>
          <c:smooth val="0"/>
          <c:extLst>
            <c:ext xmlns:c16="http://schemas.microsoft.com/office/drawing/2014/chart" uri="{C3380CC4-5D6E-409C-BE32-E72D297353CC}">
              <c16:uniqueId val="{00000001-521C-4F35-A3D0-20E962BAFFAB}"/>
            </c:ext>
          </c:extLst>
        </c:ser>
        <c:dLbls>
          <c:showLegendKey val="0"/>
          <c:showVal val="0"/>
          <c:showCatName val="0"/>
          <c:showSerName val="0"/>
          <c:showPercent val="0"/>
          <c:showBubbleSize val="0"/>
        </c:dLbls>
        <c:marker val="1"/>
        <c:smooth val="0"/>
        <c:axId val="1126098863"/>
        <c:axId val="1126096367"/>
      </c:lineChart>
      <c:catAx>
        <c:axId val="1126098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rebuchet MS" panose="020B0603020202020204" pitchFamily="34" charset="0"/>
                <a:ea typeface="+mn-ea"/>
                <a:cs typeface="+mn-cs"/>
              </a:defRPr>
            </a:pPr>
            <a:endParaRPr lang="el-GR"/>
          </a:p>
        </c:txPr>
        <c:crossAx val="1126099695"/>
        <c:crosses val="autoZero"/>
        <c:auto val="1"/>
        <c:lblAlgn val="ctr"/>
        <c:lblOffset val="100"/>
        <c:noMultiLvlLbl val="0"/>
      </c:catAx>
      <c:valAx>
        <c:axId val="1126099695"/>
        <c:scaling>
          <c:orientation val="minMax"/>
          <c:min val="38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el-GR"/>
          </a:p>
        </c:txPr>
        <c:crossAx val="1126098447"/>
        <c:crosses val="autoZero"/>
        <c:crossBetween val="between"/>
      </c:valAx>
      <c:valAx>
        <c:axId val="1126096367"/>
        <c:scaling>
          <c:orientation val="minMax"/>
          <c:max val="0.17"/>
          <c:min val="-0.16000000000000003"/>
        </c:scaling>
        <c:delete val="0"/>
        <c:axPos val="r"/>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el-GR"/>
          </a:p>
        </c:txPr>
        <c:crossAx val="1126098863"/>
        <c:crosses val="max"/>
        <c:crossBetween val="between"/>
        <c:majorUnit val="4.0000000000000008E-2"/>
      </c:valAx>
      <c:catAx>
        <c:axId val="1126098863"/>
        <c:scaling>
          <c:orientation val="minMax"/>
        </c:scaling>
        <c:delete val="1"/>
        <c:axPos val="b"/>
        <c:numFmt formatCode="General" sourceLinked="1"/>
        <c:majorTickMark val="none"/>
        <c:minorTickMark val="none"/>
        <c:tickLblPos val="nextTo"/>
        <c:crossAx val="1126096367"/>
        <c:crosses val="autoZero"/>
        <c:auto val="1"/>
        <c:lblAlgn val="ctr"/>
        <c:lblOffset val="100"/>
        <c:noMultiLvlLbl val="0"/>
      </c:catAx>
      <c:spPr>
        <a:noFill/>
        <a:ln>
          <a:noFill/>
        </a:ln>
        <a:effectLst/>
      </c:spPr>
    </c:plotArea>
    <c:legend>
      <c:legendPos val="b"/>
      <c:layout>
        <c:manualLayout>
          <c:xMode val="edge"/>
          <c:yMode val="edge"/>
          <c:x val="0.17229440069991253"/>
          <c:y val="0.92187445319335082"/>
          <c:w val="0.5998554243219597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el-GR"/>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el-GR"/>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585471170942344E-2"/>
          <c:y val="4.9629888036147388E-2"/>
          <c:w val="0.8925191166551727"/>
          <c:h val="0.64687217616859471"/>
        </c:manualLayout>
      </c:layout>
      <c:lineChart>
        <c:grouping val="standard"/>
        <c:varyColors val="0"/>
        <c:ser>
          <c:idx val="0"/>
          <c:order val="0"/>
          <c:tx>
            <c:v>Ελλάδα</c:v>
          </c:tx>
          <c:spPr>
            <a:ln>
              <a:solidFill>
                <a:srgbClr val="00B0F0"/>
              </a:solidFill>
            </a:ln>
          </c:spPr>
          <c:marker>
            <c:symbol val="square"/>
            <c:size val="5"/>
            <c:spPr>
              <a:solidFill>
                <a:srgbClr val="00B0F0"/>
              </a:solidFill>
              <a:ln>
                <a:solidFill>
                  <a:srgbClr val="00B0F0"/>
                </a:solidFill>
              </a:ln>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8F-46BC-9B73-9A495C8B3B81}"/>
                </c:ext>
              </c:extLst>
            </c:dLbl>
            <c:dLbl>
              <c:idx val="3"/>
              <c:spPr/>
              <c:txPr>
                <a:bodyPr/>
                <a:lstStyle/>
                <a:p>
                  <a:pPr>
                    <a:defRPr b="1">
                      <a:solidFill>
                        <a:schemeClr val="accent1">
                          <a:lumMod val="50000"/>
                        </a:schemeClr>
                      </a:solidFill>
                    </a:defRPr>
                  </a:pPr>
                  <a:endParaRPr lang="el-GR"/>
                </a:p>
              </c:txPr>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8F-46BC-9B73-9A495C8B3B81}"/>
                </c:ext>
              </c:extLst>
            </c:dLbl>
            <c:dLbl>
              <c:idx val="20"/>
              <c:spPr/>
              <c:txPr>
                <a:bodyPr/>
                <a:lstStyle/>
                <a:p>
                  <a:pPr>
                    <a:defRPr b="1">
                      <a:solidFill>
                        <a:schemeClr val="accent1">
                          <a:lumMod val="50000"/>
                        </a:schemeClr>
                      </a:solidFill>
                    </a:defRPr>
                  </a:pPr>
                  <a:endParaRPr lang="el-GR"/>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8F-46BC-9B73-9A495C8B3B81}"/>
                </c:ext>
              </c:extLst>
            </c:dLbl>
            <c:spPr>
              <a:noFill/>
              <a:ln>
                <a:noFill/>
              </a:ln>
              <a:effectLst/>
            </c:spPr>
            <c:txPr>
              <a:bodyPr wrap="square" lIns="38100" tIns="19050" rIns="38100" bIns="19050" anchor="ctr">
                <a:spAutoFit/>
              </a:bodyPr>
              <a:lstStyle/>
              <a:p>
                <a:pPr>
                  <a:defRPr>
                    <a:solidFill>
                      <a:schemeClr val="accent1">
                        <a:lumMod val="50000"/>
                      </a:schemeClr>
                    </a:solidFill>
                  </a:defRPr>
                </a:pPr>
                <a:endParaRPr lang="el-GR"/>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'monthly+constant'!$B$10:$V$11</c:f>
              <c:multiLvlStrCache>
                <c:ptCount val="21"/>
                <c:lvl>
                  <c:pt idx="0">
                    <c:v>Φεβ.</c:v>
                  </c:pt>
                  <c:pt idx="1">
                    <c:v>Μάρ.</c:v>
                  </c:pt>
                  <c:pt idx="2">
                    <c:v>Απρ.</c:v>
                  </c:pt>
                  <c:pt idx="3">
                    <c:v>Μάιος</c:v>
                  </c:pt>
                  <c:pt idx="4">
                    <c:v>Ιούν.</c:v>
                  </c:pt>
                  <c:pt idx="5">
                    <c:v>Ιούλ.</c:v>
                  </c:pt>
                  <c:pt idx="6">
                    <c:v>Αύγ.</c:v>
                  </c:pt>
                  <c:pt idx="7">
                    <c:v>Σεπ.</c:v>
                  </c:pt>
                  <c:pt idx="8">
                    <c:v>Οκτ.</c:v>
                  </c:pt>
                  <c:pt idx="9">
                    <c:v>Νοέμ.</c:v>
                  </c:pt>
                  <c:pt idx="10">
                    <c:v>Δεκ.</c:v>
                  </c:pt>
                  <c:pt idx="11">
                    <c:v>Ιαν.</c:v>
                  </c:pt>
                  <c:pt idx="12">
                    <c:v>Φεβ.</c:v>
                  </c:pt>
                  <c:pt idx="13">
                    <c:v>Μάρ.</c:v>
                  </c:pt>
                  <c:pt idx="14">
                    <c:v>Απρ.</c:v>
                  </c:pt>
                  <c:pt idx="15">
                    <c:v>Μάιος</c:v>
                  </c:pt>
                  <c:pt idx="16">
                    <c:v>Ιούν.</c:v>
                  </c:pt>
                  <c:pt idx="17">
                    <c:v>Ιούλ.</c:v>
                  </c:pt>
                  <c:pt idx="18">
                    <c:v>Αύγ.</c:v>
                  </c:pt>
                  <c:pt idx="19">
                    <c:v>Σεπ.</c:v>
                  </c:pt>
                  <c:pt idx="20">
                    <c:v>Οκτ.</c:v>
                  </c:pt>
                </c:lvl>
                <c:lvl>
                  <c:pt idx="0">
                    <c:v>2020</c:v>
                  </c:pt>
                  <c:pt idx="11">
                    <c:v>2021</c:v>
                  </c:pt>
                </c:lvl>
              </c:multiLvlStrCache>
            </c:multiLvlStrRef>
          </c:cat>
          <c:val>
            <c:numRef>
              <c:f>'monthly+constant'!$B$160:$V$160</c:f>
              <c:numCache>
                <c:formatCode>#,##0.0</c:formatCode>
                <c:ptCount val="21"/>
                <c:pt idx="0">
                  <c:v>1.3</c:v>
                </c:pt>
                <c:pt idx="1">
                  <c:v>-5.9</c:v>
                </c:pt>
                <c:pt idx="2">
                  <c:v>-14.3</c:v>
                </c:pt>
                <c:pt idx="3">
                  <c:v>-15.9</c:v>
                </c:pt>
                <c:pt idx="4">
                  <c:v>-13.4</c:v>
                </c:pt>
                <c:pt idx="5">
                  <c:v>-12.6</c:v>
                </c:pt>
                <c:pt idx="6">
                  <c:v>-12.8</c:v>
                </c:pt>
                <c:pt idx="7">
                  <c:v>-13.3</c:v>
                </c:pt>
                <c:pt idx="8">
                  <c:v>-11.7</c:v>
                </c:pt>
                <c:pt idx="9">
                  <c:v>-11.7</c:v>
                </c:pt>
                <c:pt idx="10">
                  <c:v>-10.8</c:v>
                </c:pt>
                <c:pt idx="11">
                  <c:v>-9.6999999999999993</c:v>
                </c:pt>
                <c:pt idx="12">
                  <c:v>-5.7</c:v>
                </c:pt>
                <c:pt idx="13">
                  <c:v>1.9</c:v>
                </c:pt>
                <c:pt idx="14">
                  <c:v>9.8000000000000007</c:v>
                </c:pt>
                <c:pt idx="15">
                  <c:v>13.2</c:v>
                </c:pt>
                <c:pt idx="16">
                  <c:v>12</c:v>
                </c:pt>
                <c:pt idx="17">
                  <c:v>12.1</c:v>
                </c:pt>
                <c:pt idx="18">
                  <c:v>12.7</c:v>
                </c:pt>
                <c:pt idx="19">
                  <c:v>13.2</c:v>
                </c:pt>
                <c:pt idx="20">
                  <c:v>25.3</c:v>
                </c:pt>
              </c:numCache>
            </c:numRef>
          </c:val>
          <c:smooth val="0"/>
          <c:extLst>
            <c:ext xmlns:c16="http://schemas.microsoft.com/office/drawing/2014/chart" uri="{C3380CC4-5D6E-409C-BE32-E72D297353CC}">
              <c16:uniqueId val="{00000003-628F-46BC-9B73-9A495C8B3B81}"/>
            </c:ext>
          </c:extLst>
        </c:ser>
        <c:ser>
          <c:idx val="5"/>
          <c:order val="1"/>
          <c:tx>
            <c:v>Ευρωζώνη</c:v>
          </c:tx>
          <c:spPr>
            <a:ln>
              <a:solidFill>
                <a:srgbClr val="92D050"/>
              </a:solidFill>
            </a:ln>
          </c:spPr>
          <c:marker>
            <c:symbol val="circle"/>
            <c:size val="5"/>
            <c:spPr>
              <a:solidFill>
                <a:srgbClr val="92D050"/>
              </a:solidFill>
              <a:ln>
                <a:solidFill>
                  <a:srgbClr val="92D050"/>
                </a:solidFill>
              </a:ln>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8F-46BC-9B73-9A495C8B3B81}"/>
                </c:ext>
              </c:extLst>
            </c:dLbl>
            <c:dLbl>
              <c:idx val="3"/>
              <c:spPr/>
              <c:txPr>
                <a:bodyPr/>
                <a:lstStyle/>
                <a:p>
                  <a:pPr>
                    <a:defRPr b="1" i="0">
                      <a:solidFill>
                        <a:schemeClr val="accent6">
                          <a:lumMod val="75000"/>
                        </a:schemeClr>
                      </a:solidFill>
                    </a:defRPr>
                  </a:pPr>
                  <a:endParaRPr lang="el-GR"/>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8F-46BC-9B73-9A495C8B3B81}"/>
                </c:ext>
              </c:extLst>
            </c:dLbl>
            <c:dLbl>
              <c:idx val="20"/>
              <c:layout>
                <c:manualLayout>
                  <c:x val="0"/>
                  <c:y val="1.95503421309872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28F-46BC-9B73-9A495C8B3B81}"/>
                </c:ext>
              </c:extLst>
            </c:dLbl>
            <c:spPr>
              <a:noFill/>
              <a:ln>
                <a:noFill/>
              </a:ln>
              <a:effectLst/>
            </c:spPr>
            <c:txPr>
              <a:bodyPr/>
              <a:lstStyle/>
              <a:p>
                <a:pPr>
                  <a:defRPr b="1">
                    <a:solidFill>
                      <a:schemeClr val="accent6">
                        <a:lumMod val="75000"/>
                      </a:schemeClr>
                    </a:solidFill>
                  </a:defRPr>
                </a:pPr>
                <a:endParaRPr lang="el-GR"/>
              </a:p>
            </c:tx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'monthly+constant'!$B$10:$V$11</c:f>
              <c:multiLvlStrCache>
                <c:ptCount val="21"/>
                <c:lvl>
                  <c:pt idx="0">
                    <c:v>Φεβ.</c:v>
                  </c:pt>
                  <c:pt idx="1">
                    <c:v>Μάρ.</c:v>
                  </c:pt>
                  <c:pt idx="2">
                    <c:v>Απρ.</c:v>
                  </c:pt>
                  <c:pt idx="3">
                    <c:v>Μάιος</c:v>
                  </c:pt>
                  <c:pt idx="4">
                    <c:v>Ιούν.</c:v>
                  </c:pt>
                  <c:pt idx="5">
                    <c:v>Ιούλ.</c:v>
                  </c:pt>
                  <c:pt idx="6">
                    <c:v>Αύγ.</c:v>
                  </c:pt>
                  <c:pt idx="7">
                    <c:v>Σεπ.</c:v>
                  </c:pt>
                  <c:pt idx="8">
                    <c:v>Οκτ.</c:v>
                  </c:pt>
                  <c:pt idx="9">
                    <c:v>Νοέμ.</c:v>
                  </c:pt>
                  <c:pt idx="10">
                    <c:v>Δεκ.</c:v>
                  </c:pt>
                  <c:pt idx="11">
                    <c:v>Ιαν.</c:v>
                  </c:pt>
                  <c:pt idx="12">
                    <c:v>Φεβ.</c:v>
                  </c:pt>
                  <c:pt idx="13">
                    <c:v>Μάρ.</c:v>
                  </c:pt>
                  <c:pt idx="14">
                    <c:v>Απρ.</c:v>
                  </c:pt>
                  <c:pt idx="15">
                    <c:v>Μάιος</c:v>
                  </c:pt>
                  <c:pt idx="16">
                    <c:v>Ιούν.</c:v>
                  </c:pt>
                  <c:pt idx="17">
                    <c:v>Ιούλ.</c:v>
                  </c:pt>
                  <c:pt idx="18">
                    <c:v>Αύγ.</c:v>
                  </c:pt>
                  <c:pt idx="19">
                    <c:v>Σεπ.</c:v>
                  </c:pt>
                  <c:pt idx="20">
                    <c:v>Οκτ.</c:v>
                  </c:pt>
                </c:lvl>
                <c:lvl>
                  <c:pt idx="0">
                    <c:v>2020</c:v>
                  </c:pt>
                  <c:pt idx="11">
                    <c:v>2021</c:v>
                  </c:pt>
                </c:lvl>
              </c:multiLvlStrCache>
            </c:multiLvlStrRef>
          </c:cat>
          <c:val>
            <c:numRef>
              <c:f>'monthly+constant'!$B$159:$V$159</c:f>
              <c:numCache>
                <c:formatCode>#,##0.0</c:formatCode>
                <c:ptCount val="21"/>
                <c:pt idx="0">
                  <c:v>-0.3</c:v>
                </c:pt>
                <c:pt idx="1">
                  <c:v>-4.5</c:v>
                </c:pt>
                <c:pt idx="2">
                  <c:v>-9.6999999999999993</c:v>
                </c:pt>
                <c:pt idx="3">
                  <c:v>-11.9</c:v>
                </c:pt>
                <c:pt idx="4">
                  <c:v>-9.3000000000000007</c:v>
                </c:pt>
                <c:pt idx="5">
                  <c:v>-8.4</c:v>
                </c:pt>
                <c:pt idx="6">
                  <c:v>-7.8</c:v>
                </c:pt>
                <c:pt idx="7">
                  <c:v>-8.1999999999999993</c:v>
                </c:pt>
                <c:pt idx="8">
                  <c:v>-8.1999999999999993</c:v>
                </c:pt>
                <c:pt idx="9">
                  <c:v>-8.3000000000000007</c:v>
                </c:pt>
                <c:pt idx="10">
                  <c:v>-6.9</c:v>
                </c:pt>
                <c:pt idx="11">
                  <c:v>-4.2</c:v>
                </c:pt>
                <c:pt idx="12">
                  <c:v>-1.7</c:v>
                </c:pt>
                <c:pt idx="13">
                  <c:v>4.3</c:v>
                </c:pt>
                <c:pt idx="14">
                  <c:v>10.4</c:v>
                </c:pt>
                <c:pt idx="15">
                  <c:v>13.1</c:v>
                </c:pt>
                <c:pt idx="16">
                  <c:v>12.6</c:v>
                </c:pt>
                <c:pt idx="17">
                  <c:v>14.3</c:v>
                </c:pt>
                <c:pt idx="18">
                  <c:v>15.4</c:v>
                </c:pt>
                <c:pt idx="19">
                  <c:v>17.600000000000001</c:v>
                </c:pt>
                <c:pt idx="20">
                  <c:v>23.5</c:v>
                </c:pt>
              </c:numCache>
            </c:numRef>
          </c:val>
          <c:smooth val="0"/>
          <c:extLst>
            <c:ext xmlns:c16="http://schemas.microsoft.com/office/drawing/2014/chart" uri="{C3380CC4-5D6E-409C-BE32-E72D297353CC}">
              <c16:uniqueId val="{00000007-628F-46BC-9B73-9A495C8B3B81}"/>
            </c:ext>
          </c:extLst>
        </c:ser>
        <c:dLbls>
          <c:showLegendKey val="0"/>
          <c:showVal val="0"/>
          <c:showCatName val="0"/>
          <c:showSerName val="0"/>
          <c:showPercent val="0"/>
          <c:showBubbleSize val="0"/>
        </c:dLbls>
        <c:marker val="1"/>
        <c:smooth val="0"/>
        <c:axId val="108496000"/>
        <c:axId val="108497536"/>
      </c:lineChart>
      <c:catAx>
        <c:axId val="108496000"/>
        <c:scaling>
          <c:orientation val="minMax"/>
        </c:scaling>
        <c:delete val="0"/>
        <c:axPos val="b"/>
        <c:numFmt formatCode="#,##0.0_ ;[Red]\-#,##0.0\ " sourceLinked="0"/>
        <c:majorTickMark val="none"/>
        <c:minorTickMark val="none"/>
        <c:tickLblPos val="low"/>
        <c:spPr>
          <a:noFill/>
          <a:ln w="22225">
            <a:solidFill>
              <a:srgbClr val="FF0000"/>
            </a:solidFill>
            <a:prstDash val="lgDas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08497536"/>
        <c:crossesAt val="0"/>
        <c:auto val="1"/>
        <c:lblAlgn val="ctr"/>
        <c:lblOffset val="100"/>
        <c:noMultiLvlLbl val="0"/>
      </c:catAx>
      <c:valAx>
        <c:axId val="108497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a:t>
                </a:r>
              </a:p>
            </c:rich>
          </c:tx>
          <c:overlay val="0"/>
          <c:spPr>
            <a:noFill/>
            <a:ln>
              <a:noFill/>
            </a:ln>
            <a:effectLst/>
          </c:spPr>
        </c:title>
        <c:numFmt formatCode="#,##0.0_ ;[Red]\-#,##0.0\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08496000"/>
        <c:crosses val="autoZero"/>
        <c:crossBetween val="between"/>
      </c:valAx>
      <c:spPr>
        <a:noFill/>
        <a:ln>
          <a:noFill/>
        </a:ln>
        <a:effectLst/>
      </c:spPr>
    </c:plotArea>
    <c:legend>
      <c:legendPos val="b"/>
      <c:layout>
        <c:manualLayout>
          <c:xMode val="edge"/>
          <c:yMode val="edge"/>
          <c:x val="7.2350929058055471E-2"/>
          <c:y val="0.91942149460056499"/>
          <c:w val="0.89999993295857172"/>
          <c:h val="5.03359227747538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l-G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9759378880035204E-2"/>
          <c:y val="2.1256038647342997E-2"/>
          <c:w val="0.9159436507562303"/>
          <c:h val="0.85278603218075999"/>
        </c:manualLayout>
      </c:layout>
      <c:barChart>
        <c:barDir val="col"/>
        <c:grouping val="clustered"/>
        <c:varyColors val="0"/>
        <c:ser>
          <c:idx val="0"/>
          <c:order val="0"/>
          <c:tx>
            <c:strRef>
              <c:f>Sheet1!$B$1</c:f>
              <c:strCache>
                <c:ptCount val="1"/>
                <c:pt idx="0">
                  <c:v>Απασχολούμενοι</c:v>
                </c:pt>
              </c:strCache>
            </c:strRef>
          </c:tx>
          <c:spPr>
            <a:solidFill>
              <a:srgbClr val="4F81BD"/>
            </a:solidFill>
            <a:ln w="25400">
              <a:noFill/>
            </a:ln>
          </c:spPr>
          <c:invertIfNegative val="0"/>
          <c:cat>
            <c:strRef>
              <c:f>Sheet1!$A$3:$A$16</c:f>
              <c:strCache>
                <c:ptCount val="14"/>
                <c:pt idx="0">
                  <c:v>Αύγ. 2019</c:v>
                </c:pt>
                <c:pt idx="1">
                  <c:v>Αύγ. 2020</c:v>
                </c:pt>
                <c:pt idx="2">
                  <c:v>Σεπτ. 2020</c:v>
                </c:pt>
                <c:pt idx="3">
                  <c:v>Οκτ. 2020</c:v>
                </c:pt>
                <c:pt idx="4">
                  <c:v>Νοέ. 2020</c:v>
                </c:pt>
                <c:pt idx="5">
                  <c:v>Δεκ. 2020</c:v>
                </c:pt>
                <c:pt idx="6">
                  <c:v>Ιαν. 2021</c:v>
                </c:pt>
                <c:pt idx="7">
                  <c:v>Φεβρ. 2021</c:v>
                </c:pt>
                <c:pt idx="8">
                  <c:v>Μάρτ. 2021</c:v>
                </c:pt>
                <c:pt idx="9">
                  <c:v>Απρ. 2021</c:v>
                </c:pt>
                <c:pt idx="10">
                  <c:v>Μάιος 2021</c:v>
                </c:pt>
                <c:pt idx="11">
                  <c:v>Ιούν. 2021</c:v>
                </c:pt>
                <c:pt idx="12">
                  <c:v>Ιούλ. 2021</c:v>
                </c:pt>
                <c:pt idx="13">
                  <c:v>Αύγ. 2021</c:v>
                </c:pt>
              </c:strCache>
            </c:strRef>
          </c:cat>
          <c:val>
            <c:numRef>
              <c:f>Sheet1!$B$2:$B$14</c:f>
            </c:numRef>
          </c:val>
          <c:extLst>
            <c:ext xmlns:c16="http://schemas.microsoft.com/office/drawing/2014/chart" uri="{C3380CC4-5D6E-409C-BE32-E72D297353CC}">
              <c16:uniqueId val="{00000000-2825-4B27-BFAF-C29BF2D8A09C}"/>
            </c:ext>
          </c:extLst>
        </c:ser>
        <c:ser>
          <c:idx val="1"/>
          <c:order val="1"/>
          <c:tx>
            <c:strRef>
              <c:f>Sheet1!$C$1</c:f>
              <c:strCache>
                <c:ptCount val="1"/>
                <c:pt idx="0">
                  <c:v>Απασχολούμενοι (χιλ.) </c:v>
                </c:pt>
              </c:strCache>
            </c:strRef>
          </c:tx>
          <c:spPr>
            <a:solidFill>
              <a:schemeClr val="tx2">
                <a:lumMod val="40000"/>
                <a:lumOff val="60000"/>
              </a:schemeClr>
            </a:solidFill>
            <a:ln>
              <a:noFill/>
            </a:ln>
            <a:effectLst/>
          </c:spPr>
          <c:invertIfNegative val="0"/>
          <c:dLbls>
            <c:spPr>
              <a:noFill/>
              <a:ln w="25400">
                <a:noFill/>
              </a:ln>
            </c:spPr>
            <c:txPr>
              <a:bodyPr rot="-5400000" spcFirstLastPara="1" vertOverflow="overflow" horzOverflow="overflow" vert="horz" wrap="square" lIns="38100" tIns="19050" rIns="38100" bIns="19050" anchor="t" anchorCtr="0">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Sheet1!$A$3:$A$16</c:f>
              <c:strCache>
                <c:ptCount val="14"/>
                <c:pt idx="0">
                  <c:v>Αύγ. 2019</c:v>
                </c:pt>
                <c:pt idx="1">
                  <c:v>Αύγ. 2020</c:v>
                </c:pt>
                <c:pt idx="2">
                  <c:v>Σεπτ. 2020</c:v>
                </c:pt>
                <c:pt idx="3">
                  <c:v>Οκτ. 2020</c:v>
                </c:pt>
                <c:pt idx="4">
                  <c:v>Νοέ. 2020</c:v>
                </c:pt>
                <c:pt idx="5">
                  <c:v>Δεκ. 2020</c:v>
                </c:pt>
                <c:pt idx="6">
                  <c:v>Ιαν. 2021</c:v>
                </c:pt>
                <c:pt idx="7">
                  <c:v>Φεβρ. 2021</c:v>
                </c:pt>
                <c:pt idx="8">
                  <c:v>Μάρτ. 2021</c:v>
                </c:pt>
                <c:pt idx="9">
                  <c:v>Απρ. 2021</c:v>
                </c:pt>
                <c:pt idx="10">
                  <c:v>Μάιος 2021</c:v>
                </c:pt>
                <c:pt idx="11">
                  <c:v>Ιούν. 2021</c:v>
                </c:pt>
                <c:pt idx="12">
                  <c:v>Ιούλ. 2021</c:v>
                </c:pt>
                <c:pt idx="13">
                  <c:v>Αύγ. 2021</c:v>
                </c:pt>
              </c:strCache>
            </c:strRef>
          </c:cat>
          <c:val>
            <c:numRef>
              <c:f>Sheet1!$C$3:$C$16</c:f>
              <c:numCache>
                <c:formatCode>#,##0_ ;\-#,##0\ </c:formatCode>
                <c:ptCount val="14"/>
                <c:pt idx="0">
                  <c:v>3915.5</c:v>
                </c:pt>
                <c:pt idx="1">
                  <c:v>3843.8</c:v>
                </c:pt>
                <c:pt idx="2">
                  <c:v>3933.8</c:v>
                </c:pt>
                <c:pt idx="3">
                  <c:v>3913.9</c:v>
                </c:pt>
                <c:pt idx="4">
                  <c:v>3880.4</c:v>
                </c:pt>
                <c:pt idx="5">
                  <c:v>3892.3</c:v>
                </c:pt>
                <c:pt idx="6">
                  <c:v>3668.2</c:v>
                </c:pt>
                <c:pt idx="7">
                  <c:v>3689</c:v>
                </c:pt>
                <c:pt idx="8">
                  <c:v>3676.6</c:v>
                </c:pt>
                <c:pt idx="9">
                  <c:v>3713.1</c:v>
                </c:pt>
                <c:pt idx="10">
                  <c:v>3953.9</c:v>
                </c:pt>
                <c:pt idx="11">
                  <c:v>4007.5</c:v>
                </c:pt>
                <c:pt idx="12">
                  <c:v>4019.9</c:v>
                </c:pt>
                <c:pt idx="13">
                  <c:v>4070.8</c:v>
                </c:pt>
              </c:numCache>
            </c:numRef>
          </c:val>
          <c:extLst>
            <c:ext xmlns:c16="http://schemas.microsoft.com/office/drawing/2014/chart" uri="{C3380CC4-5D6E-409C-BE32-E72D297353CC}">
              <c16:uniqueId val="{00000001-2825-4B27-BFAF-C29BF2D8A09C}"/>
            </c:ext>
          </c:extLst>
        </c:ser>
        <c:ser>
          <c:idx val="3"/>
          <c:order val="3"/>
          <c:tx>
            <c:strRef>
              <c:f>Sheet1!$E$1</c:f>
              <c:strCache>
                <c:ptCount val="1"/>
                <c:pt idx="0">
                  <c:v>Εργατικό Δυναμικό (χιλ.)</c:v>
                </c:pt>
              </c:strCache>
            </c:strRef>
          </c:tx>
          <c:spPr>
            <a:solidFill>
              <a:schemeClr val="accent5">
                <a:lumMod val="20000"/>
                <a:lumOff val="80000"/>
              </a:schemeClr>
            </a:solidFill>
            <a:ln>
              <a:noFill/>
            </a:ln>
            <a:effectLst/>
          </c:spPr>
          <c:invertIfNegative val="0"/>
          <c:dLbls>
            <c:spPr>
              <a:noFill/>
              <a:ln w="25400">
                <a:noFill/>
              </a:ln>
            </c:spPr>
            <c:txPr>
              <a:bodyPr rot="-540000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Sheet1!$A$3:$A$16</c:f>
              <c:strCache>
                <c:ptCount val="14"/>
                <c:pt idx="0">
                  <c:v>Αύγ. 2019</c:v>
                </c:pt>
                <c:pt idx="1">
                  <c:v>Αύγ. 2020</c:v>
                </c:pt>
                <c:pt idx="2">
                  <c:v>Σεπτ. 2020</c:v>
                </c:pt>
                <c:pt idx="3">
                  <c:v>Οκτ. 2020</c:v>
                </c:pt>
                <c:pt idx="4">
                  <c:v>Νοέ. 2020</c:v>
                </c:pt>
                <c:pt idx="5">
                  <c:v>Δεκ. 2020</c:v>
                </c:pt>
                <c:pt idx="6">
                  <c:v>Ιαν. 2021</c:v>
                </c:pt>
                <c:pt idx="7">
                  <c:v>Φεβρ. 2021</c:v>
                </c:pt>
                <c:pt idx="8">
                  <c:v>Μάρτ. 2021</c:v>
                </c:pt>
                <c:pt idx="9">
                  <c:v>Απρ. 2021</c:v>
                </c:pt>
                <c:pt idx="10">
                  <c:v>Μάιος 2021</c:v>
                </c:pt>
                <c:pt idx="11">
                  <c:v>Ιούν. 2021</c:v>
                </c:pt>
                <c:pt idx="12">
                  <c:v>Ιούλ. 2021</c:v>
                </c:pt>
                <c:pt idx="13">
                  <c:v>Αύγ. 2021</c:v>
                </c:pt>
              </c:strCache>
            </c:strRef>
          </c:cat>
          <c:val>
            <c:numRef>
              <c:f>Sheet1!$E$3:$E$16</c:f>
              <c:numCache>
                <c:formatCode>#,##0</c:formatCode>
                <c:ptCount val="14"/>
                <c:pt idx="0">
                  <c:v>4700.5</c:v>
                </c:pt>
                <c:pt idx="1">
                  <c:v>4627.7</c:v>
                </c:pt>
                <c:pt idx="2">
                  <c:v>4712.5</c:v>
                </c:pt>
                <c:pt idx="3">
                  <c:v>4686.3</c:v>
                </c:pt>
                <c:pt idx="4">
                  <c:v>4631.3</c:v>
                </c:pt>
                <c:pt idx="5">
                  <c:v>4611</c:v>
                </c:pt>
                <c:pt idx="6">
                  <c:v>4382.3</c:v>
                </c:pt>
                <c:pt idx="7">
                  <c:v>4422.3999999999996</c:v>
                </c:pt>
                <c:pt idx="8">
                  <c:v>4403.6000000000004</c:v>
                </c:pt>
                <c:pt idx="9">
                  <c:v>4476.6000000000004</c:v>
                </c:pt>
                <c:pt idx="10">
                  <c:v>4710</c:v>
                </c:pt>
                <c:pt idx="11">
                  <c:v>4706.7</c:v>
                </c:pt>
                <c:pt idx="12">
                  <c:v>4676.6000000000004</c:v>
                </c:pt>
                <c:pt idx="13">
                  <c:v>4726.4000000000005</c:v>
                </c:pt>
              </c:numCache>
            </c:numRef>
          </c:val>
          <c:extLst>
            <c:ext xmlns:c16="http://schemas.microsoft.com/office/drawing/2014/chart" uri="{C3380CC4-5D6E-409C-BE32-E72D297353CC}">
              <c16:uniqueId val="{00000002-2825-4B27-BFAF-C29BF2D8A09C}"/>
            </c:ext>
          </c:extLst>
        </c:ser>
        <c:dLbls>
          <c:showLegendKey val="0"/>
          <c:showVal val="0"/>
          <c:showCatName val="0"/>
          <c:showSerName val="0"/>
          <c:showPercent val="0"/>
          <c:showBubbleSize val="0"/>
        </c:dLbls>
        <c:gapWidth val="219"/>
        <c:overlap val="-27"/>
        <c:axId val="295304976"/>
        <c:axId val="1"/>
      </c:barChart>
      <c:lineChart>
        <c:grouping val="standard"/>
        <c:varyColors val="0"/>
        <c:ser>
          <c:idx val="2"/>
          <c:order val="2"/>
          <c:tx>
            <c:strRef>
              <c:f>Sheet1!$D$1</c:f>
              <c:strCache>
                <c:ptCount val="1"/>
                <c:pt idx="0">
                  <c:v>Ποσοστό ανεργίας</c:v>
                </c:pt>
              </c:strCache>
            </c:strRef>
          </c:tx>
          <c:spPr>
            <a:ln w="28575" cap="rnd">
              <a:solidFill>
                <a:schemeClr val="accent3"/>
              </a:solidFill>
              <a:round/>
            </a:ln>
            <a:effectLst/>
          </c:spPr>
          <c:marker>
            <c:symbol val="none"/>
          </c:marker>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Sheet1!$A$2:$A$14</c:f>
              <c:strCache>
                <c:ptCount val="13"/>
                <c:pt idx="1">
                  <c:v>Αύγ. 2019</c:v>
                </c:pt>
                <c:pt idx="2">
                  <c:v>Αύγ. 2020</c:v>
                </c:pt>
                <c:pt idx="3">
                  <c:v>Σεπτ. 2020</c:v>
                </c:pt>
                <c:pt idx="4">
                  <c:v>Οκτ. 2020</c:v>
                </c:pt>
                <c:pt idx="5">
                  <c:v>Νοέ. 2020</c:v>
                </c:pt>
                <c:pt idx="6">
                  <c:v>Δεκ. 2020</c:v>
                </c:pt>
                <c:pt idx="7">
                  <c:v>Ιαν. 2021</c:v>
                </c:pt>
                <c:pt idx="8">
                  <c:v>Φεβρ. 2021</c:v>
                </c:pt>
                <c:pt idx="9">
                  <c:v>Μάρτ. 2021</c:v>
                </c:pt>
                <c:pt idx="10">
                  <c:v>Απρ. 2021</c:v>
                </c:pt>
                <c:pt idx="11">
                  <c:v>Μάιος 2021</c:v>
                </c:pt>
                <c:pt idx="12">
                  <c:v>Ιούν. 2021</c:v>
                </c:pt>
              </c:strCache>
            </c:strRef>
          </c:cat>
          <c:val>
            <c:numRef>
              <c:f>Sheet1!$D$3:$D$16</c:f>
              <c:numCache>
                <c:formatCode>0.0</c:formatCode>
                <c:ptCount val="14"/>
                <c:pt idx="0">
                  <c:v>16.7</c:v>
                </c:pt>
                <c:pt idx="1">
                  <c:v>16.899999999999999</c:v>
                </c:pt>
                <c:pt idx="2">
                  <c:v>16.5</c:v>
                </c:pt>
                <c:pt idx="3">
                  <c:v>16.5</c:v>
                </c:pt>
                <c:pt idx="4">
                  <c:v>16.2</c:v>
                </c:pt>
                <c:pt idx="5">
                  <c:v>15.6</c:v>
                </c:pt>
                <c:pt idx="6">
                  <c:v>16.3</c:v>
                </c:pt>
                <c:pt idx="7">
                  <c:v>16.600000000000001</c:v>
                </c:pt>
                <c:pt idx="8">
                  <c:v>16.5</c:v>
                </c:pt>
                <c:pt idx="9">
                  <c:v>17.100000000000001</c:v>
                </c:pt>
                <c:pt idx="10">
                  <c:v>16.100000000000001</c:v>
                </c:pt>
                <c:pt idx="11">
                  <c:v>14.9</c:v>
                </c:pt>
                <c:pt idx="12">
                  <c:v>14</c:v>
                </c:pt>
                <c:pt idx="13">
                  <c:v>13.9</c:v>
                </c:pt>
              </c:numCache>
            </c:numRef>
          </c:val>
          <c:smooth val="0"/>
          <c:extLst>
            <c:ext xmlns:c16="http://schemas.microsoft.com/office/drawing/2014/chart" uri="{C3380CC4-5D6E-409C-BE32-E72D297353CC}">
              <c16:uniqueId val="{00000003-2825-4B27-BFAF-C29BF2D8A09C}"/>
            </c:ext>
          </c:extLst>
        </c:ser>
        <c:dLbls>
          <c:showLegendKey val="0"/>
          <c:showVal val="0"/>
          <c:showCatName val="0"/>
          <c:showSerName val="0"/>
          <c:showPercent val="0"/>
          <c:showBubbleSize val="0"/>
        </c:dLbls>
        <c:marker val="1"/>
        <c:smooth val="0"/>
        <c:axId val="3"/>
        <c:axId val="4"/>
      </c:lineChart>
      <c:catAx>
        <c:axId val="29530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295304976"/>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 sourceLinked="0"/>
        <c:majorTickMark val="out"/>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
        <c:crosses val="max"/>
        <c:crossBetween val="between"/>
      </c:valAx>
      <c:spPr>
        <a:noFill/>
        <a:ln w="25400">
          <a:noFill/>
        </a:ln>
      </c:spPr>
    </c:plotArea>
    <c:legend>
      <c:legendPos val="r"/>
      <c:layout>
        <c:manualLayout>
          <c:xMode val="edge"/>
          <c:yMode val="edge"/>
          <c:x val="4.9520771601450533E-2"/>
          <c:y val="0.93169131152916984"/>
          <c:w val="0.85862628179934386"/>
          <c:h val="3.4714459924764747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'Ιαν Σεπτ'!$B$2</c:f>
              <c:strCache>
                <c:ptCount val="1"/>
                <c:pt idx="0">
                  <c:v>Προσλήψεις (χιλ. θέσεις)</c:v>
                </c:pt>
              </c:strCache>
            </c:strRef>
          </c:tx>
          <c:spPr>
            <a:solidFill>
              <a:srgbClr val="70AD47"/>
            </a:solidFill>
            <a:ln>
              <a:noFill/>
            </a:ln>
            <a:effectLst/>
          </c:spPr>
          <c:invertIfNegative val="0"/>
          <c:cat>
            <c:numRef>
              <c:f>'Ιαν Ιούλ'!$A$3:$A$11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'Ιαν Σεπτ'!$B$3:$B$11</c:f>
              <c:numCache>
                <c:formatCode>#,##0</c:formatCode>
                <c:ptCount val="9"/>
                <c:pt idx="0">
                  <c:v>802881</c:v>
                </c:pt>
                <c:pt idx="1">
                  <c:v>1186928</c:v>
                </c:pt>
                <c:pt idx="2">
                  <c:v>1341392</c:v>
                </c:pt>
                <c:pt idx="3">
                  <c:v>1644558</c:v>
                </c:pt>
                <c:pt idx="4">
                  <c:v>1849872</c:v>
                </c:pt>
                <c:pt idx="5">
                  <c:v>2057917</c:v>
                </c:pt>
                <c:pt idx="6">
                  <c:v>2173467</c:v>
                </c:pt>
                <c:pt idx="7">
                  <c:v>1577213</c:v>
                </c:pt>
                <c:pt idx="8">
                  <c:v>1769457</c:v>
                </c:pt>
              </c:numCache>
            </c:numRef>
          </c:val>
          <c:extLst>
            <c:ext xmlns:c16="http://schemas.microsoft.com/office/drawing/2014/chart" uri="{C3380CC4-5D6E-409C-BE32-E72D297353CC}">
              <c16:uniqueId val="{00000000-C392-4007-8400-B0DA3785F0EA}"/>
            </c:ext>
          </c:extLst>
        </c:ser>
        <c:ser>
          <c:idx val="1"/>
          <c:order val="1"/>
          <c:tx>
            <c:strRef>
              <c:f>'Ιαν Σεπτ'!$C$2</c:f>
              <c:strCache>
                <c:ptCount val="1"/>
                <c:pt idx="0">
                  <c:v>Αποχωρήσεις (χιλ. θέσεις)</c:v>
                </c:pt>
              </c:strCache>
            </c:strRef>
          </c:tx>
          <c:spPr>
            <a:solidFill>
              <a:srgbClr val="00B0F0"/>
            </a:solidFill>
            <a:ln>
              <a:solidFill>
                <a:srgbClr val="00B0F0"/>
              </a:solidFill>
            </a:ln>
            <a:effectLst/>
          </c:spPr>
          <c:invertIfNegative val="0"/>
          <c:cat>
            <c:numRef>
              <c:f>'Ιαν Ιούλ'!$A$3:$A$11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'Ιαν Σεπτ'!$C$3:$C$11</c:f>
              <c:numCache>
                <c:formatCode>#,##0</c:formatCode>
                <c:ptCount val="9"/>
                <c:pt idx="0">
                  <c:v>-637179</c:v>
                </c:pt>
                <c:pt idx="1">
                  <c:v>-1000005</c:v>
                </c:pt>
                <c:pt idx="2">
                  <c:v>-1168371</c:v>
                </c:pt>
                <c:pt idx="3">
                  <c:v>-1398953</c:v>
                </c:pt>
                <c:pt idx="4">
                  <c:v>-1584001</c:v>
                </c:pt>
                <c:pt idx="5">
                  <c:v>-1769548</c:v>
                </c:pt>
                <c:pt idx="6">
                  <c:v>-1885930</c:v>
                </c:pt>
                <c:pt idx="7">
                  <c:v>-1423037</c:v>
                </c:pt>
                <c:pt idx="8">
                  <c:v>-1484600</c:v>
                </c:pt>
              </c:numCache>
            </c:numRef>
          </c:val>
          <c:extLst>
            <c:ext xmlns:c16="http://schemas.microsoft.com/office/drawing/2014/chart" uri="{C3380CC4-5D6E-409C-BE32-E72D297353CC}">
              <c16:uniqueId val="{00000001-C392-4007-8400-B0DA3785F0EA}"/>
            </c:ext>
          </c:extLst>
        </c:ser>
        <c:dLbls>
          <c:showLegendKey val="0"/>
          <c:showVal val="0"/>
          <c:showCatName val="0"/>
          <c:showSerName val="0"/>
          <c:showPercent val="0"/>
          <c:showBubbleSize val="0"/>
        </c:dLbls>
        <c:gapWidth val="219"/>
        <c:overlap val="-27"/>
        <c:axId val="412465376"/>
        <c:axId val="412461112"/>
      </c:barChart>
      <c:lineChart>
        <c:grouping val="standard"/>
        <c:varyColors val="0"/>
        <c:ser>
          <c:idx val="2"/>
          <c:order val="2"/>
          <c:tx>
            <c:strRef>
              <c:f>'Ιαν Σεπτ'!$D$2</c:f>
              <c:strCache>
                <c:ptCount val="1"/>
                <c:pt idx="0">
                  <c:v>Καθαρές ροές (χιλ. θέσεις - δεξιός άξονας)</c:v>
                </c:pt>
              </c:strCache>
            </c:strRef>
          </c:tx>
          <c:spPr>
            <a:ln w="28575" cap="rnd">
              <a:solidFill>
                <a:schemeClr val="accent3"/>
              </a:solidFill>
              <a:round/>
            </a:ln>
            <a:effectLst/>
          </c:spPr>
          <c:marker>
            <c:symbol val="none"/>
          </c:marker>
          <c:cat>
            <c:numRef>
              <c:f>'Ιαν Ιούλ'!$A$3:$A$11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'Ιαν Σεπτ'!$D$3:$D$11</c:f>
              <c:numCache>
                <c:formatCode>#,##0</c:formatCode>
                <c:ptCount val="9"/>
                <c:pt idx="0">
                  <c:v>165702</c:v>
                </c:pt>
                <c:pt idx="1">
                  <c:v>186923</c:v>
                </c:pt>
                <c:pt idx="2">
                  <c:v>173021</c:v>
                </c:pt>
                <c:pt idx="3">
                  <c:v>245605</c:v>
                </c:pt>
                <c:pt idx="4">
                  <c:v>265871</c:v>
                </c:pt>
                <c:pt idx="5">
                  <c:v>288369</c:v>
                </c:pt>
                <c:pt idx="6">
                  <c:v>287537</c:v>
                </c:pt>
                <c:pt idx="7">
                  <c:v>154176</c:v>
                </c:pt>
                <c:pt idx="8">
                  <c:v>284857</c:v>
                </c:pt>
              </c:numCache>
            </c:numRef>
          </c:val>
          <c:smooth val="0"/>
          <c:extLst>
            <c:ext xmlns:c16="http://schemas.microsoft.com/office/drawing/2014/chart" uri="{C3380CC4-5D6E-409C-BE32-E72D297353CC}">
              <c16:uniqueId val="{00000002-C392-4007-8400-B0DA3785F0EA}"/>
            </c:ext>
          </c:extLst>
        </c:ser>
        <c:dLbls>
          <c:showLegendKey val="0"/>
          <c:showVal val="0"/>
          <c:showCatName val="0"/>
          <c:showSerName val="0"/>
          <c:showPercent val="0"/>
          <c:showBubbleSize val="0"/>
        </c:dLbls>
        <c:marker val="1"/>
        <c:smooth val="0"/>
        <c:axId val="401254008"/>
        <c:axId val="401255320"/>
      </c:lineChart>
      <c:catAx>
        <c:axId val="4124653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l-GR"/>
          </a:p>
        </c:txPr>
        <c:crossAx val="412461112"/>
        <c:crosses val="autoZero"/>
        <c:auto val="1"/>
        <c:lblAlgn val="ctr"/>
        <c:lblOffset val="100"/>
        <c:noMultiLvlLbl val="0"/>
      </c:catAx>
      <c:valAx>
        <c:axId val="412461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12465376"/>
        <c:crosses val="autoZero"/>
        <c:crossBetween val="between"/>
      </c:valAx>
      <c:valAx>
        <c:axId val="401255320"/>
        <c:scaling>
          <c:orientation val="minMax"/>
          <c:max val="290000"/>
          <c:min val="-2900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01254008"/>
        <c:crosses val="max"/>
        <c:crossBetween val="between"/>
      </c:valAx>
      <c:catAx>
        <c:axId val="401254008"/>
        <c:scaling>
          <c:orientation val="minMax"/>
        </c:scaling>
        <c:delete val="1"/>
        <c:axPos val="b"/>
        <c:numFmt formatCode="General" sourceLinked="1"/>
        <c:majorTickMark val="out"/>
        <c:minorTickMark val="none"/>
        <c:tickLblPos val="nextTo"/>
        <c:crossAx val="4012553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v>Ισοζύγιο αγαθών</c:v>
          </c:tx>
          <c:spPr>
            <a:solidFill>
              <a:srgbClr val="00B0F0"/>
            </a:solidFill>
          </c:spPr>
          <c:invertIfNegative val="0"/>
          <c:dLbls>
            <c:numFmt formatCode="#,##0" sourceLinked="0"/>
            <c:spPr>
              <a:noFill/>
              <a:ln>
                <a:noFill/>
              </a:ln>
              <a:effectLst/>
            </c:spPr>
            <c:txPr>
              <a:bodyPr wrap="square" lIns="38100" tIns="19050" rIns="38100" bIns="19050" anchor="ctr">
                <a:spAutoFit/>
              </a:bodyPr>
              <a:lstStyle/>
              <a:p>
                <a:pPr>
                  <a:defRPr b="0">
                    <a:solidFill>
                      <a:schemeClr val="accent5">
                        <a:lumMod val="50000"/>
                      </a:schemeClr>
                    </a:solidFill>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#REF!</c:f>
            </c:multiLvlStrRef>
          </c:cat>
          <c:val>
            <c:numRef>
              <c:f>'monthly 8_21'!$IN$7:$IS$7</c:f>
              <c:numCache>
                <c:formatCode>#,##0</c:formatCode>
                <c:ptCount val="6"/>
                <c:pt idx="0">
                  <c:v>-11445.268192</c:v>
                </c:pt>
                <c:pt idx="1">
                  <c:v>-13358.423236999999</c:v>
                </c:pt>
                <c:pt idx="2">
                  <c:v>-14497.392510999996</c:v>
                </c:pt>
                <c:pt idx="3">
                  <c:v>-15479.446325999997</c:v>
                </c:pt>
                <c:pt idx="4">
                  <c:v>-12633.986536999999</c:v>
                </c:pt>
                <c:pt idx="5" formatCode="#,##0_ ;\-#,##0\ ">
                  <c:v>-15492.681015</c:v>
                </c:pt>
              </c:numCache>
            </c:numRef>
          </c:val>
          <c:extLst>
            <c:ext xmlns:c16="http://schemas.microsoft.com/office/drawing/2014/chart" uri="{C3380CC4-5D6E-409C-BE32-E72D297353CC}">
              <c16:uniqueId val="{00000000-0E2B-46AA-9B0D-532B9E4DC2DE}"/>
            </c:ext>
          </c:extLst>
        </c:ser>
        <c:ser>
          <c:idx val="1"/>
          <c:order val="1"/>
          <c:tx>
            <c:v>Ισοζύγιο υπηρεσιών</c:v>
          </c:tx>
          <c:spPr>
            <a:solidFill>
              <a:srgbClr val="92D050"/>
            </a:solidFill>
          </c:spPr>
          <c:invertIfNegative val="0"/>
          <c:dLbls>
            <c:numFmt formatCode="#,##0" sourceLinked="0"/>
            <c:spPr>
              <a:noFill/>
              <a:ln>
                <a:noFill/>
              </a:ln>
              <a:effectLst/>
            </c:spPr>
            <c:txPr>
              <a:bodyPr wrap="square" lIns="38100" tIns="19050" rIns="38100" bIns="19050" anchor="ctr">
                <a:spAutoFit/>
              </a:bodyPr>
              <a:lstStyle/>
              <a:p>
                <a:pPr>
                  <a:defRPr b="0">
                    <a:solidFill>
                      <a:schemeClr val="accent6">
                        <a:lumMod val="50000"/>
                      </a:schemeClr>
                    </a:solidFill>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#REF!</c:f>
            </c:multiLvlStrRef>
          </c:cat>
          <c:val>
            <c:numRef>
              <c:f>'monthly 8_21'!$IN$22:$IS$22</c:f>
              <c:numCache>
                <c:formatCode>#,##0</c:formatCode>
                <c:ptCount val="6"/>
                <c:pt idx="0">
                  <c:v>11430.316443</c:v>
                </c:pt>
                <c:pt idx="1">
                  <c:v>13003.721334000002</c:v>
                </c:pt>
                <c:pt idx="2">
                  <c:v>13578.878889</c:v>
                </c:pt>
                <c:pt idx="3">
                  <c:v>15262.016391000001</c:v>
                </c:pt>
                <c:pt idx="4">
                  <c:v>4667.2195599999986</c:v>
                </c:pt>
                <c:pt idx="5" formatCode="#,##0_ ;\-#,##0\ ">
                  <c:v>7956.922646</c:v>
                </c:pt>
              </c:numCache>
            </c:numRef>
          </c:val>
          <c:extLst>
            <c:ext xmlns:c16="http://schemas.microsoft.com/office/drawing/2014/chart" uri="{C3380CC4-5D6E-409C-BE32-E72D297353CC}">
              <c16:uniqueId val="{00000001-0E2B-46AA-9B0D-532B9E4DC2DE}"/>
            </c:ext>
          </c:extLst>
        </c:ser>
        <c:ser>
          <c:idx val="2"/>
          <c:order val="2"/>
          <c:tx>
            <c:v>Ισοζύγιο πρωτογενών εισοδημάτων</c:v>
          </c:tx>
          <c:spPr>
            <a:solidFill>
              <a:schemeClr val="tx1">
                <a:lumMod val="50000"/>
                <a:lumOff val="50000"/>
              </a:schemeClr>
            </a:solidFill>
          </c:spPr>
          <c:invertIfNegative val="0"/>
          <c:cat>
            <c:multiLvlStrRef>
              <c:f>#REF!</c:f>
            </c:multiLvlStrRef>
          </c:cat>
          <c:val>
            <c:numRef>
              <c:f>'monthly 8_21'!$IN$35:$IS$35</c:f>
              <c:numCache>
                <c:formatCode>#,##0</c:formatCode>
                <c:ptCount val="6"/>
                <c:pt idx="0">
                  <c:v>-554.26525239999933</c:v>
                </c:pt>
                <c:pt idx="1">
                  <c:v>-442.47128524999999</c:v>
                </c:pt>
                <c:pt idx="2">
                  <c:v>-1081.3794711999999</c:v>
                </c:pt>
                <c:pt idx="3">
                  <c:v>-1131.7549471499999</c:v>
                </c:pt>
                <c:pt idx="4">
                  <c:v>-323.76983780000023</c:v>
                </c:pt>
                <c:pt idx="5" formatCode="#,##0_ ;\-#,##0\ ">
                  <c:v>921.86117985000055</c:v>
                </c:pt>
              </c:numCache>
            </c:numRef>
          </c:val>
          <c:extLst>
            <c:ext xmlns:c16="http://schemas.microsoft.com/office/drawing/2014/chart" uri="{C3380CC4-5D6E-409C-BE32-E72D297353CC}">
              <c16:uniqueId val="{00000002-0E2B-46AA-9B0D-532B9E4DC2DE}"/>
            </c:ext>
          </c:extLst>
        </c:ser>
        <c:ser>
          <c:idx val="3"/>
          <c:order val="3"/>
          <c:tx>
            <c:v>Ισοζύγιο δευτερογενών εισοδημάτων</c:v>
          </c:tx>
          <c:spPr>
            <a:solidFill>
              <a:schemeClr val="bg2">
                <a:lumMod val="90000"/>
              </a:schemeClr>
            </a:solidFill>
          </c:spPr>
          <c:invertIfNegative val="0"/>
          <c:cat>
            <c:multiLvlStrRef>
              <c:f>#REF!</c:f>
            </c:multiLvlStrRef>
          </c:cat>
          <c:val>
            <c:numRef>
              <c:f>'monthly 8_21'!$IN$45:$IS$45</c:f>
              <c:numCache>
                <c:formatCode>#,##0</c:formatCode>
                <c:ptCount val="6"/>
                <c:pt idx="0">
                  <c:v>-158.68870859999998</c:v>
                </c:pt>
                <c:pt idx="1">
                  <c:v>-117.89676775000002</c:v>
                </c:pt>
                <c:pt idx="2">
                  <c:v>94.503087200000195</c:v>
                </c:pt>
                <c:pt idx="3">
                  <c:v>344.92739315</c:v>
                </c:pt>
                <c:pt idx="4">
                  <c:v>386.39628580000004</c:v>
                </c:pt>
                <c:pt idx="5" formatCode="#,##0_ ;\-#,##0\ ">
                  <c:v>1196.8991391499999</c:v>
                </c:pt>
              </c:numCache>
            </c:numRef>
          </c:val>
          <c:extLst>
            <c:ext xmlns:c16="http://schemas.microsoft.com/office/drawing/2014/chart" uri="{C3380CC4-5D6E-409C-BE32-E72D297353CC}">
              <c16:uniqueId val="{00000003-0E2B-46AA-9B0D-532B9E4DC2DE}"/>
            </c:ext>
          </c:extLst>
        </c:ser>
        <c:dLbls>
          <c:showLegendKey val="0"/>
          <c:showVal val="0"/>
          <c:showCatName val="0"/>
          <c:showSerName val="0"/>
          <c:showPercent val="0"/>
          <c:showBubbleSize val="0"/>
        </c:dLbls>
        <c:gapWidth val="100"/>
        <c:overlap val="100"/>
        <c:axId val="86801792"/>
        <c:axId val="86832256"/>
      </c:barChart>
      <c:lineChart>
        <c:grouping val="standard"/>
        <c:varyColors val="0"/>
        <c:ser>
          <c:idx val="4"/>
          <c:order val="4"/>
          <c:tx>
            <c:v>Ισοζύγιο τρεχουσών συναλλαγών</c:v>
          </c:tx>
          <c:spPr>
            <a:ln w="38100">
              <a:solidFill>
                <a:srgbClr val="ED7D31"/>
              </a:solidFill>
            </a:ln>
            <a:effectLst/>
          </c:spPr>
          <c:marker>
            <c:symbol val="star"/>
            <c:size val="6"/>
            <c:spPr>
              <a:solidFill>
                <a:srgbClr val="ED7D31"/>
              </a:solidFill>
              <a:ln w="38100">
                <a:solidFill>
                  <a:srgbClr val="ED7D31"/>
                </a:solidFill>
              </a:ln>
              <a:effectLst/>
            </c:spPr>
          </c:marker>
          <c:dLbls>
            <c:numFmt formatCode="#,##0" sourceLinked="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wrap="square" lIns="38100" tIns="19050" rIns="38100" bIns="19050" anchor="ctr">
                <a:spAutoFit/>
              </a:bodyPr>
              <a:lstStyle/>
              <a:p>
                <a:pPr>
                  <a:defRPr b="1"/>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'monthly 8_21'!$IN$2:$IS$2</c:f>
              <c:numCache>
                <c:formatCode>0</c:formatCode>
                <c:ptCount val="6"/>
                <c:pt idx="0">
                  <c:v>2016</c:v>
                </c:pt>
                <c:pt idx="1">
                  <c:v>2017</c:v>
                </c:pt>
                <c:pt idx="2">
                  <c:v>2018</c:v>
                </c:pt>
                <c:pt idx="3">
                  <c:v>2019</c:v>
                </c:pt>
                <c:pt idx="4">
                  <c:v>2020</c:v>
                </c:pt>
                <c:pt idx="5">
                  <c:v>2021</c:v>
                </c:pt>
              </c:numCache>
            </c:numRef>
          </c:cat>
          <c:val>
            <c:numRef>
              <c:f>'monthly 8_21'!$IN$3:$IS$3</c:f>
              <c:numCache>
                <c:formatCode>#,##0</c:formatCode>
                <c:ptCount val="6"/>
                <c:pt idx="0">
                  <c:v>-727.90571</c:v>
                </c:pt>
                <c:pt idx="1">
                  <c:v>-915.06995599999755</c:v>
                </c:pt>
                <c:pt idx="2">
                  <c:v>-1905.3900059999996</c:v>
                </c:pt>
                <c:pt idx="3">
                  <c:v>-1004.2574889999996</c:v>
                </c:pt>
                <c:pt idx="4">
                  <c:v>-7904.1405290000066</c:v>
                </c:pt>
                <c:pt idx="5" formatCode="#,##0_ ;\-#,##0\ ">
                  <c:v>-5416.9980499999983</c:v>
                </c:pt>
              </c:numCache>
            </c:numRef>
          </c:val>
          <c:smooth val="0"/>
          <c:extLst>
            <c:ext xmlns:c16="http://schemas.microsoft.com/office/drawing/2014/chart" uri="{C3380CC4-5D6E-409C-BE32-E72D297353CC}">
              <c16:uniqueId val="{00000004-0E2B-46AA-9B0D-532B9E4DC2DE}"/>
            </c:ext>
          </c:extLst>
        </c:ser>
        <c:dLbls>
          <c:showLegendKey val="0"/>
          <c:showVal val="0"/>
          <c:showCatName val="0"/>
          <c:showSerName val="0"/>
          <c:showPercent val="0"/>
          <c:showBubbleSize val="0"/>
        </c:dLbls>
        <c:marker val="1"/>
        <c:smooth val="0"/>
        <c:axId val="86801792"/>
        <c:axId val="86832256"/>
      </c:lineChart>
      <c:catAx>
        <c:axId val="86801792"/>
        <c:scaling>
          <c:orientation val="minMax"/>
        </c:scaling>
        <c:delete val="0"/>
        <c:axPos val="b"/>
        <c:numFmt formatCode="0" sourceLinked="1"/>
        <c:majorTickMark val="none"/>
        <c:minorTickMark val="none"/>
        <c:tickLblPos val="low"/>
        <c:txPr>
          <a:bodyPr rot="-60000000" vert="horz"/>
          <a:lstStyle/>
          <a:p>
            <a:pPr>
              <a:defRPr/>
            </a:pPr>
            <a:endParaRPr lang="el-GR"/>
          </a:p>
        </c:txPr>
        <c:crossAx val="86832256"/>
        <c:crosses val="autoZero"/>
        <c:auto val="1"/>
        <c:lblAlgn val="ctr"/>
        <c:lblOffset val="100"/>
        <c:noMultiLvlLbl val="0"/>
      </c:catAx>
      <c:valAx>
        <c:axId val="86832256"/>
        <c:scaling>
          <c:orientation val="minMax"/>
        </c:scaling>
        <c:delete val="0"/>
        <c:axPos val="l"/>
        <c:majorGridlines>
          <c:spPr>
            <a:ln>
              <a:solidFill>
                <a:schemeClr val="tx1">
                  <a:lumMod val="15000"/>
                  <a:lumOff val="85000"/>
                </a:schemeClr>
              </a:solidFill>
            </a:ln>
          </c:spPr>
        </c:majorGridlines>
        <c:numFmt formatCode="#,##0" sourceLinked="0"/>
        <c:majorTickMark val="none"/>
        <c:minorTickMark val="none"/>
        <c:tickLblPos val="nextTo"/>
        <c:txPr>
          <a:bodyPr rot="-60000000" vert="horz"/>
          <a:lstStyle/>
          <a:p>
            <a:pPr>
              <a:defRPr/>
            </a:pPr>
            <a:endParaRPr lang="el-GR"/>
          </a:p>
        </c:txPr>
        <c:crossAx val="86801792"/>
        <c:crosses val="autoZero"/>
        <c:crossBetween val="between"/>
      </c:valAx>
    </c:plotArea>
    <c:legend>
      <c:legendPos val="b"/>
      <c:layout>
        <c:manualLayout>
          <c:xMode val="edge"/>
          <c:yMode val="edge"/>
          <c:x val="6.5685209926376525E-2"/>
          <c:y val="0.79799355737080691"/>
          <c:w val="0.85863450120976736"/>
          <c:h val="0.16410850632307325"/>
        </c:manualLayout>
      </c:layout>
      <c:overlay val="0"/>
    </c:legend>
    <c:plotVisOnly val="1"/>
    <c:dispBlanksAs val="gap"/>
    <c:showDLblsOverMax val="0"/>
  </c:chart>
  <c:spPr>
    <a:solidFill>
      <a:schemeClr val="bg1"/>
    </a:solidFill>
    <a:ln>
      <a:solidFill>
        <a:schemeClr val="accent1"/>
      </a:solid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492489909349573E-2"/>
          <c:y val="0.13533202654567458"/>
          <c:w val="0.88472876810976242"/>
          <c:h val="0.72313817027534577"/>
        </c:manualLayout>
      </c:layout>
      <c:barChart>
        <c:barDir val="col"/>
        <c:grouping val="clustered"/>
        <c:varyColors val="0"/>
        <c:ser>
          <c:idx val="1"/>
          <c:order val="1"/>
          <c:tx>
            <c:v>Ισοζύγιο καυσίμων</c:v>
          </c:tx>
          <c:spPr>
            <a:solidFill>
              <a:srgbClr val="92D050"/>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'monthly 8_21'!$IN$2:$IS$2</c:f>
              <c:numCache>
                <c:formatCode>0</c:formatCode>
                <c:ptCount val="6"/>
                <c:pt idx="0">
                  <c:v>2016</c:v>
                </c:pt>
                <c:pt idx="1">
                  <c:v>2017</c:v>
                </c:pt>
                <c:pt idx="2">
                  <c:v>2018</c:v>
                </c:pt>
                <c:pt idx="3">
                  <c:v>2019</c:v>
                </c:pt>
                <c:pt idx="4">
                  <c:v>2020</c:v>
                </c:pt>
                <c:pt idx="5">
                  <c:v>2021</c:v>
                </c:pt>
              </c:numCache>
            </c:numRef>
          </c:cat>
          <c:val>
            <c:numRef>
              <c:f>'monthly 8_21'!$IN$8:$IS$8</c:f>
              <c:numCache>
                <c:formatCode>#,##0</c:formatCode>
                <c:ptCount val="6"/>
                <c:pt idx="0">
                  <c:v>-1616.5999999999997</c:v>
                </c:pt>
                <c:pt idx="1">
                  <c:v>-2660.23</c:v>
                </c:pt>
                <c:pt idx="2">
                  <c:v>-3266.9849999999997</c:v>
                </c:pt>
                <c:pt idx="3">
                  <c:v>-3528.4739999999997</c:v>
                </c:pt>
                <c:pt idx="4">
                  <c:v>-2624.9919999999997</c:v>
                </c:pt>
                <c:pt idx="5" formatCode="#,##0_ ;\-#,##0\ ">
                  <c:v>-3023.0519999999997</c:v>
                </c:pt>
              </c:numCache>
            </c:numRef>
          </c:val>
          <c:extLst>
            <c:ext xmlns:c16="http://schemas.microsoft.com/office/drawing/2014/chart" uri="{C3380CC4-5D6E-409C-BE32-E72D297353CC}">
              <c16:uniqueId val="{00000000-1AB4-457A-A89B-6252E89405FE}"/>
            </c:ext>
          </c:extLst>
        </c:ser>
        <c:ser>
          <c:idx val="2"/>
          <c:order val="2"/>
          <c:tx>
            <c:v>Ισοζύγιο πλοίων</c:v>
          </c:tx>
          <c:spPr>
            <a:solidFill>
              <a:schemeClr val="tx1">
                <a:lumMod val="50000"/>
                <a:lumOff val="5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'monthly 8_21'!$IN$2:$IS$2</c:f>
              <c:numCache>
                <c:formatCode>0</c:formatCode>
                <c:ptCount val="6"/>
                <c:pt idx="0">
                  <c:v>2016</c:v>
                </c:pt>
                <c:pt idx="1">
                  <c:v>2017</c:v>
                </c:pt>
                <c:pt idx="2">
                  <c:v>2018</c:v>
                </c:pt>
                <c:pt idx="3">
                  <c:v>2019</c:v>
                </c:pt>
                <c:pt idx="4">
                  <c:v>2020</c:v>
                </c:pt>
                <c:pt idx="5">
                  <c:v>2021</c:v>
                </c:pt>
              </c:numCache>
            </c:numRef>
          </c:cat>
          <c:val>
            <c:numRef>
              <c:f>'monthly 8_21'!$IN$10:$IS$10</c:f>
              <c:numCache>
                <c:formatCode>#,##0</c:formatCode>
                <c:ptCount val="6"/>
                <c:pt idx="0">
                  <c:v>20.475000000000005</c:v>
                </c:pt>
                <c:pt idx="1">
                  <c:v>-9.7640000000000029</c:v>
                </c:pt>
                <c:pt idx="2">
                  <c:v>-43.640999999999998</c:v>
                </c:pt>
                <c:pt idx="3">
                  <c:v>-280.07100000000003</c:v>
                </c:pt>
                <c:pt idx="4">
                  <c:v>-75.0685</c:v>
                </c:pt>
                <c:pt idx="5" formatCode="#,##0_ ;\-#,##0\ ">
                  <c:v>-35.908499999999997</c:v>
                </c:pt>
              </c:numCache>
            </c:numRef>
          </c:val>
          <c:extLst>
            <c:ext xmlns:c16="http://schemas.microsoft.com/office/drawing/2014/chart" uri="{C3380CC4-5D6E-409C-BE32-E72D297353CC}">
              <c16:uniqueId val="{00000001-1AB4-457A-A89B-6252E89405FE}"/>
            </c:ext>
          </c:extLst>
        </c:ser>
        <c:ser>
          <c:idx val="3"/>
          <c:order val="3"/>
          <c:tx>
            <c:v>Ισοζύγιο λοιπών αγαθών</c:v>
          </c:tx>
          <c:spPr>
            <a:solidFill>
              <a:srgbClr val="00B0F0"/>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'monthly 8_21'!$IN$2:$IS$2</c:f>
              <c:numCache>
                <c:formatCode>0</c:formatCode>
                <c:ptCount val="6"/>
                <c:pt idx="0">
                  <c:v>2016</c:v>
                </c:pt>
                <c:pt idx="1">
                  <c:v>2017</c:v>
                </c:pt>
                <c:pt idx="2">
                  <c:v>2018</c:v>
                </c:pt>
                <c:pt idx="3">
                  <c:v>2019</c:v>
                </c:pt>
                <c:pt idx="4">
                  <c:v>2020</c:v>
                </c:pt>
                <c:pt idx="5">
                  <c:v>2021</c:v>
                </c:pt>
              </c:numCache>
            </c:numRef>
          </c:cat>
          <c:val>
            <c:numRef>
              <c:f>'monthly 8_21'!$IN$12:$IS$12</c:f>
              <c:numCache>
                <c:formatCode>#,##0</c:formatCode>
                <c:ptCount val="6"/>
                <c:pt idx="0">
                  <c:v>-9849.1431919999995</c:v>
                </c:pt>
                <c:pt idx="1">
                  <c:v>-10688.429237</c:v>
                </c:pt>
                <c:pt idx="2">
                  <c:v>-11186.766510999996</c:v>
                </c:pt>
                <c:pt idx="3">
                  <c:v>-11670.901325999997</c:v>
                </c:pt>
                <c:pt idx="4">
                  <c:v>-9933.9260369999993</c:v>
                </c:pt>
                <c:pt idx="5" formatCode="#,##0_ ;\-#,##0\ ">
                  <c:v>-12433.720515000003</c:v>
                </c:pt>
              </c:numCache>
            </c:numRef>
          </c:val>
          <c:extLst>
            <c:ext xmlns:c16="http://schemas.microsoft.com/office/drawing/2014/chart" uri="{C3380CC4-5D6E-409C-BE32-E72D297353CC}">
              <c16:uniqueId val="{00000002-1AB4-457A-A89B-6252E89405FE}"/>
            </c:ext>
          </c:extLst>
        </c:ser>
        <c:dLbls>
          <c:showLegendKey val="0"/>
          <c:showVal val="0"/>
          <c:showCatName val="0"/>
          <c:showSerName val="0"/>
          <c:showPercent val="0"/>
          <c:showBubbleSize val="0"/>
        </c:dLbls>
        <c:gapWidth val="219"/>
        <c:axId val="86928000"/>
        <c:axId val="95474048"/>
      </c:barChart>
      <c:lineChart>
        <c:grouping val="standard"/>
        <c:varyColors val="0"/>
        <c:ser>
          <c:idx val="0"/>
          <c:order val="0"/>
          <c:tx>
            <c:v>Ισοζύγιο αγαθών</c:v>
          </c:tx>
          <c:spPr>
            <a:ln w="28575" cap="rnd">
              <a:solidFill>
                <a:schemeClr val="tx2"/>
              </a:solidFill>
              <a:round/>
            </a:ln>
            <a:effectLst/>
          </c:spPr>
          <c:marker>
            <c:symbol val="circle"/>
            <c:size val="5"/>
            <c:spPr>
              <a:solidFill>
                <a:schemeClr val="tx2"/>
              </a:solidFill>
              <a:ln w="9525">
                <a:solidFill>
                  <a:schemeClr val="tx2"/>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l-G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#REF!</c:f>
            </c:multiLvlStrRef>
          </c:cat>
          <c:val>
            <c:numRef>
              <c:f>'monthly 8_21'!$IN$7:$IS$7</c:f>
              <c:numCache>
                <c:formatCode>#,##0</c:formatCode>
                <c:ptCount val="6"/>
                <c:pt idx="0">
                  <c:v>-11445.268192</c:v>
                </c:pt>
                <c:pt idx="1">
                  <c:v>-13358.423236999999</c:v>
                </c:pt>
                <c:pt idx="2">
                  <c:v>-14497.392510999996</c:v>
                </c:pt>
                <c:pt idx="3">
                  <c:v>-15479.446325999997</c:v>
                </c:pt>
                <c:pt idx="4">
                  <c:v>-12633.986536999999</c:v>
                </c:pt>
                <c:pt idx="5" formatCode="#,##0_ ;\-#,##0\ ">
                  <c:v>-15492.681015</c:v>
                </c:pt>
              </c:numCache>
            </c:numRef>
          </c:val>
          <c:smooth val="0"/>
          <c:extLst>
            <c:ext xmlns:c16="http://schemas.microsoft.com/office/drawing/2014/chart" uri="{C3380CC4-5D6E-409C-BE32-E72D297353CC}">
              <c16:uniqueId val="{00000003-1AB4-457A-A89B-6252E89405FE}"/>
            </c:ext>
          </c:extLst>
        </c:ser>
        <c:dLbls>
          <c:showLegendKey val="0"/>
          <c:showVal val="0"/>
          <c:showCatName val="0"/>
          <c:showSerName val="0"/>
          <c:showPercent val="0"/>
          <c:showBubbleSize val="0"/>
        </c:dLbls>
        <c:marker val="1"/>
        <c:smooth val="0"/>
        <c:axId val="86928000"/>
        <c:axId val="95474048"/>
      </c:lineChart>
      <c:catAx>
        <c:axId val="86928000"/>
        <c:scaling>
          <c:orientation val="minMax"/>
        </c:scaling>
        <c:delete val="0"/>
        <c:axPos val="b"/>
        <c:numFmt formatCode="0"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5474048"/>
        <c:crosses val="autoZero"/>
        <c:auto val="1"/>
        <c:lblAlgn val="ctr"/>
        <c:lblOffset val="100"/>
        <c:noMultiLvlLbl val="0"/>
      </c:catAx>
      <c:valAx>
        <c:axId val="95474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86928000"/>
        <c:crosses val="autoZero"/>
        <c:crossBetween val="between"/>
      </c:valAx>
      <c:spPr>
        <a:noFill/>
        <a:ln>
          <a:noFill/>
        </a:ln>
        <a:effectLst/>
      </c:spPr>
    </c:plotArea>
    <c:legend>
      <c:legendPos val="b"/>
      <c:layout>
        <c:manualLayout>
          <c:xMode val="edge"/>
          <c:yMode val="edge"/>
          <c:x val="1.5400515302559665E-2"/>
          <c:y val="0.88716258293800232"/>
          <c:w val="0.96185932721712541"/>
          <c:h val="8.79926965651032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l-GR"/>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v>Εισαγωγές αγαθών</c:v>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10"/>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extLst>
                <c:ext xmlns:c16="http://schemas.microsoft.com/office/drawing/2014/chart" uri="{C3380CC4-5D6E-409C-BE32-E72D297353CC}">
                  <c16:uniqueId val="{00000000-28E9-4B9C-B12F-DB957BE30F9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'monthly 8_21'!$II$2:$IS$2</c:f>
              <c:numCache>
                <c:formatCode>0</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'monthly 8_21'!$II$17:$IS$17</c:f>
              <c:numCache>
                <c:formatCode>#,##0.0</c:formatCode>
                <c:ptCount val="11"/>
                <c:pt idx="0">
                  <c:v>31289.807399999998</c:v>
                </c:pt>
                <c:pt idx="1">
                  <c:v>30961.998255999999</c:v>
                </c:pt>
                <c:pt idx="2">
                  <c:v>30537.151847000001</c:v>
                </c:pt>
                <c:pt idx="3">
                  <c:v>30305.491706999997</c:v>
                </c:pt>
                <c:pt idx="4" formatCode="#,##0">
                  <c:v>28040.953105000001</c:v>
                </c:pt>
                <c:pt idx="5" formatCode="#,##0">
                  <c:v>27140.333187</c:v>
                </c:pt>
                <c:pt idx="6" formatCode="#,##0">
                  <c:v>31539.124453999997</c:v>
                </c:pt>
                <c:pt idx="7" formatCode="#,##0">
                  <c:v>35844.582715999997</c:v>
                </c:pt>
                <c:pt idx="8" formatCode="#,##0">
                  <c:v>37057.765640999998</c:v>
                </c:pt>
                <c:pt idx="9" formatCode="#,##0">
                  <c:v>31350.008754000002</c:v>
                </c:pt>
                <c:pt idx="10" formatCode="#,##0_ ;\-#,##0\ ">
                  <c:v>39876.906709999996</c:v>
                </c:pt>
              </c:numCache>
            </c:numRef>
          </c:val>
          <c:smooth val="0"/>
          <c:extLst>
            <c:ext xmlns:c16="http://schemas.microsoft.com/office/drawing/2014/chart" uri="{C3380CC4-5D6E-409C-BE32-E72D297353CC}">
              <c16:uniqueId val="{00000001-28E9-4B9C-B12F-DB957BE30F9E}"/>
            </c:ext>
          </c:extLst>
        </c:ser>
        <c:ser>
          <c:idx val="0"/>
          <c:order val="1"/>
          <c:tx>
            <c:v>Εξαγωγές αγαθών</c:v>
          </c:tx>
          <c:spPr>
            <a:ln w="28575" cap="rnd">
              <a:solidFill>
                <a:srgbClr val="00B0F0"/>
              </a:solidFill>
              <a:round/>
            </a:ln>
            <a:effectLst/>
          </c:spPr>
          <c:marker>
            <c:symbol val="circle"/>
            <c:size val="5"/>
            <c:spPr>
              <a:solidFill>
                <a:srgbClr val="00B0F0"/>
              </a:solidFill>
              <a:ln w="9525">
                <a:solidFill>
                  <a:srgbClr val="00B0F0"/>
                </a:solidFill>
              </a:ln>
              <a:effectLst/>
            </c:spPr>
          </c:marker>
          <c:dLbls>
            <c:dLbl>
              <c:idx val="10"/>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extLst>
                <c:ext xmlns:c16="http://schemas.microsoft.com/office/drawing/2014/chart" uri="{C3380CC4-5D6E-409C-BE32-E72D297353CC}">
                  <c16:uniqueId val="{00000002-28E9-4B9C-B12F-DB957BE30F9E}"/>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'monthly 8_21'!$II$2:$IS$2</c:f>
              <c:numCache>
                <c:formatCode>0</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'monthly 8_21'!$II$13:$IS$13</c:f>
              <c:numCache>
                <c:formatCode>#,##0.0</c:formatCode>
                <c:ptCount val="11"/>
                <c:pt idx="0">
                  <c:v>15118.090592</c:v>
                </c:pt>
                <c:pt idx="1">
                  <c:v>16606.520908999999</c:v>
                </c:pt>
                <c:pt idx="2">
                  <c:v>17515.172882000003</c:v>
                </c:pt>
                <c:pt idx="3">
                  <c:v>17188.268979999997</c:v>
                </c:pt>
                <c:pt idx="4" formatCode="#,##0">
                  <c:v>16614.037120000001</c:v>
                </c:pt>
                <c:pt idx="5" formatCode="#,##0">
                  <c:v>15695.064994999999</c:v>
                </c:pt>
                <c:pt idx="6" formatCode="#,##0">
                  <c:v>18180.701216999998</c:v>
                </c:pt>
                <c:pt idx="7" formatCode="#,##0">
                  <c:v>21347.190205000003</c:v>
                </c:pt>
                <c:pt idx="8" formatCode="#,##0">
                  <c:v>21578.319314999997</c:v>
                </c:pt>
                <c:pt idx="9" formatCode="#,##0">
                  <c:v>18716.022217000002</c:v>
                </c:pt>
                <c:pt idx="10" formatCode="#,##0_ ;\-#,##0\ ">
                  <c:v>24384.225695000001</c:v>
                </c:pt>
              </c:numCache>
            </c:numRef>
          </c:val>
          <c:smooth val="0"/>
          <c:extLst>
            <c:ext xmlns:c16="http://schemas.microsoft.com/office/drawing/2014/chart" uri="{C3380CC4-5D6E-409C-BE32-E72D297353CC}">
              <c16:uniqueId val="{00000003-28E9-4B9C-B12F-DB957BE30F9E}"/>
            </c:ext>
          </c:extLst>
        </c:ser>
        <c:dLbls>
          <c:showLegendKey val="0"/>
          <c:showVal val="0"/>
          <c:showCatName val="0"/>
          <c:showSerName val="0"/>
          <c:showPercent val="0"/>
          <c:showBubbleSize val="0"/>
        </c:dLbls>
        <c:marker val="1"/>
        <c:smooth val="0"/>
        <c:axId val="95775744"/>
        <c:axId val="96015104"/>
      </c:lineChart>
      <c:catAx>
        <c:axId val="95775744"/>
        <c:scaling>
          <c:orientation val="minMax"/>
        </c:scaling>
        <c:delete val="0"/>
        <c:axPos val="b"/>
        <c:numFmt formatCode="0" sourceLinked="1"/>
        <c:majorTickMark val="none"/>
        <c:minorTickMark val="cross"/>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6015104"/>
        <c:crosses val="autoZero"/>
        <c:auto val="1"/>
        <c:lblAlgn val="ctr"/>
        <c:lblOffset val="100"/>
        <c:noMultiLvlLbl val="0"/>
      </c:catAx>
      <c:valAx>
        <c:axId val="96015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577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l-GR"/>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074931066829641E-2"/>
          <c:y val="5.2568697729988054E-2"/>
          <c:w val="0.87483252319091886"/>
          <c:h val="0.69510232461992372"/>
        </c:manualLayout>
      </c:layout>
      <c:barChart>
        <c:barDir val="col"/>
        <c:grouping val="clustered"/>
        <c:varyColors val="0"/>
        <c:ser>
          <c:idx val="0"/>
          <c:order val="0"/>
          <c:tx>
            <c:v>Ταξιδιωτικό ισοζύγιο</c:v>
          </c:tx>
          <c:spPr>
            <a:solidFill>
              <a:srgbClr val="00B0F0"/>
            </a:solidFill>
            <a:ln>
              <a:noFill/>
            </a:ln>
            <a:effectLst/>
          </c:spPr>
          <c:invertIfNegative val="0"/>
          <c:dLbls>
            <c:dLbl>
              <c:idx val="4"/>
              <c:layout>
                <c:manualLayout>
                  <c:x val="-7.2202166064981952E-3"/>
                  <c:y val="4.2060988433228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EC-4D8D-9F29-A3C3EDF459C6}"/>
                </c:ext>
              </c:extLst>
            </c:dLbl>
            <c:dLbl>
              <c:idx val="5"/>
              <c:layout>
                <c:manualLayout>
                  <c:x val="-8.4269971668703859E-3"/>
                  <c:y val="3.19219718986230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EC-4D8D-9F29-A3C3EDF459C6}"/>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#REF!</c:f>
            </c:multiLvlStrRef>
          </c:cat>
          <c:val>
            <c:numRef>
              <c:f>'monthly 8_21'!$IN$31:$IS$31</c:f>
              <c:numCache>
                <c:formatCode>#,##0</c:formatCode>
                <c:ptCount val="6"/>
                <c:pt idx="0">
                  <c:v>8298.6350000000002</c:v>
                </c:pt>
                <c:pt idx="1">
                  <c:v>9311.61</c:v>
                </c:pt>
                <c:pt idx="2">
                  <c:v>10224.56</c:v>
                </c:pt>
                <c:pt idx="3">
                  <c:v>11422.296999999999</c:v>
                </c:pt>
                <c:pt idx="4">
                  <c:v>2185.39</c:v>
                </c:pt>
                <c:pt idx="5" formatCode="#,##0_ ;\-#,##0\ ">
                  <c:v>5971.3720000000003</c:v>
                </c:pt>
              </c:numCache>
            </c:numRef>
          </c:val>
          <c:extLst>
            <c:ext xmlns:c16="http://schemas.microsoft.com/office/drawing/2014/chart" uri="{C3380CC4-5D6E-409C-BE32-E72D297353CC}">
              <c16:uniqueId val="{00000002-CBEC-4D8D-9F29-A3C3EDF459C6}"/>
            </c:ext>
          </c:extLst>
        </c:ser>
        <c:ser>
          <c:idx val="2"/>
          <c:order val="1"/>
          <c:tx>
            <c:v>Ισοζύγιο μεταφορών</c:v>
          </c:tx>
          <c:spPr>
            <a:solidFill>
              <a:srgbClr val="92D050"/>
            </a:solidFill>
            <a:ln>
              <a:noFill/>
            </a:ln>
            <a:effectLst/>
          </c:spPr>
          <c:invertIfNegative val="0"/>
          <c:dLbls>
            <c:dLbl>
              <c:idx val="0"/>
              <c:layout>
                <c:manualLayout>
                  <c:x val="1.179775333087467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EC-4D8D-9F29-A3C3EDF459C6}"/>
                </c:ext>
              </c:extLst>
            </c:dLbl>
            <c:dLbl>
              <c:idx val="1"/>
              <c:layout>
                <c:manualLayout>
                  <c:x val="1.011235999789259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EC-4D8D-9F29-A3C3EDF459C6}"/>
                </c:ext>
              </c:extLst>
            </c:dLbl>
            <c:dLbl>
              <c:idx val="2"/>
              <c:layout>
                <c:manualLayout>
                  <c:x val="1.011235999789265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EC-4D8D-9F29-A3C3EDF459C6}"/>
                </c:ext>
              </c:extLst>
            </c:dLbl>
            <c:dLbl>
              <c:idx val="3"/>
              <c:layout>
                <c:manualLayout>
                  <c:x val="1.348314666385679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BEC-4D8D-9F29-A3C3EDF459C6}"/>
                </c:ext>
              </c:extLst>
            </c:dLbl>
            <c:dLbl>
              <c:idx val="4"/>
              <c:layout>
                <c:manualLayout>
                  <c:x val="1.3483233368392128E-2"/>
                  <c:y val="4.2060988433228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BEC-4D8D-9F29-A3C3EDF459C6}"/>
                </c:ext>
              </c:extLst>
            </c:dLbl>
            <c:dLbl>
              <c:idx val="5"/>
              <c:layout>
                <c:manualLayout>
                  <c:x val="8.4269666649106189E-3"/>
                  <c:y val="1.0027854273431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BEC-4D8D-9F29-A3C3EDF459C6}"/>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#REF!</c:f>
            </c:multiLvlStrRef>
          </c:cat>
          <c:val>
            <c:numRef>
              <c:f>'monthly 8_21'!$IN$32:$IS$32</c:f>
              <c:numCache>
                <c:formatCode>#,##0</c:formatCode>
                <c:ptCount val="6"/>
                <c:pt idx="0">
                  <c:v>2952.2837380000001</c:v>
                </c:pt>
                <c:pt idx="1">
                  <c:v>3372.47685</c:v>
                </c:pt>
                <c:pt idx="2">
                  <c:v>3548.3831079999991</c:v>
                </c:pt>
                <c:pt idx="3">
                  <c:v>4012.3276020000003</c:v>
                </c:pt>
                <c:pt idx="4">
                  <c:v>2780.5948669999998</c:v>
                </c:pt>
                <c:pt idx="5" formatCode="#,##0_ ;\-#,##0\ ">
                  <c:v>2262.2708059999995</c:v>
                </c:pt>
              </c:numCache>
            </c:numRef>
          </c:val>
          <c:extLst>
            <c:ext xmlns:c16="http://schemas.microsoft.com/office/drawing/2014/chart" uri="{C3380CC4-5D6E-409C-BE32-E72D297353CC}">
              <c16:uniqueId val="{00000009-CBEC-4D8D-9F29-A3C3EDF459C6}"/>
            </c:ext>
          </c:extLst>
        </c:ser>
        <c:ser>
          <c:idx val="3"/>
          <c:order val="2"/>
          <c:tx>
            <c:v>Ισοζύγιο λοιπών υπηρεσιών</c:v>
          </c:tx>
          <c:spPr>
            <a:solidFill>
              <a:schemeClr val="tx1">
                <a:lumMod val="50000"/>
                <a:lumOff val="5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#REF!</c:f>
            </c:multiLvlStrRef>
          </c:cat>
          <c:val>
            <c:numRef>
              <c:f>'monthly 8_21'!$IN$33:$IS$33</c:f>
              <c:numCache>
                <c:formatCode>#,##0</c:formatCode>
                <c:ptCount val="6"/>
                <c:pt idx="0">
                  <c:v>179.39770499999975</c:v>
                </c:pt>
                <c:pt idx="1">
                  <c:v>319.63448400000141</c:v>
                </c:pt>
                <c:pt idx="2">
                  <c:v>-194.06421899999998</c:v>
                </c:pt>
                <c:pt idx="3">
                  <c:v>-172.60821100000067</c:v>
                </c:pt>
                <c:pt idx="4">
                  <c:v>-298.76530700000023</c:v>
                </c:pt>
                <c:pt idx="5" formatCode="#,##0_ ;\-#,##0\ ">
                  <c:v>-276.72016000000053</c:v>
                </c:pt>
              </c:numCache>
            </c:numRef>
          </c:val>
          <c:extLst>
            <c:ext xmlns:c16="http://schemas.microsoft.com/office/drawing/2014/chart" uri="{C3380CC4-5D6E-409C-BE32-E72D297353CC}">
              <c16:uniqueId val="{0000000A-CBEC-4D8D-9F29-A3C3EDF459C6}"/>
            </c:ext>
          </c:extLst>
        </c:ser>
        <c:dLbls>
          <c:showLegendKey val="0"/>
          <c:showVal val="0"/>
          <c:showCatName val="0"/>
          <c:showSerName val="0"/>
          <c:showPercent val="0"/>
          <c:showBubbleSize val="0"/>
        </c:dLbls>
        <c:gapWidth val="219"/>
        <c:axId val="96498816"/>
        <c:axId val="96500352"/>
      </c:barChart>
      <c:lineChart>
        <c:grouping val="standard"/>
        <c:varyColors val="0"/>
        <c:ser>
          <c:idx val="4"/>
          <c:order val="3"/>
          <c:tx>
            <c:v>Ισοζύγιο υπηρεσιών</c:v>
          </c:tx>
          <c:spPr>
            <a:ln w="28575" cap="rnd">
              <a:solidFill>
                <a:schemeClr val="tx2"/>
              </a:solidFill>
              <a:round/>
            </a:ln>
            <a:effectLst/>
          </c:spPr>
          <c:marker>
            <c:symbol val="circle"/>
            <c:size val="5"/>
            <c:spPr>
              <a:solidFill>
                <a:schemeClr val="tx2"/>
              </a:solidFill>
              <a:ln w="9525">
                <a:solidFill>
                  <a:schemeClr val="tx2"/>
                </a:solidFill>
              </a:ln>
              <a:effectLst/>
            </c:spPr>
          </c:marker>
          <c:dLbls>
            <c:dLbl>
              <c:idx val="4"/>
              <c:layout>
                <c:manualLayout>
                  <c:x val="-3.3634270445436196E-2"/>
                  <c:y val="-5.5110492891858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BEC-4D8D-9F29-A3C3EDF459C6}"/>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'monthly 8_21'!$IN$2:$IS$2</c:f>
              <c:numCache>
                <c:formatCode>0</c:formatCode>
                <c:ptCount val="6"/>
                <c:pt idx="0">
                  <c:v>2016</c:v>
                </c:pt>
                <c:pt idx="1">
                  <c:v>2017</c:v>
                </c:pt>
                <c:pt idx="2">
                  <c:v>2018</c:v>
                </c:pt>
                <c:pt idx="3">
                  <c:v>2019</c:v>
                </c:pt>
                <c:pt idx="4">
                  <c:v>2020</c:v>
                </c:pt>
                <c:pt idx="5">
                  <c:v>2021</c:v>
                </c:pt>
              </c:numCache>
            </c:numRef>
          </c:cat>
          <c:val>
            <c:numRef>
              <c:f>'monthly 8_21'!$IN$22:$IS$22</c:f>
              <c:numCache>
                <c:formatCode>#,##0</c:formatCode>
                <c:ptCount val="6"/>
                <c:pt idx="0">
                  <c:v>11430.316443</c:v>
                </c:pt>
                <c:pt idx="1">
                  <c:v>13003.721334000002</c:v>
                </c:pt>
                <c:pt idx="2">
                  <c:v>13578.878889</c:v>
                </c:pt>
                <c:pt idx="3">
                  <c:v>15262.016391000001</c:v>
                </c:pt>
                <c:pt idx="4">
                  <c:v>4667.2195599999986</c:v>
                </c:pt>
                <c:pt idx="5" formatCode="#,##0_ ;\-#,##0\ ">
                  <c:v>7956.922646</c:v>
                </c:pt>
              </c:numCache>
            </c:numRef>
          </c:val>
          <c:smooth val="0"/>
          <c:extLst>
            <c:ext xmlns:c16="http://schemas.microsoft.com/office/drawing/2014/chart" uri="{C3380CC4-5D6E-409C-BE32-E72D297353CC}">
              <c16:uniqueId val="{0000000C-CBEC-4D8D-9F29-A3C3EDF459C6}"/>
            </c:ext>
          </c:extLst>
        </c:ser>
        <c:dLbls>
          <c:showLegendKey val="0"/>
          <c:showVal val="0"/>
          <c:showCatName val="0"/>
          <c:showSerName val="0"/>
          <c:showPercent val="0"/>
          <c:showBubbleSize val="0"/>
        </c:dLbls>
        <c:marker val="1"/>
        <c:smooth val="0"/>
        <c:axId val="96498816"/>
        <c:axId val="96500352"/>
      </c:lineChart>
      <c:catAx>
        <c:axId val="96498816"/>
        <c:scaling>
          <c:orientation val="minMax"/>
        </c:scaling>
        <c:delete val="0"/>
        <c:axPos val="b"/>
        <c:numFmt formatCode="0"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6500352"/>
        <c:crosses val="autoZero"/>
        <c:auto val="1"/>
        <c:lblAlgn val="ctr"/>
        <c:lblOffset val="100"/>
        <c:noMultiLvlLbl val="0"/>
      </c:catAx>
      <c:valAx>
        <c:axId val="96500352"/>
        <c:scaling>
          <c:orientation val="minMax"/>
          <c:min val="-3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6498816"/>
        <c:crosses val="autoZero"/>
        <c:crossBetween val="between"/>
      </c:valAx>
      <c:spPr>
        <a:noFill/>
        <a:ln>
          <a:noFill/>
        </a:ln>
        <a:effectLst/>
      </c:spPr>
    </c:plotArea>
    <c:legend>
      <c:legendPos val="b"/>
      <c:layout>
        <c:manualLayout>
          <c:xMode val="edge"/>
          <c:yMode val="edge"/>
          <c:x val="5.3092659446450058E-2"/>
          <c:y val="0.85538947249732211"/>
          <c:w val="0.90024162142187103"/>
          <c:h val="0.115891212523165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l-GR"/>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438666568932363E-2"/>
          <c:y val="3.2704623460528964E-2"/>
          <c:w val="0.8594202102263685"/>
          <c:h val="0.8056345649101555"/>
        </c:manualLayout>
      </c:layout>
      <c:barChart>
        <c:barDir val="col"/>
        <c:grouping val="clustered"/>
        <c:varyColors val="0"/>
        <c:ser>
          <c:idx val="0"/>
          <c:order val="1"/>
          <c:tx>
            <c:v>% εισπράξεων 2021 σε σχέση με 2019</c:v>
          </c:tx>
          <c:spPr>
            <a:solidFill>
              <a:srgbClr val="00B0F0"/>
            </a:solidFill>
          </c:spPr>
          <c:invertIfNegative val="0"/>
          <c:dLbls>
            <c:spPr>
              <a:solidFill>
                <a:schemeClr val="accent1">
                  <a:lumMod val="20000"/>
                  <a:lumOff val="80000"/>
                </a:schemeClr>
              </a:solidFill>
            </c:spPr>
            <c:txPr>
              <a:bodyPr wrap="square" lIns="38100" tIns="19050" rIns="38100" bIns="19050" anchor="ctr">
                <a:spAutoFit/>
              </a:bodyPr>
              <a:lstStyle/>
              <a:p>
                <a:pPr>
                  <a:defRPr b="1"/>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'monthly 8_21'!$HW$1:$ID$1</c:f>
              <c:strCache>
                <c:ptCount val="8"/>
                <c:pt idx="0">
                  <c:v>Ιαν.</c:v>
                </c:pt>
                <c:pt idx="1">
                  <c:v>Φεβ.</c:v>
                </c:pt>
                <c:pt idx="2">
                  <c:v>Μάρ.</c:v>
                </c:pt>
                <c:pt idx="3">
                  <c:v>Απρ.</c:v>
                </c:pt>
                <c:pt idx="4">
                  <c:v>Μάιος</c:v>
                </c:pt>
                <c:pt idx="5">
                  <c:v>Ιούν.</c:v>
                </c:pt>
                <c:pt idx="6">
                  <c:v>Ιούλ.</c:v>
                </c:pt>
                <c:pt idx="7">
                  <c:v>Αύγ.</c:v>
                </c:pt>
              </c:strCache>
            </c:strRef>
          </c:cat>
          <c:val>
            <c:numRef>
              <c:f>'monthly 8_21'!$HW$34:$ID$34</c:f>
              <c:numCache>
                <c:formatCode>0.0%</c:formatCode>
                <c:ptCount val="8"/>
                <c:pt idx="0">
                  <c:v>0.1483635732268426</c:v>
                </c:pt>
                <c:pt idx="1">
                  <c:v>0.16643152272498235</c:v>
                </c:pt>
                <c:pt idx="2">
                  <c:v>0.12278995394983269</c:v>
                </c:pt>
                <c:pt idx="3">
                  <c:v>0.10817922531971662</c:v>
                </c:pt>
                <c:pt idx="4">
                  <c:v>0.14188749122022862</c:v>
                </c:pt>
                <c:pt idx="5">
                  <c:v>0.31542359362537342</c:v>
                </c:pt>
                <c:pt idx="6">
                  <c:v>0.61449671462175615</c:v>
                </c:pt>
                <c:pt idx="7">
                  <c:v>0.75832222728457721</c:v>
                </c:pt>
              </c:numCache>
            </c:numRef>
          </c:val>
          <c:extLst>
            <c:ext xmlns:c16="http://schemas.microsoft.com/office/drawing/2014/chart" uri="{C3380CC4-5D6E-409C-BE32-E72D297353CC}">
              <c16:uniqueId val="{00000000-5419-494C-A670-C02F3751FEB2}"/>
            </c:ext>
          </c:extLst>
        </c:ser>
        <c:dLbls>
          <c:showLegendKey val="0"/>
          <c:showVal val="0"/>
          <c:showCatName val="0"/>
          <c:showSerName val="0"/>
          <c:showPercent val="0"/>
          <c:showBubbleSize val="0"/>
        </c:dLbls>
        <c:gapWidth val="150"/>
        <c:axId val="96642944"/>
        <c:axId val="96641408"/>
      </c:barChart>
      <c:lineChart>
        <c:grouping val="standard"/>
        <c:varyColors val="0"/>
        <c:ser>
          <c:idx val="2"/>
          <c:order val="0"/>
          <c:tx>
            <c:v>Ταξιδιωτικές εισπράξεις 2021</c:v>
          </c:tx>
          <c:spPr>
            <a:ln w="28575">
              <a:solidFill>
                <a:srgbClr val="92D050"/>
              </a:solidFill>
            </a:ln>
          </c:spPr>
          <c:marker>
            <c:spPr>
              <a:solidFill>
                <a:srgbClr val="92D050"/>
              </a:solidFill>
              <a:ln w="28575">
                <a:solidFill>
                  <a:srgbClr val="92D050"/>
                </a:solidFill>
              </a:ln>
            </c:spPr>
          </c:marker>
          <c:dLbls>
            <c:numFmt formatCode="#,##0_ ;[Red]\-#,##0\ " sourceLinked="0"/>
            <c:spPr>
              <a:solidFill>
                <a:srgbClr val="92D050"/>
              </a:solidFill>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'monthly 8_21'!$HW$1:$ID$1</c:f>
              <c:strCache>
                <c:ptCount val="8"/>
                <c:pt idx="0">
                  <c:v>Ιαν.</c:v>
                </c:pt>
                <c:pt idx="1">
                  <c:v>Φεβ.</c:v>
                </c:pt>
                <c:pt idx="2">
                  <c:v>Μάρ.</c:v>
                </c:pt>
                <c:pt idx="3">
                  <c:v>Απρ.</c:v>
                </c:pt>
                <c:pt idx="4">
                  <c:v>Μάιος</c:v>
                </c:pt>
                <c:pt idx="5">
                  <c:v>Ιούν.</c:v>
                </c:pt>
                <c:pt idx="6">
                  <c:v>Ιούλ.</c:v>
                </c:pt>
                <c:pt idx="7">
                  <c:v>Αύγ.</c:v>
                </c:pt>
              </c:strCache>
            </c:strRef>
          </c:cat>
          <c:val>
            <c:numRef>
              <c:f>'monthly 8_21'!$HW$24:$ID$24</c:f>
              <c:numCache>
                <c:formatCode>#,##0.0</c:formatCode>
                <c:ptCount val="8"/>
                <c:pt idx="0">
                  <c:v>34.18</c:v>
                </c:pt>
                <c:pt idx="1">
                  <c:v>33.03</c:v>
                </c:pt>
                <c:pt idx="2">
                  <c:v>39.01</c:v>
                </c:pt>
                <c:pt idx="3">
                  <c:v>58.79</c:v>
                </c:pt>
                <c:pt idx="4">
                  <c:v>222.21</c:v>
                </c:pt>
                <c:pt idx="5">
                  <c:v>806.74</c:v>
                </c:pt>
                <c:pt idx="6">
                  <c:v>2275.34</c:v>
                </c:pt>
                <c:pt idx="7">
                  <c:v>3112.4349999999999</c:v>
                </c:pt>
              </c:numCache>
            </c:numRef>
          </c:val>
          <c:smooth val="0"/>
          <c:extLst>
            <c:ext xmlns:c16="http://schemas.microsoft.com/office/drawing/2014/chart" uri="{C3380CC4-5D6E-409C-BE32-E72D297353CC}">
              <c16:uniqueId val="{00000001-5419-494C-A670-C02F3751FEB2}"/>
            </c:ext>
          </c:extLst>
        </c:ser>
        <c:dLbls>
          <c:showLegendKey val="0"/>
          <c:showVal val="0"/>
          <c:showCatName val="0"/>
          <c:showSerName val="0"/>
          <c:showPercent val="0"/>
          <c:showBubbleSize val="0"/>
        </c:dLbls>
        <c:marker val="1"/>
        <c:smooth val="0"/>
        <c:axId val="96625792"/>
        <c:axId val="96627328"/>
      </c:lineChart>
      <c:catAx>
        <c:axId val="96625792"/>
        <c:scaling>
          <c:orientation val="minMax"/>
        </c:scaling>
        <c:delete val="0"/>
        <c:axPos val="b"/>
        <c:numFmt formatCode="General" sourceLinked="1"/>
        <c:majorTickMark val="none"/>
        <c:minorTickMark val="cross"/>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6627328"/>
        <c:crosses val="autoZero"/>
        <c:auto val="1"/>
        <c:lblAlgn val="ctr"/>
        <c:lblOffset val="100"/>
        <c:noMultiLvlLbl val="0"/>
      </c:catAx>
      <c:valAx>
        <c:axId val="96627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6625792"/>
        <c:crosses val="autoZero"/>
        <c:crossBetween val="between"/>
      </c:valAx>
      <c:valAx>
        <c:axId val="96641408"/>
        <c:scaling>
          <c:orientation val="minMax"/>
        </c:scaling>
        <c:delete val="0"/>
        <c:axPos val="r"/>
        <c:numFmt formatCode="0%" sourceLinked="0"/>
        <c:majorTickMark val="out"/>
        <c:minorTickMark val="none"/>
        <c:tickLblPos val="nextTo"/>
        <c:crossAx val="96642944"/>
        <c:crosses val="max"/>
        <c:crossBetween val="between"/>
      </c:valAx>
      <c:catAx>
        <c:axId val="96642944"/>
        <c:scaling>
          <c:orientation val="minMax"/>
        </c:scaling>
        <c:delete val="1"/>
        <c:axPos val="b"/>
        <c:numFmt formatCode="General" sourceLinked="1"/>
        <c:majorTickMark val="out"/>
        <c:minorTickMark val="none"/>
        <c:tickLblPos val="nextTo"/>
        <c:crossAx val="96641408"/>
        <c:crosses val="autoZero"/>
        <c:auto val="1"/>
        <c:lblAlgn val="ctr"/>
        <c:lblOffset val="100"/>
        <c:noMultiLvlLbl val="0"/>
      </c:catAx>
      <c:spPr>
        <a:noFill/>
        <a:ln>
          <a:noFill/>
        </a:ln>
        <a:effectLst/>
      </c:spPr>
    </c:plotArea>
    <c:legend>
      <c:legendPos val="b"/>
      <c:layout>
        <c:manualLayout>
          <c:xMode val="edge"/>
          <c:yMode val="edge"/>
          <c:x val="6.8023915783090291E-2"/>
          <c:y val="0.91666619516871772"/>
          <c:w val="0.85432502345149097"/>
          <c:h val="6.736574095902682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l-GR"/>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Ξένες άμεσες επενδύσεις</c:v>
          </c:tx>
          <c:spPr>
            <a:solidFill>
              <a:srgbClr val="00B0F0"/>
            </a:solidFill>
            <a:ln w="25400">
              <a:noFill/>
            </a:ln>
          </c:spPr>
          <c:invertIfNegative val="0"/>
          <c:dLbls>
            <c:numFmt formatCode="#,##0_ ;[Red]\-#,##0\ " sourceLinked="0"/>
            <c:spPr>
              <a:noFill/>
              <a:ln>
                <a:noFill/>
              </a:ln>
              <a:effectLst/>
            </c:spPr>
            <c:txPr>
              <a:bodyPr wrap="square" lIns="38100" tIns="19050" rIns="38100" bIns="19050" anchor="ctr">
                <a:spAutoFit/>
              </a:bodyPr>
              <a:lstStyle/>
              <a:p>
                <a:pPr>
                  <a:defRPr sz="1100" b="1"/>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'monthly 8_21'!$IM$2:$IS$2</c:f>
              <c:numCache>
                <c:formatCode>0</c:formatCode>
                <c:ptCount val="7"/>
                <c:pt idx="0">
                  <c:v>2015</c:v>
                </c:pt>
                <c:pt idx="1">
                  <c:v>2016</c:v>
                </c:pt>
                <c:pt idx="2">
                  <c:v>2017</c:v>
                </c:pt>
                <c:pt idx="3">
                  <c:v>2018</c:v>
                </c:pt>
                <c:pt idx="4">
                  <c:v>2019</c:v>
                </c:pt>
                <c:pt idx="5">
                  <c:v>2020</c:v>
                </c:pt>
                <c:pt idx="6">
                  <c:v>2021</c:v>
                </c:pt>
              </c:numCache>
            </c:numRef>
          </c:cat>
          <c:val>
            <c:numRef>
              <c:f>'monthly 8_21'!$IM$67:$IS$67</c:f>
              <c:numCache>
                <c:formatCode>#,##0</c:formatCode>
                <c:ptCount val="7"/>
                <c:pt idx="0">
                  <c:v>760.90417600000001</c:v>
                </c:pt>
                <c:pt idx="1">
                  <c:v>1037.6709509999998</c:v>
                </c:pt>
                <c:pt idx="2">
                  <c:v>2139.8558899999998</c:v>
                </c:pt>
                <c:pt idx="3">
                  <c:v>2430.4407609999998</c:v>
                </c:pt>
                <c:pt idx="4">
                  <c:v>2741.8497990000005</c:v>
                </c:pt>
                <c:pt idx="5">
                  <c:v>2040.0497739999996</c:v>
                </c:pt>
                <c:pt idx="6" formatCode="#,##0_ ;\-#,##0\ ">
                  <c:v>3525.2940270000004</c:v>
                </c:pt>
              </c:numCache>
            </c:numRef>
          </c:val>
          <c:extLst>
            <c:ext xmlns:c16="http://schemas.microsoft.com/office/drawing/2014/chart" uri="{C3380CC4-5D6E-409C-BE32-E72D297353CC}">
              <c16:uniqueId val="{00000000-1263-426D-B1EB-78A42A8BDA81}"/>
            </c:ext>
          </c:extLst>
        </c:ser>
        <c:dLbls>
          <c:dLblPos val="outEnd"/>
          <c:showLegendKey val="0"/>
          <c:showVal val="1"/>
          <c:showCatName val="0"/>
          <c:showSerName val="0"/>
          <c:showPercent val="0"/>
          <c:showBubbleSize val="0"/>
        </c:dLbls>
        <c:gapWidth val="100"/>
        <c:overlap val="100"/>
        <c:axId val="96655616"/>
        <c:axId val="97751424"/>
      </c:barChart>
      <c:catAx>
        <c:axId val="96655616"/>
        <c:scaling>
          <c:orientation val="minMax"/>
        </c:scaling>
        <c:delete val="0"/>
        <c:axPos val="b"/>
        <c:numFmt formatCode="0"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7751424"/>
        <c:crosses val="autoZero"/>
        <c:auto val="1"/>
        <c:lblAlgn val="ctr"/>
        <c:lblOffset val="100"/>
        <c:noMultiLvlLbl val="0"/>
      </c:catAx>
      <c:valAx>
        <c:axId val="97751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9665561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l-GR"/>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139370876512766E-2"/>
          <c:y val="5.866114561766736E-2"/>
          <c:w val="0.82465536222865765"/>
          <c:h val="0.6891709188525349"/>
        </c:manualLayout>
      </c:layout>
      <c:lineChart>
        <c:grouping val="standard"/>
        <c:varyColors val="0"/>
        <c:ser>
          <c:idx val="0"/>
          <c:order val="0"/>
          <c:tx>
            <c:strRef>
              <c:f>'[Γραφήματα_Επιχειρηματικών_Δεικτών (1).xls]Sheet4'!$C$1</c:f>
              <c:strCache>
                <c:ptCount val="1"/>
                <c:pt idx="0">
                  <c:v>Δείκτης Βιομηχανικής Παραγωγής</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7"/>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BB-454E-91D9-459FB0503A86}"/>
                </c:ext>
              </c:extLst>
            </c:dLbl>
            <c:dLbl>
              <c:idx val="2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BB-454E-91D9-459FB0503A86}"/>
                </c:ext>
              </c:extLst>
            </c:dLbl>
            <c:numFmt formatCode="#,##0.0" sourceLinked="0"/>
            <c:spPr>
              <a:noFill/>
              <a:ln>
                <a:noFill/>
              </a:ln>
              <a:effectLst/>
            </c:spPr>
            <c:txPr>
              <a:bodyPr wrap="square" lIns="38100" tIns="19050" rIns="38100" bIns="19050" anchor="ctr">
                <a:spAutoFit/>
              </a:bodyPr>
              <a:lstStyle/>
              <a:p>
                <a:pPr>
                  <a:defRPr>
                    <a:solidFill>
                      <a:srgbClr val="00B050"/>
                    </a:solidFill>
                  </a:defRPr>
                </a:pPr>
                <a:endParaRPr lang="el-GR"/>
              </a:p>
            </c:txPr>
            <c:dLblPos val="b"/>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'[Γραφήματα_Επιχειρηματικών_Δεικτών (1).xls]Sheet4'!$A$2:$B$22</c:f>
              <c:multiLvlStrCache>
                <c:ptCount val="21"/>
                <c:lvl>
                  <c:pt idx="0">
                    <c:v>ΙΑΝ</c:v>
                  </c:pt>
                  <c:pt idx="1">
                    <c:v>ΦΕΒ</c:v>
                  </c:pt>
                  <c:pt idx="2">
                    <c:v>ΜΑΡ</c:v>
                  </c:pt>
                  <c:pt idx="3">
                    <c:v>ΑΠΡ</c:v>
                  </c:pt>
                  <c:pt idx="4">
                    <c:v>MAI</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MAI</c:v>
                  </c:pt>
                  <c:pt idx="17">
                    <c:v>ΙΟΥΝ</c:v>
                  </c:pt>
                  <c:pt idx="18">
                    <c:v>ΙΟΥΛ</c:v>
                  </c:pt>
                  <c:pt idx="19">
                    <c:v>ΑΥΓ</c:v>
                  </c:pt>
                  <c:pt idx="20">
                    <c:v>ΣΕΠ</c:v>
                  </c:pt>
                </c:lvl>
                <c:lvl>
                  <c:pt idx="0">
                    <c:v>2020</c:v>
                  </c:pt>
                  <c:pt idx="12">
                    <c:v>2021</c:v>
                  </c:pt>
                </c:lvl>
              </c:multiLvlStrCache>
            </c:multiLvlStrRef>
          </c:cat>
          <c:val>
            <c:numRef>
              <c:f>'[Γραφήματα_Επιχειρηματικών_Δεικτών (1).xls]Sheet4'!$C$2:$C$22</c:f>
              <c:numCache>
                <c:formatCode>0.00</c:formatCode>
                <c:ptCount val="21"/>
                <c:pt idx="0">
                  <c:v>110.42096137197512</c:v>
                </c:pt>
                <c:pt idx="1">
                  <c:v>106.67619488591923</c:v>
                </c:pt>
                <c:pt idx="2">
                  <c:v>107.43881652841497</c:v>
                </c:pt>
                <c:pt idx="3">
                  <c:v>97.402536297753954</c:v>
                </c:pt>
                <c:pt idx="4">
                  <c:v>99.110531864065621</c:v>
                </c:pt>
                <c:pt idx="5">
                  <c:v>102.64308654326442</c:v>
                </c:pt>
                <c:pt idx="6">
                  <c:v>106.35138933745574</c:v>
                </c:pt>
                <c:pt idx="7">
                  <c:v>105.31453315082393</c:v>
                </c:pt>
                <c:pt idx="8">
                  <c:v>106.64042713938119</c:v>
                </c:pt>
                <c:pt idx="9">
                  <c:v>104.04161540172021</c:v>
                </c:pt>
                <c:pt idx="10">
                  <c:v>110.66687075349677</c:v>
                </c:pt>
                <c:pt idx="11">
                  <c:v>110.4892229570884</c:v>
                </c:pt>
                <c:pt idx="12">
                  <c:v>113.84921424437506</c:v>
                </c:pt>
                <c:pt idx="13">
                  <c:v>111.2772026253877</c:v>
                </c:pt>
                <c:pt idx="14">
                  <c:v>113.66359741007426</c:v>
                </c:pt>
                <c:pt idx="15">
                  <c:v>118.66948185673313</c:v>
                </c:pt>
                <c:pt idx="16">
                  <c:v>112.91343940556476</c:v>
                </c:pt>
                <c:pt idx="17">
                  <c:v>111.93260630194092</c:v>
                </c:pt>
                <c:pt idx="18">
                  <c:v>114.83110118361952</c:v>
                </c:pt>
                <c:pt idx="19">
                  <c:v>115.42306500023152</c:v>
                </c:pt>
                <c:pt idx="20">
                  <c:v>116.97503338480095</c:v>
                </c:pt>
              </c:numCache>
            </c:numRef>
          </c:val>
          <c:smooth val="0"/>
          <c:extLst>
            <c:ext xmlns:c16="http://schemas.microsoft.com/office/drawing/2014/chart" uri="{C3380CC4-5D6E-409C-BE32-E72D297353CC}">
              <c16:uniqueId val="{00000002-97BB-454E-91D9-459FB0503A86}"/>
            </c:ext>
          </c:extLst>
        </c:ser>
        <c:ser>
          <c:idx val="1"/>
          <c:order val="1"/>
          <c:tx>
            <c:strRef>
              <c:f>'[Γραφήματα_Επιχειρηματικών_Δεικτών (1).xls]Sheet4'!$D$1</c:f>
              <c:strCache>
                <c:ptCount val="1"/>
                <c:pt idx="0">
                  <c:v>Κύκλος Εργασιών στη Βιομηχανία</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dLbls>
            <c:dLbl>
              <c:idx val="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BB-454E-91D9-459FB0503A86}"/>
                </c:ext>
              </c:extLst>
            </c:dLbl>
            <c:dLbl>
              <c:idx val="1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BB-454E-91D9-459FB0503A86}"/>
                </c:ext>
              </c:extLst>
            </c:dLbl>
            <c:dLbl>
              <c:idx val="19"/>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BB-454E-91D9-459FB0503A86}"/>
                </c:ext>
              </c:extLst>
            </c:dLbl>
            <c:spPr>
              <a:noFill/>
              <a:ln>
                <a:noFill/>
              </a:ln>
              <a:effectLst/>
            </c:spPr>
            <c:txPr>
              <a:bodyPr wrap="square" lIns="38100" tIns="19050" rIns="38100" bIns="19050" anchor="ctr">
                <a:spAutoFit/>
              </a:bodyPr>
              <a:lstStyle/>
              <a:p>
                <a:pPr>
                  <a:defRPr>
                    <a:solidFill>
                      <a:srgbClr val="0070C0"/>
                    </a:solidFill>
                  </a:defRPr>
                </a:pPr>
                <a:endParaRPr lang="el-GR"/>
              </a:p>
            </c:txPr>
            <c:dLblPos val="b"/>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'[Γραφήματα_Επιχειρηματικών_Δεικτών (1).xls]Sheet4'!$A$2:$B$22</c:f>
              <c:multiLvlStrCache>
                <c:ptCount val="21"/>
                <c:lvl>
                  <c:pt idx="0">
                    <c:v>ΙΑΝ</c:v>
                  </c:pt>
                  <c:pt idx="1">
                    <c:v>ΦΕΒ</c:v>
                  </c:pt>
                  <c:pt idx="2">
                    <c:v>ΜΑΡ</c:v>
                  </c:pt>
                  <c:pt idx="3">
                    <c:v>ΑΠΡ</c:v>
                  </c:pt>
                  <c:pt idx="4">
                    <c:v>MAI</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MAI</c:v>
                  </c:pt>
                  <c:pt idx="17">
                    <c:v>ΙΟΥΝ</c:v>
                  </c:pt>
                  <c:pt idx="18">
                    <c:v>ΙΟΥΛ</c:v>
                  </c:pt>
                  <c:pt idx="19">
                    <c:v>ΑΥΓ</c:v>
                  </c:pt>
                  <c:pt idx="20">
                    <c:v>ΣΕΠ</c:v>
                  </c:pt>
                </c:lvl>
                <c:lvl>
                  <c:pt idx="0">
                    <c:v>2020</c:v>
                  </c:pt>
                  <c:pt idx="12">
                    <c:v>2021</c:v>
                  </c:pt>
                </c:lvl>
              </c:multiLvlStrCache>
            </c:multiLvlStrRef>
          </c:cat>
          <c:val>
            <c:numRef>
              <c:f>'[Γραφήματα_Επιχειρηματικών_Δεικτών (1).xls]Sheet4'!$D$2:$D$21</c:f>
              <c:numCache>
                <c:formatCode>#,##0.0</c:formatCode>
                <c:ptCount val="20"/>
                <c:pt idx="0">
                  <c:v>115.3</c:v>
                </c:pt>
                <c:pt idx="1">
                  <c:v>110.1</c:v>
                </c:pt>
                <c:pt idx="2">
                  <c:v>103.6</c:v>
                </c:pt>
                <c:pt idx="3">
                  <c:v>80.400000000000006</c:v>
                </c:pt>
                <c:pt idx="4">
                  <c:v>85.8</c:v>
                </c:pt>
                <c:pt idx="5">
                  <c:v>102.6</c:v>
                </c:pt>
                <c:pt idx="6">
                  <c:v>99</c:v>
                </c:pt>
                <c:pt idx="7">
                  <c:v>96.7</c:v>
                </c:pt>
                <c:pt idx="8">
                  <c:v>100.8</c:v>
                </c:pt>
                <c:pt idx="9">
                  <c:v>95.8</c:v>
                </c:pt>
                <c:pt idx="10">
                  <c:v>108.1</c:v>
                </c:pt>
                <c:pt idx="11">
                  <c:v>111.1</c:v>
                </c:pt>
                <c:pt idx="12">
                  <c:v>106.2</c:v>
                </c:pt>
                <c:pt idx="13">
                  <c:v>110.1</c:v>
                </c:pt>
                <c:pt idx="14">
                  <c:v>117.5</c:v>
                </c:pt>
                <c:pt idx="15">
                  <c:v>118.5</c:v>
                </c:pt>
                <c:pt idx="16">
                  <c:v>123.3</c:v>
                </c:pt>
                <c:pt idx="17">
                  <c:v>125.7</c:v>
                </c:pt>
                <c:pt idx="18">
                  <c:v>124.5</c:v>
                </c:pt>
                <c:pt idx="19">
                  <c:v>122.5</c:v>
                </c:pt>
              </c:numCache>
            </c:numRef>
          </c:val>
          <c:smooth val="0"/>
          <c:extLst>
            <c:ext xmlns:c16="http://schemas.microsoft.com/office/drawing/2014/chart" uri="{C3380CC4-5D6E-409C-BE32-E72D297353CC}">
              <c16:uniqueId val="{00000006-97BB-454E-91D9-459FB0503A86}"/>
            </c:ext>
          </c:extLst>
        </c:ser>
        <c:dLbls>
          <c:showLegendKey val="0"/>
          <c:showVal val="0"/>
          <c:showCatName val="0"/>
          <c:showSerName val="0"/>
          <c:showPercent val="0"/>
          <c:showBubbleSize val="0"/>
        </c:dLbls>
        <c:marker val="1"/>
        <c:smooth val="0"/>
        <c:axId val="395293880"/>
        <c:axId val="1"/>
      </c:lineChart>
      <c:catAx>
        <c:axId val="39529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rebuchet MS" panose="020B0603020202020204" pitchFamily="34" charset="0"/>
                <a:ea typeface="+mn-ea"/>
                <a:cs typeface="+mn-cs"/>
              </a:defRPr>
            </a:pPr>
            <a:endParaRPr lang="el-GR"/>
          </a:p>
        </c:txPr>
        <c:crossAx val="1"/>
        <c:crosses val="autoZero"/>
        <c:auto val="1"/>
        <c:lblAlgn val="ctr"/>
        <c:lblOffset val="100"/>
        <c:noMultiLvlLbl val="0"/>
      </c:catAx>
      <c:valAx>
        <c:axId val="1"/>
        <c:scaling>
          <c:orientation val="minMax"/>
          <c:min val="79"/>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rebuchet MS" panose="020B0603020202020204" pitchFamily="34" charset="0"/>
                <a:ea typeface="+mn-ea"/>
                <a:cs typeface="+mn-cs"/>
              </a:defRPr>
            </a:pPr>
            <a:endParaRPr lang="el-GR"/>
          </a:p>
        </c:txPr>
        <c:crossAx val="395293880"/>
        <c:crosses val="autoZero"/>
        <c:crossBetween val="between"/>
      </c:valAx>
      <c:spPr>
        <a:noFill/>
        <a:ln w="25400">
          <a:noFill/>
        </a:ln>
      </c:spPr>
    </c:plotArea>
    <c:legend>
      <c:legendPos val="r"/>
      <c:layout>
        <c:manualLayout>
          <c:xMode val="edge"/>
          <c:yMode val="edge"/>
          <c:x val="6.231018067006374E-2"/>
          <c:y val="0.918552289882274"/>
          <c:w val="0.8769018108933363"/>
          <c:h val="5.882354565748552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rebuchet MS" panose="020B0603020202020204" pitchFamily="34" charset="0"/>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rebuchet MS" panose="020B0603020202020204" pitchFamily="34" charset="0"/>
        </a:defRPr>
      </a:pPr>
      <a:endParaRPr lang="el-G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w="19050">
              <a:noFill/>
            </a:ln>
            <a:effectLst/>
          </c:spPr>
          <c:invertIfNegative val="0"/>
          <c:dPt>
            <c:idx val="0"/>
            <c:invertIfNegative val="0"/>
            <c:bubble3D val="0"/>
            <c:spPr>
              <a:solidFill>
                <a:schemeClr val="accent2"/>
              </a:solidFill>
              <a:ln w="19050">
                <a:noFill/>
              </a:ln>
              <a:effectLst/>
            </c:spPr>
            <c:extLst>
              <c:ext xmlns:c16="http://schemas.microsoft.com/office/drawing/2014/chart" uri="{C3380CC4-5D6E-409C-BE32-E72D297353CC}">
                <c16:uniqueId val="{00000001-6BF5-4CC5-840D-585ECEB78A05}"/>
              </c:ext>
            </c:extLst>
          </c:dPt>
          <c:dPt>
            <c:idx val="1"/>
            <c:invertIfNegative val="0"/>
            <c:bubble3D val="0"/>
            <c:spPr>
              <a:solidFill>
                <a:schemeClr val="accent1">
                  <a:lumMod val="50000"/>
                </a:schemeClr>
              </a:solidFill>
              <a:ln w="19050">
                <a:noFill/>
              </a:ln>
              <a:effectLst/>
            </c:spPr>
            <c:extLst>
              <c:ext xmlns:c16="http://schemas.microsoft.com/office/drawing/2014/chart" uri="{C3380CC4-5D6E-409C-BE32-E72D297353CC}">
                <c16:uniqueId val="{00000003-6BF5-4CC5-840D-585ECEB78A05}"/>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Φύλλο1!$A$3:$A$12</c:f>
              <c:strCache>
                <c:ptCount val="10"/>
                <c:pt idx="0">
                  <c:v>Υπ. Οικονομικών (Οκτ. 2021)</c:v>
                </c:pt>
                <c:pt idx="1">
                  <c:v>ΕΔΣ (Σεπτ. 2021)</c:v>
                </c:pt>
                <c:pt idx="2">
                  <c:v>ΚΕΠΕ (Οκτ. 2021)</c:v>
                </c:pt>
                <c:pt idx="3">
                  <c:v>ΙΟΒΕ (Οκτ. 2021)</c:v>
                </c:pt>
                <c:pt idx="4">
                  <c:v>ΤτΕ (Ιούν. 2021)</c:v>
                </c:pt>
                <c:pt idx="5">
                  <c:v>Ευρ. Επιτροπή (Νοεμ. 2021)</c:v>
                </c:pt>
                <c:pt idx="6">
                  <c:v>ΔΝΤ (Οκτ. 2021)</c:v>
                </c:pt>
                <c:pt idx="7">
                  <c:v>S&amp;P Global (Ιούλ. 2021)</c:v>
                </c:pt>
                <c:pt idx="8">
                  <c:v>ΟΟΣΑ (Μάϊος 2021)</c:v>
                </c:pt>
                <c:pt idx="9">
                  <c:v>ΕΤΑκΑ (Νοέμ. 2021)</c:v>
                </c:pt>
              </c:strCache>
            </c:strRef>
          </c:cat>
          <c:val>
            <c:numRef>
              <c:f>Φύλλο1!$B$3:$B$12</c:f>
              <c:numCache>
                <c:formatCode>0.0%</c:formatCode>
                <c:ptCount val="10"/>
                <c:pt idx="0">
                  <c:v>6.0999999999999999E-2</c:v>
                </c:pt>
                <c:pt idx="1">
                  <c:v>7.1999999999999995E-2</c:v>
                </c:pt>
                <c:pt idx="2">
                  <c:v>7.9000000000000001E-2</c:v>
                </c:pt>
                <c:pt idx="3">
                  <c:v>0.08</c:v>
                </c:pt>
                <c:pt idx="4">
                  <c:v>4.2000000000000003E-2</c:v>
                </c:pt>
                <c:pt idx="5">
                  <c:v>7.0999999999999994E-2</c:v>
                </c:pt>
                <c:pt idx="6">
                  <c:v>6.5000000000000002E-2</c:v>
                </c:pt>
                <c:pt idx="7">
                  <c:v>7.1999999999999995E-2</c:v>
                </c:pt>
                <c:pt idx="8">
                  <c:v>3.7999999999999999E-2</c:v>
                </c:pt>
                <c:pt idx="9">
                  <c:v>7.0000000000000007E-2</c:v>
                </c:pt>
              </c:numCache>
            </c:numRef>
          </c:val>
          <c:extLst>
            <c:ext xmlns:c16="http://schemas.microsoft.com/office/drawing/2014/chart" uri="{C3380CC4-5D6E-409C-BE32-E72D297353CC}">
              <c16:uniqueId val="{00000004-6BF5-4CC5-840D-585ECEB78A05}"/>
            </c:ext>
          </c:extLst>
        </c:ser>
        <c:dLbls>
          <c:showLegendKey val="0"/>
          <c:showVal val="0"/>
          <c:showCatName val="0"/>
          <c:showSerName val="0"/>
          <c:showPercent val="0"/>
          <c:showBubbleSize val="0"/>
        </c:dLbls>
        <c:gapWidth val="100"/>
        <c:axId val="1837662015"/>
        <c:axId val="1837650783"/>
      </c:barChart>
      <c:catAx>
        <c:axId val="18376620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el-GR"/>
          </a:p>
        </c:txPr>
        <c:crossAx val="1837650783"/>
        <c:crosses val="autoZero"/>
        <c:auto val="1"/>
        <c:lblAlgn val="ctr"/>
        <c:lblOffset val="0"/>
        <c:noMultiLvlLbl val="0"/>
      </c:catAx>
      <c:valAx>
        <c:axId val="1837650783"/>
        <c:scaling>
          <c:orientation val="minMax"/>
          <c:max val="9.0000000000000024E-2"/>
          <c:min val="3.0000000000000006E-2"/>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l-GR"/>
          </a:p>
        </c:txPr>
        <c:crossAx val="18376620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785874492961096E-2"/>
          <c:y val="3.4285714285714287E-2"/>
          <c:w val="0.90854745884037225"/>
          <c:h val="0.59725111825810506"/>
        </c:manualLayout>
      </c:layout>
      <c:lineChart>
        <c:grouping val="standard"/>
        <c:varyColors val="0"/>
        <c:ser>
          <c:idx val="0"/>
          <c:order val="0"/>
          <c:tx>
            <c:strRef>
              <c:f>'ΚΑΤΑΝΑΛΩΤΙΚΗ ΕΜΠΙΣΤΟΣΥΝΗ'!$B$1</c:f>
              <c:strCache>
                <c:ptCount val="1"/>
                <c:pt idx="0">
                  <c:v>Καταναλωτική Εμπιστοσύνη - Ευρωζώνη</c:v>
                </c:pt>
              </c:strCache>
            </c:strRef>
          </c:tx>
          <c:spPr>
            <a:ln w="9525" cap="rnd">
              <a:solidFill>
                <a:srgbClr val="00B050"/>
              </a:solidFill>
              <a:round/>
            </a:ln>
            <a:effectLst/>
          </c:spPr>
          <c:marker>
            <c:symbol val="square"/>
            <c:size val="2"/>
            <c:spPr>
              <a:solidFill>
                <a:srgbClr val="00B050"/>
              </a:solidFill>
              <a:ln w="9525">
                <a:solidFill>
                  <a:srgbClr val="00B050"/>
                </a:solidFill>
              </a:ln>
              <a:effectLst/>
            </c:spPr>
          </c:marker>
          <c:dLbls>
            <c:dLbl>
              <c:idx val="0"/>
              <c:layout>
                <c:manualLayout>
                  <c:x val="-3.6363636363636355E-2"/>
                  <c:y val="-4.95238095238095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04-4C36-B0C0-B123403958D5}"/>
                </c:ext>
              </c:extLst>
            </c:dLbl>
            <c:dLbl>
              <c:idx val="21"/>
              <c:layout>
                <c:manualLayout>
                  <c:x val="-1.4545454545454545E-2"/>
                  <c:y val="6.0952380952380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04-4C36-B0C0-B123403958D5}"/>
                </c:ext>
              </c:extLst>
            </c:dLbl>
            <c:spPr>
              <a:noFill/>
              <a:ln>
                <a:noFill/>
              </a:ln>
              <a:effectLst/>
            </c:spPr>
            <c:txPr>
              <a:bodyPr wrap="square" lIns="38100" tIns="19050" rIns="38100" bIns="19050" anchor="ctr">
                <a:spAutoFit/>
              </a:bodyPr>
              <a:lstStyle/>
              <a:p>
                <a:pPr>
                  <a:defRPr sz="600">
                    <a:latin typeface="Trebuchet MS" panose="020B0603020202020204" pitchFamily="34" charset="0"/>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'ΚΑΤΑΝΑΛΩΤΙΚΗ ΕΜΠΙΣΤΟΣΥΝΗ'!$A$2:$A$23</c:f>
              <c:strCache>
                <c:ptCount val="22"/>
                <c:pt idx="0">
                  <c:v>2020M01</c:v>
                </c:pt>
                <c:pt idx="1">
                  <c:v>2020M02</c:v>
                </c:pt>
                <c:pt idx="2">
                  <c:v>2020M03</c:v>
                </c:pt>
                <c:pt idx="3">
                  <c:v>2020M04</c:v>
                </c:pt>
                <c:pt idx="4">
                  <c:v>2020M05</c:v>
                </c:pt>
                <c:pt idx="5">
                  <c:v>2020M06</c:v>
                </c:pt>
                <c:pt idx="6">
                  <c:v>2020M07</c:v>
                </c:pt>
                <c:pt idx="7">
                  <c:v>2020M08</c:v>
                </c:pt>
                <c:pt idx="8">
                  <c:v>2020M09</c:v>
                </c:pt>
                <c:pt idx="9">
                  <c:v>2020M10</c:v>
                </c:pt>
                <c:pt idx="10">
                  <c:v>2020M11</c:v>
                </c:pt>
                <c:pt idx="11">
                  <c:v>2020M12</c:v>
                </c:pt>
                <c:pt idx="12">
                  <c:v>2021M01</c:v>
                </c:pt>
                <c:pt idx="13">
                  <c:v>2021M02</c:v>
                </c:pt>
                <c:pt idx="14">
                  <c:v>2021M03</c:v>
                </c:pt>
                <c:pt idx="15">
                  <c:v>2021M04</c:v>
                </c:pt>
                <c:pt idx="16">
                  <c:v>2021M05</c:v>
                </c:pt>
                <c:pt idx="17">
                  <c:v>2021M06</c:v>
                </c:pt>
                <c:pt idx="18">
                  <c:v>2021M07</c:v>
                </c:pt>
                <c:pt idx="19">
                  <c:v>2021M08</c:v>
                </c:pt>
                <c:pt idx="20">
                  <c:v>2021M09</c:v>
                </c:pt>
                <c:pt idx="21">
                  <c:v>2021M10</c:v>
                </c:pt>
              </c:strCache>
            </c:strRef>
          </c:cat>
          <c:val>
            <c:numRef>
              <c:f>'ΚΑΤΑΝΑΛΩΤΙΚΗ ΕΜΠΙΣΤΟΣΥΝΗ'!$B$2:$B$23</c:f>
              <c:numCache>
                <c:formatCode>#,##0.0</c:formatCode>
                <c:ptCount val="22"/>
                <c:pt idx="0">
                  <c:v>-7.8</c:v>
                </c:pt>
                <c:pt idx="1">
                  <c:v>-6.4</c:v>
                </c:pt>
                <c:pt idx="2">
                  <c:v>-11.5</c:v>
                </c:pt>
                <c:pt idx="3">
                  <c:v>-21.9</c:v>
                </c:pt>
                <c:pt idx="4">
                  <c:v>-18.899999999999999</c:v>
                </c:pt>
                <c:pt idx="5">
                  <c:v>-14.6</c:v>
                </c:pt>
                <c:pt idx="6">
                  <c:v>-14.9</c:v>
                </c:pt>
                <c:pt idx="7">
                  <c:v>-14.6</c:v>
                </c:pt>
                <c:pt idx="8">
                  <c:v>-13.6</c:v>
                </c:pt>
                <c:pt idx="9">
                  <c:v>-15.5</c:v>
                </c:pt>
                <c:pt idx="10">
                  <c:v>-17.600000000000001</c:v>
                </c:pt>
                <c:pt idx="11">
                  <c:v>-13.8</c:v>
                </c:pt>
                <c:pt idx="12">
                  <c:v>-15.5</c:v>
                </c:pt>
                <c:pt idx="13">
                  <c:v>-14.8</c:v>
                </c:pt>
                <c:pt idx="14">
                  <c:v>-10.8</c:v>
                </c:pt>
                <c:pt idx="15">
                  <c:v>-8.1</c:v>
                </c:pt>
                <c:pt idx="16">
                  <c:v>-5.0999999999999996</c:v>
                </c:pt>
                <c:pt idx="17">
                  <c:v>-3.3</c:v>
                </c:pt>
                <c:pt idx="18">
                  <c:v>-4.4000000000000004</c:v>
                </c:pt>
                <c:pt idx="19">
                  <c:v>-5.3</c:v>
                </c:pt>
                <c:pt idx="20">
                  <c:v>-4</c:v>
                </c:pt>
                <c:pt idx="21">
                  <c:v>-4.8</c:v>
                </c:pt>
              </c:numCache>
            </c:numRef>
          </c:val>
          <c:smooth val="1"/>
          <c:extLst>
            <c:ext xmlns:c16="http://schemas.microsoft.com/office/drawing/2014/chart" uri="{C3380CC4-5D6E-409C-BE32-E72D297353CC}">
              <c16:uniqueId val="{00000002-2D04-4C36-B0C0-B123403958D5}"/>
            </c:ext>
          </c:extLst>
        </c:ser>
        <c:ser>
          <c:idx val="1"/>
          <c:order val="1"/>
          <c:tx>
            <c:strRef>
              <c:f>'ΚΑΤΑΝΑΛΩΤΙΚΗ ΕΜΠΙΣΤΟΣΥΝΗ'!$C$1</c:f>
              <c:strCache>
                <c:ptCount val="1"/>
                <c:pt idx="0">
                  <c:v>Καταναλωτική Εμπιστοσύνη - Ελλάδα</c:v>
                </c:pt>
              </c:strCache>
            </c:strRef>
          </c:tx>
          <c:spPr>
            <a:ln w="9525" cap="rnd">
              <a:solidFill>
                <a:srgbClr val="00B0F0"/>
              </a:solidFill>
              <a:round/>
            </a:ln>
            <a:effectLst/>
          </c:spPr>
          <c:marker>
            <c:symbol val="diamond"/>
            <c:size val="2"/>
            <c:spPr>
              <a:solidFill>
                <a:srgbClr val="00B0F0"/>
              </a:solidFill>
              <a:ln w="9525">
                <a:solidFill>
                  <a:srgbClr val="00B0F0"/>
                </a:solidFill>
              </a:ln>
              <a:effectLst/>
            </c:spPr>
          </c:marker>
          <c:dLbls>
            <c:dLbl>
              <c:idx val="0"/>
              <c:layout>
                <c:manualLayout>
                  <c:x val="-3.1515151515151517E-2"/>
                  <c:y val="3.4285714285714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04-4C36-B0C0-B123403958D5}"/>
                </c:ext>
              </c:extLst>
            </c:dLbl>
            <c:dLbl>
              <c:idx val="16"/>
              <c:layout>
                <c:manualLayout>
                  <c:x val="-1.8713450292397661E-2"/>
                  <c:y val="-2.50391236306729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04-4C36-B0C0-B123403958D5}"/>
                </c:ext>
              </c:extLst>
            </c:dLbl>
            <c:dLbl>
              <c:idx val="21"/>
              <c:layout>
                <c:manualLayout>
                  <c:x val="-2.4242424242424242E-2"/>
                  <c:y val="3.8095238095238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04-4C36-B0C0-B123403958D5}"/>
                </c:ext>
              </c:extLst>
            </c:dLbl>
            <c:spPr>
              <a:noFill/>
              <a:ln>
                <a:noFill/>
              </a:ln>
              <a:effectLst/>
            </c:spPr>
            <c:txPr>
              <a:bodyPr wrap="square" lIns="38100" tIns="19050" rIns="38100" bIns="19050" anchor="ctr">
                <a:spAutoFit/>
              </a:bodyPr>
              <a:lstStyle/>
              <a:p>
                <a:pPr>
                  <a:defRPr sz="600">
                    <a:latin typeface="Trebuchet MS" panose="020B0603020202020204" pitchFamily="34" charset="0"/>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'ΚΑΤΑΝΑΛΩΤΙΚΗ ΕΜΠΙΣΤΟΣΥΝΗ'!$A$2:$A$23</c:f>
              <c:strCache>
                <c:ptCount val="22"/>
                <c:pt idx="0">
                  <c:v>2020M01</c:v>
                </c:pt>
                <c:pt idx="1">
                  <c:v>2020M02</c:v>
                </c:pt>
                <c:pt idx="2">
                  <c:v>2020M03</c:v>
                </c:pt>
                <c:pt idx="3">
                  <c:v>2020M04</c:v>
                </c:pt>
                <c:pt idx="4">
                  <c:v>2020M05</c:v>
                </c:pt>
                <c:pt idx="5">
                  <c:v>2020M06</c:v>
                </c:pt>
                <c:pt idx="6">
                  <c:v>2020M07</c:v>
                </c:pt>
                <c:pt idx="7">
                  <c:v>2020M08</c:v>
                </c:pt>
                <c:pt idx="8">
                  <c:v>2020M09</c:v>
                </c:pt>
                <c:pt idx="9">
                  <c:v>2020M10</c:v>
                </c:pt>
                <c:pt idx="10">
                  <c:v>2020M11</c:v>
                </c:pt>
                <c:pt idx="11">
                  <c:v>2020M12</c:v>
                </c:pt>
                <c:pt idx="12">
                  <c:v>2021M01</c:v>
                </c:pt>
                <c:pt idx="13">
                  <c:v>2021M02</c:v>
                </c:pt>
                <c:pt idx="14">
                  <c:v>2021M03</c:v>
                </c:pt>
                <c:pt idx="15">
                  <c:v>2021M04</c:v>
                </c:pt>
                <c:pt idx="16">
                  <c:v>2021M05</c:v>
                </c:pt>
                <c:pt idx="17">
                  <c:v>2021M06</c:v>
                </c:pt>
                <c:pt idx="18">
                  <c:v>2021M07</c:v>
                </c:pt>
                <c:pt idx="19">
                  <c:v>2021M08</c:v>
                </c:pt>
                <c:pt idx="20">
                  <c:v>2021M09</c:v>
                </c:pt>
                <c:pt idx="21">
                  <c:v>2021M10</c:v>
                </c:pt>
              </c:strCache>
            </c:strRef>
          </c:cat>
          <c:val>
            <c:numRef>
              <c:f>'ΚΑΤΑΝΑΛΩΤΙΚΗ ΕΜΠΙΣΤΟΣΥΝΗ'!$C$2:$C$23</c:f>
              <c:numCache>
                <c:formatCode>#,##0.0</c:formatCode>
                <c:ptCount val="22"/>
                <c:pt idx="0">
                  <c:v>-10</c:v>
                </c:pt>
                <c:pt idx="1">
                  <c:v>-4.8</c:v>
                </c:pt>
                <c:pt idx="2">
                  <c:v>-16.5</c:v>
                </c:pt>
                <c:pt idx="3">
                  <c:v>-32.6</c:v>
                </c:pt>
                <c:pt idx="4">
                  <c:v>-33</c:v>
                </c:pt>
                <c:pt idx="5">
                  <c:v>-27.7</c:v>
                </c:pt>
                <c:pt idx="6">
                  <c:v>-34.700000000000003</c:v>
                </c:pt>
                <c:pt idx="7">
                  <c:v>-35</c:v>
                </c:pt>
                <c:pt idx="8">
                  <c:v>-41</c:v>
                </c:pt>
                <c:pt idx="9">
                  <c:v>-45.5</c:v>
                </c:pt>
                <c:pt idx="10">
                  <c:v>-48.3</c:v>
                </c:pt>
                <c:pt idx="11">
                  <c:v>-44.7</c:v>
                </c:pt>
                <c:pt idx="12">
                  <c:v>-43.2</c:v>
                </c:pt>
                <c:pt idx="13">
                  <c:v>-46.2</c:v>
                </c:pt>
                <c:pt idx="14">
                  <c:v>-39.5</c:v>
                </c:pt>
                <c:pt idx="15">
                  <c:v>-34.6</c:v>
                </c:pt>
                <c:pt idx="16">
                  <c:v>-22.2</c:v>
                </c:pt>
                <c:pt idx="17">
                  <c:v>-25.6</c:v>
                </c:pt>
                <c:pt idx="18">
                  <c:v>-32.9</c:v>
                </c:pt>
                <c:pt idx="19">
                  <c:v>-35.1</c:v>
                </c:pt>
                <c:pt idx="20">
                  <c:v>-38.299999999999997</c:v>
                </c:pt>
                <c:pt idx="21">
                  <c:v>-44.7</c:v>
                </c:pt>
              </c:numCache>
            </c:numRef>
          </c:val>
          <c:smooth val="1"/>
          <c:extLst>
            <c:ext xmlns:c16="http://schemas.microsoft.com/office/drawing/2014/chart" uri="{C3380CC4-5D6E-409C-BE32-E72D297353CC}">
              <c16:uniqueId val="{00000006-2D04-4C36-B0C0-B123403958D5}"/>
            </c:ext>
          </c:extLst>
        </c:ser>
        <c:dLbls>
          <c:showLegendKey val="0"/>
          <c:showVal val="0"/>
          <c:showCatName val="0"/>
          <c:showSerName val="0"/>
          <c:showPercent val="0"/>
          <c:showBubbleSize val="0"/>
        </c:dLbls>
        <c:marker val="1"/>
        <c:smooth val="0"/>
        <c:axId val="1056403583"/>
        <c:axId val="1"/>
      </c:lineChart>
      <c:catAx>
        <c:axId val="105640358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3600000" spcFirstLastPara="1" vertOverflow="ellipsis" wrap="square" anchor="ctr" anchorCtr="1"/>
          <a:lstStyle/>
          <a:p>
            <a:pPr>
              <a:defRPr sz="500" b="0" i="0" u="none" strike="noStrike" kern="1200" baseline="0">
                <a:solidFill>
                  <a:schemeClr val="tx1">
                    <a:lumMod val="65000"/>
                    <a:lumOff val="35000"/>
                  </a:schemeClr>
                </a:solidFill>
                <a:latin typeface="Trebuchet MS" panose="020B0603020202020204" pitchFamily="34" charset="0"/>
                <a:ea typeface="+mn-ea"/>
                <a:cs typeface="+mn-cs"/>
              </a:defRPr>
            </a:pPr>
            <a:endParaRPr lang="el-GR"/>
          </a:p>
        </c:txPr>
        <c:crossAx val="1"/>
        <c:crosses val="autoZero"/>
        <c:auto val="1"/>
        <c:lblAlgn val="ctr"/>
        <c:lblOffset val="100"/>
        <c:noMultiLvlLbl val="0"/>
      </c:catAx>
      <c:valAx>
        <c:axId val="1"/>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rebuchet MS" panose="020B0603020202020204" pitchFamily="34" charset="0"/>
                <a:ea typeface="+mn-ea"/>
                <a:cs typeface="+mn-cs"/>
              </a:defRPr>
            </a:pPr>
            <a:endParaRPr lang="el-GR"/>
          </a:p>
        </c:txPr>
        <c:crossAx val="1056403583"/>
        <c:crosses val="autoZero"/>
        <c:crossBetween val="between"/>
      </c:valAx>
      <c:spPr>
        <a:solidFill>
          <a:schemeClr val="bg1">
            <a:lumMod val="95000"/>
          </a:schemeClr>
        </a:solidFill>
        <a:ln w="25400">
          <a:noFill/>
        </a:ln>
      </c:spPr>
    </c:plotArea>
    <c:legend>
      <c:legendPos val="b"/>
      <c:layout>
        <c:manualLayout>
          <c:xMode val="edge"/>
          <c:yMode val="edge"/>
          <c:x val="9.3075839204309993E-2"/>
          <c:y val="0.82286643746996424"/>
          <c:w val="0.86063157894736841"/>
          <c:h val="0.1375637131121417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rebuchet MS" panose="020B0603020202020204" pitchFamily="34" charset="0"/>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'ΟΙΚΟΝΟΜΙΚΗ ΣΥΓΚΥΡΙΑ'!$B$1</c:f>
              <c:strCache>
                <c:ptCount val="1"/>
                <c:pt idx="0">
                  <c:v>Οικονομική Συγκυρία - Ευρωζώνη</c:v>
                </c:pt>
              </c:strCache>
            </c:strRef>
          </c:tx>
          <c:spPr>
            <a:ln w="9525" cap="rnd">
              <a:solidFill>
                <a:srgbClr val="00B050"/>
              </a:solidFill>
              <a:round/>
            </a:ln>
            <a:effectLst/>
          </c:spPr>
          <c:marker>
            <c:symbol val="square"/>
            <c:size val="2"/>
            <c:spPr>
              <a:solidFill>
                <a:srgbClr val="00B050"/>
              </a:solidFill>
              <a:ln w="9525">
                <a:solidFill>
                  <a:srgbClr val="00B050"/>
                </a:solidFill>
              </a:ln>
              <a:effectLst/>
            </c:spPr>
          </c:marker>
          <c:dLbls>
            <c:dLbl>
              <c:idx val="0"/>
              <c:layout>
                <c:manualLayout>
                  <c:x val="-3.4934497816593885E-2"/>
                  <c:y val="4.09683426443203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F6-4792-B367-6EAF68F0D80B}"/>
                </c:ext>
              </c:extLst>
            </c:dLbl>
            <c:dLbl>
              <c:idx val="21"/>
              <c:layout>
                <c:manualLayout>
                  <c:x val="0"/>
                  <c:y val="-2.6070763500931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F6-4792-B367-6EAF68F0D80B}"/>
                </c:ext>
              </c:extLst>
            </c:dLbl>
            <c:spPr>
              <a:noFill/>
              <a:ln>
                <a:noFill/>
              </a:ln>
              <a:effectLst/>
            </c:spPr>
            <c:txPr>
              <a:bodyPr wrap="square" lIns="38100" tIns="19050" rIns="38100" bIns="19050" anchor="ctr">
                <a:spAutoFit/>
              </a:bodyPr>
              <a:lstStyle/>
              <a:p>
                <a:pPr>
                  <a:defRPr sz="600">
                    <a:latin typeface="Trebuchet MS" panose="020B0603020202020204" pitchFamily="34" charset="0"/>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'ΟΙΚΟΝΟΜΙΚΗ ΣΥΓΚΥΡΙΑ'!$A$2:$A$23</c:f>
              <c:strCache>
                <c:ptCount val="22"/>
                <c:pt idx="0">
                  <c:v>2020M01</c:v>
                </c:pt>
                <c:pt idx="1">
                  <c:v>2020M02</c:v>
                </c:pt>
                <c:pt idx="2">
                  <c:v>2020M03</c:v>
                </c:pt>
                <c:pt idx="3">
                  <c:v>2020M04</c:v>
                </c:pt>
                <c:pt idx="4">
                  <c:v>2020M05</c:v>
                </c:pt>
                <c:pt idx="5">
                  <c:v>2020M06</c:v>
                </c:pt>
                <c:pt idx="6">
                  <c:v>2020M07</c:v>
                </c:pt>
                <c:pt idx="7">
                  <c:v>2020M08</c:v>
                </c:pt>
                <c:pt idx="8">
                  <c:v>2020M09</c:v>
                </c:pt>
                <c:pt idx="9">
                  <c:v>2020M10</c:v>
                </c:pt>
                <c:pt idx="10">
                  <c:v>2020M11</c:v>
                </c:pt>
                <c:pt idx="11">
                  <c:v>2020M12</c:v>
                </c:pt>
                <c:pt idx="12">
                  <c:v>2021M01</c:v>
                </c:pt>
                <c:pt idx="13">
                  <c:v>2021M02</c:v>
                </c:pt>
                <c:pt idx="14">
                  <c:v>2021M03</c:v>
                </c:pt>
                <c:pt idx="15">
                  <c:v>2021M04</c:v>
                </c:pt>
                <c:pt idx="16">
                  <c:v>2021M05</c:v>
                </c:pt>
                <c:pt idx="17">
                  <c:v>2021M06</c:v>
                </c:pt>
                <c:pt idx="18">
                  <c:v>2021M07</c:v>
                </c:pt>
                <c:pt idx="19">
                  <c:v>2021M08</c:v>
                </c:pt>
                <c:pt idx="20">
                  <c:v>2021M09</c:v>
                </c:pt>
                <c:pt idx="21">
                  <c:v>2021M10</c:v>
                </c:pt>
              </c:strCache>
            </c:strRef>
          </c:cat>
          <c:val>
            <c:numRef>
              <c:f>'ΟΙΚΟΝΟΜΙΚΗ ΣΥΓΚΥΡΙΑ'!$B$2:$B$23</c:f>
              <c:numCache>
                <c:formatCode>#,##0.0</c:formatCode>
                <c:ptCount val="22"/>
                <c:pt idx="0">
                  <c:v>103.2</c:v>
                </c:pt>
                <c:pt idx="1">
                  <c:v>104</c:v>
                </c:pt>
                <c:pt idx="2">
                  <c:v>95.3</c:v>
                </c:pt>
                <c:pt idx="3">
                  <c:v>67.8</c:v>
                </c:pt>
                <c:pt idx="4">
                  <c:v>70.2</c:v>
                </c:pt>
                <c:pt idx="5">
                  <c:v>78.099999999999994</c:v>
                </c:pt>
                <c:pt idx="6">
                  <c:v>84.2</c:v>
                </c:pt>
                <c:pt idx="7">
                  <c:v>89.1</c:v>
                </c:pt>
                <c:pt idx="8">
                  <c:v>92.3</c:v>
                </c:pt>
                <c:pt idx="9">
                  <c:v>92.5</c:v>
                </c:pt>
                <c:pt idx="10">
                  <c:v>89.3</c:v>
                </c:pt>
                <c:pt idx="11">
                  <c:v>92.4</c:v>
                </c:pt>
                <c:pt idx="12">
                  <c:v>91.5</c:v>
                </c:pt>
                <c:pt idx="13">
                  <c:v>93.4</c:v>
                </c:pt>
                <c:pt idx="14">
                  <c:v>100.9</c:v>
                </c:pt>
                <c:pt idx="15">
                  <c:v>110.5</c:v>
                </c:pt>
                <c:pt idx="16">
                  <c:v>114.5</c:v>
                </c:pt>
                <c:pt idx="17">
                  <c:v>117.9</c:v>
                </c:pt>
                <c:pt idx="18">
                  <c:v>119</c:v>
                </c:pt>
                <c:pt idx="19">
                  <c:v>117.6</c:v>
                </c:pt>
                <c:pt idx="20">
                  <c:v>117.8</c:v>
                </c:pt>
                <c:pt idx="21">
                  <c:v>118.6</c:v>
                </c:pt>
              </c:numCache>
            </c:numRef>
          </c:val>
          <c:smooth val="1"/>
          <c:extLst>
            <c:ext xmlns:c16="http://schemas.microsoft.com/office/drawing/2014/chart" uri="{C3380CC4-5D6E-409C-BE32-E72D297353CC}">
              <c16:uniqueId val="{00000002-2AF6-4792-B367-6EAF68F0D80B}"/>
            </c:ext>
          </c:extLst>
        </c:ser>
        <c:ser>
          <c:idx val="1"/>
          <c:order val="1"/>
          <c:tx>
            <c:strRef>
              <c:f>'ΟΙΚΟΝΟΜΙΚΗ ΣΥΓΚΥΡΙΑ'!$C$1</c:f>
              <c:strCache>
                <c:ptCount val="1"/>
                <c:pt idx="0">
                  <c:v>Οικονομική Συγκυρία - Ελλάδα</c:v>
                </c:pt>
              </c:strCache>
            </c:strRef>
          </c:tx>
          <c:spPr>
            <a:ln w="9525" cap="rnd" cmpd="sng">
              <a:solidFill>
                <a:srgbClr val="00B0F0"/>
              </a:solidFill>
              <a:round/>
            </a:ln>
            <a:effectLst/>
          </c:spPr>
          <c:marker>
            <c:symbol val="diamond"/>
            <c:size val="2"/>
            <c:spPr>
              <a:solidFill>
                <a:srgbClr val="00B0F0"/>
              </a:solidFill>
              <a:ln w="9525">
                <a:solidFill>
                  <a:srgbClr val="00B0F0"/>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F6-4792-B367-6EAF68F0D80B}"/>
                </c:ext>
              </c:extLst>
            </c:dLbl>
            <c:dLbl>
              <c:idx val="21"/>
              <c:layout>
                <c:manualLayout>
                  <c:x val="0"/>
                  <c:y val="5.95903165735567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F6-4792-B367-6EAF68F0D80B}"/>
                </c:ext>
              </c:extLst>
            </c:dLbl>
            <c:spPr>
              <a:noFill/>
              <a:ln>
                <a:noFill/>
              </a:ln>
              <a:effectLst/>
            </c:spPr>
            <c:txPr>
              <a:bodyPr wrap="square" lIns="38100" tIns="19050" rIns="38100" bIns="19050" anchor="ctr">
                <a:spAutoFit/>
              </a:bodyPr>
              <a:lstStyle/>
              <a:p>
                <a:pPr>
                  <a:defRPr sz="600">
                    <a:latin typeface="Trebuchet MS" panose="020B0603020202020204" pitchFamily="34" charset="0"/>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'ΟΙΚΟΝΟΜΙΚΗ ΣΥΓΚΥΡΙΑ'!$A$2:$A$23</c:f>
              <c:strCache>
                <c:ptCount val="22"/>
                <c:pt idx="0">
                  <c:v>2020M01</c:v>
                </c:pt>
                <c:pt idx="1">
                  <c:v>2020M02</c:v>
                </c:pt>
                <c:pt idx="2">
                  <c:v>2020M03</c:v>
                </c:pt>
                <c:pt idx="3">
                  <c:v>2020M04</c:v>
                </c:pt>
                <c:pt idx="4">
                  <c:v>2020M05</c:v>
                </c:pt>
                <c:pt idx="5">
                  <c:v>2020M06</c:v>
                </c:pt>
                <c:pt idx="6">
                  <c:v>2020M07</c:v>
                </c:pt>
                <c:pt idx="7">
                  <c:v>2020M08</c:v>
                </c:pt>
                <c:pt idx="8">
                  <c:v>2020M09</c:v>
                </c:pt>
                <c:pt idx="9">
                  <c:v>2020M10</c:v>
                </c:pt>
                <c:pt idx="10">
                  <c:v>2020M11</c:v>
                </c:pt>
                <c:pt idx="11">
                  <c:v>2020M12</c:v>
                </c:pt>
                <c:pt idx="12">
                  <c:v>2021M01</c:v>
                </c:pt>
                <c:pt idx="13">
                  <c:v>2021M02</c:v>
                </c:pt>
                <c:pt idx="14">
                  <c:v>2021M03</c:v>
                </c:pt>
                <c:pt idx="15">
                  <c:v>2021M04</c:v>
                </c:pt>
                <c:pt idx="16">
                  <c:v>2021M05</c:v>
                </c:pt>
                <c:pt idx="17">
                  <c:v>2021M06</c:v>
                </c:pt>
                <c:pt idx="18">
                  <c:v>2021M07</c:v>
                </c:pt>
                <c:pt idx="19">
                  <c:v>2021M08</c:v>
                </c:pt>
                <c:pt idx="20">
                  <c:v>2021M09</c:v>
                </c:pt>
                <c:pt idx="21">
                  <c:v>2021M10</c:v>
                </c:pt>
              </c:strCache>
            </c:strRef>
          </c:cat>
          <c:val>
            <c:numRef>
              <c:f>'ΟΙΚΟΝΟΜΙΚΗ ΣΥΓΚΥΡΙΑ'!$C$2:$C$23</c:f>
              <c:numCache>
                <c:formatCode>#,##0.0</c:formatCode>
                <c:ptCount val="22"/>
                <c:pt idx="0">
                  <c:v>109.7</c:v>
                </c:pt>
                <c:pt idx="1">
                  <c:v>113.4</c:v>
                </c:pt>
                <c:pt idx="2">
                  <c:v>109.5</c:v>
                </c:pt>
                <c:pt idx="3">
                  <c:v>99.5</c:v>
                </c:pt>
                <c:pt idx="4">
                  <c:v>88.8</c:v>
                </c:pt>
                <c:pt idx="5">
                  <c:v>87.9</c:v>
                </c:pt>
                <c:pt idx="6">
                  <c:v>91.1</c:v>
                </c:pt>
                <c:pt idx="7">
                  <c:v>91</c:v>
                </c:pt>
                <c:pt idx="8">
                  <c:v>89.8</c:v>
                </c:pt>
                <c:pt idx="9">
                  <c:v>92.5</c:v>
                </c:pt>
                <c:pt idx="10">
                  <c:v>91.2</c:v>
                </c:pt>
                <c:pt idx="11">
                  <c:v>91.8</c:v>
                </c:pt>
                <c:pt idx="12">
                  <c:v>90.7</c:v>
                </c:pt>
                <c:pt idx="13">
                  <c:v>91.9</c:v>
                </c:pt>
                <c:pt idx="14">
                  <c:v>96.9</c:v>
                </c:pt>
                <c:pt idx="15">
                  <c:v>97.9</c:v>
                </c:pt>
                <c:pt idx="16">
                  <c:v>108.6</c:v>
                </c:pt>
                <c:pt idx="17">
                  <c:v>108.7</c:v>
                </c:pt>
                <c:pt idx="18">
                  <c:v>111.2</c:v>
                </c:pt>
                <c:pt idx="19">
                  <c:v>113</c:v>
                </c:pt>
                <c:pt idx="20">
                  <c:v>109.7</c:v>
                </c:pt>
                <c:pt idx="21">
                  <c:v>112.4</c:v>
                </c:pt>
              </c:numCache>
            </c:numRef>
          </c:val>
          <c:smooth val="1"/>
          <c:extLst>
            <c:ext xmlns:c16="http://schemas.microsoft.com/office/drawing/2014/chart" uri="{C3380CC4-5D6E-409C-BE32-E72D297353CC}">
              <c16:uniqueId val="{00000005-2AF6-4792-B367-6EAF68F0D80B}"/>
            </c:ext>
          </c:extLst>
        </c:ser>
        <c:dLbls>
          <c:showLegendKey val="0"/>
          <c:showVal val="0"/>
          <c:showCatName val="0"/>
          <c:showSerName val="0"/>
          <c:showPercent val="0"/>
          <c:showBubbleSize val="0"/>
        </c:dLbls>
        <c:marker val="1"/>
        <c:smooth val="0"/>
        <c:axId val="1058583087"/>
        <c:axId val="1"/>
      </c:lineChart>
      <c:catAx>
        <c:axId val="1058583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600000" spcFirstLastPara="1" vertOverflow="ellipsis" vert="horz" wrap="square" anchor="ctr" anchorCtr="1"/>
          <a:lstStyle/>
          <a:p>
            <a:pPr>
              <a:defRPr sz="500" b="0" i="0" u="none" strike="noStrike" kern="1200" baseline="0">
                <a:solidFill>
                  <a:schemeClr val="tx1">
                    <a:lumMod val="65000"/>
                    <a:lumOff val="35000"/>
                  </a:schemeClr>
                </a:solidFill>
                <a:latin typeface="Trebuchet MS" panose="020B0603020202020204" pitchFamily="34" charset="0"/>
                <a:ea typeface="+mn-ea"/>
                <a:cs typeface="+mn-cs"/>
              </a:defRPr>
            </a:pPr>
            <a:endParaRPr lang="el-GR"/>
          </a:p>
        </c:txPr>
        <c:crossAx val="1"/>
        <c:crosses val="autoZero"/>
        <c:auto val="1"/>
        <c:lblAlgn val="ctr"/>
        <c:lblOffset val="100"/>
        <c:noMultiLvlLbl val="0"/>
      </c:catAx>
      <c:valAx>
        <c:axId val="1"/>
        <c:scaling>
          <c:orientation val="minMax"/>
          <c:max val="120"/>
          <c:min val="6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rebuchet MS" panose="020B0603020202020204" pitchFamily="34" charset="0"/>
                <a:ea typeface="+mn-ea"/>
                <a:cs typeface="+mn-cs"/>
              </a:defRPr>
            </a:pPr>
            <a:endParaRPr lang="el-GR"/>
          </a:p>
        </c:txPr>
        <c:crossAx val="1058583087"/>
        <c:crosses val="autoZero"/>
        <c:crossBetween val="between"/>
      </c:valAx>
      <c:spPr>
        <a:solidFill>
          <a:schemeClr val="bg1">
            <a:lumMod val="95000"/>
          </a:schemeClr>
        </a:solidFill>
        <a:ln w="25400">
          <a:noFill/>
        </a:ln>
      </c:spPr>
    </c:plotArea>
    <c:legend>
      <c:legendPos val="b"/>
      <c:layout>
        <c:manualLayout>
          <c:xMode val="edge"/>
          <c:yMode val="edge"/>
          <c:x val="0.14067932335185168"/>
          <c:y val="0.80816315339499945"/>
          <c:w val="0.73676104190260461"/>
          <c:h val="0.1538501419516292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rebuchet MS" panose="020B0603020202020204" pitchFamily="34" charset="0"/>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533284922577548E-2"/>
          <c:y val="7.0403466016788513E-2"/>
          <c:w val="0.90916404231074777"/>
          <c:h val="0.63366616134802811"/>
        </c:manualLayout>
      </c:layout>
      <c:barChart>
        <c:barDir val="col"/>
        <c:grouping val="clustered"/>
        <c:varyColors val="0"/>
        <c:ser>
          <c:idx val="0"/>
          <c:order val="0"/>
          <c:tx>
            <c:strRef>
              <c:f>'Λοιπά (2)'!$C$1</c:f>
              <c:strCache>
                <c:ptCount val="1"/>
                <c:pt idx="0">
                  <c:v>Δείκτης Κατασκευών</c:v>
                </c:pt>
              </c:strCache>
            </c:strRef>
          </c:tx>
          <c:spPr>
            <a:solidFill>
              <a:schemeClr val="accent3">
                <a:lumMod val="40000"/>
                <a:lumOff val="60000"/>
              </a:schemeClr>
            </a:solidFill>
            <a:ln>
              <a:solidFill>
                <a:schemeClr val="tx2">
                  <a:lumMod val="20000"/>
                  <a:lumOff val="80000"/>
                </a:schemeClr>
              </a:solidFill>
            </a:ln>
            <a:effectLst/>
          </c:spPr>
          <c:invertIfNegative val="0"/>
          <c:dLbls>
            <c:dLbl>
              <c:idx val="12"/>
              <c:layout>
                <c:manualLayout>
                  <c:x val="-1.7657713987525922E-16"/>
                  <c:y val="1.6246953696181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73-48F6-91AB-B16B1453F3D8}"/>
                </c:ext>
              </c:extLst>
            </c:dLbl>
            <c:spPr>
              <a:noFill/>
              <a:ln>
                <a:noFill/>
              </a:ln>
              <a:effectLst/>
            </c:spPr>
            <c:txPr>
              <a:bodyPr wrap="square" lIns="38100" tIns="19050" rIns="38100" bIns="19050" anchor="ctr">
                <a:spAutoFit/>
              </a:bodyPr>
              <a:lstStyle/>
              <a:p>
                <a:pPr>
                  <a:defRPr sz="800">
                    <a:solidFill>
                      <a:schemeClr val="bg1">
                        <a:lumMod val="50000"/>
                      </a:schemeClr>
                    </a:solidFill>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'Λοιπά (2)'!$A$2:$A$14</c:f>
              <c:strCache>
                <c:ptCount val="13"/>
                <c:pt idx="0">
                  <c:v>2020M10</c:v>
                </c:pt>
                <c:pt idx="1">
                  <c:v>2020M11</c:v>
                </c:pt>
                <c:pt idx="2">
                  <c:v>2020M12</c:v>
                </c:pt>
                <c:pt idx="3">
                  <c:v>2021M01</c:v>
                </c:pt>
                <c:pt idx="4">
                  <c:v>2021M02</c:v>
                </c:pt>
                <c:pt idx="5">
                  <c:v>2021M03</c:v>
                </c:pt>
                <c:pt idx="6">
                  <c:v>2021M04</c:v>
                </c:pt>
                <c:pt idx="7">
                  <c:v>2021M05</c:v>
                </c:pt>
                <c:pt idx="8">
                  <c:v>2021M06</c:v>
                </c:pt>
                <c:pt idx="9">
                  <c:v>2021M07</c:v>
                </c:pt>
                <c:pt idx="10">
                  <c:v>2021M08</c:v>
                </c:pt>
                <c:pt idx="11">
                  <c:v>2021M09</c:v>
                </c:pt>
                <c:pt idx="12">
                  <c:v>2021M10</c:v>
                </c:pt>
              </c:strCache>
            </c:strRef>
          </c:cat>
          <c:val>
            <c:numRef>
              <c:f>'Λοιπά (2)'!$C$2:$C$14</c:f>
              <c:numCache>
                <c:formatCode>#,##0.0</c:formatCode>
                <c:ptCount val="13"/>
                <c:pt idx="0">
                  <c:v>-46.6</c:v>
                </c:pt>
                <c:pt idx="1">
                  <c:v>-31</c:v>
                </c:pt>
                <c:pt idx="2">
                  <c:v>-44</c:v>
                </c:pt>
                <c:pt idx="3">
                  <c:v>-25.5</c:v>
                </c:pt>
                <c:pt idx="4">
                  <c:v>-16.8</c:v>
                </c:pt>
                <c:pt idx="5">
                  <c:v>-12.2</c:v>
                </c:pt>
                <c:pt idx="6">
                  <c:v>5.0999999999999996</c:v>
                </c:pt>
                <c:pt idx="7">
                  <c:v>-2.1</c:v>
                </c:pt>
                <c:pt idx="8">
                  <c:v>-6.3</c:v>
                </c:pt>
                <c:pt idx="9">
                  <c:v>0.4</c:v>
                </c:pt>
                <c:pt idx="10">
                  <c:v>-1.2</c:v>
                </c:pt>
                <c:pt idx="11">
                  <c:v>12.3</c:v>
                </c:pt>
                <c:pt idx="12">
                  <c:v>6.8</c:v>
                </c:pt>
              </c:numCache>
            </c:numRef>
          </c:val>
          <c:extLst>
            <c:ext xmlns:c16="http://schemas.microsoft.com/office/drawing/2014/chart" uri="{C3380CC4-5D6E-409C-BE32-E72D297353CC}">
              <c16:uniqueId val="{00000001-DE73-48F6-91AB-B16B1453F3D8}"/>
            </c:ext>
          </c:extLst>
        </c:ser>
        <c:ser>
          <c:idx val="1"/>
          <c:order val="1"/>
          <c:tx>
            <c:strRef>
              <c:f>'Λοιπά (2)'!$E$1</c:f>
              <c:strCache>
                <c:ptCount val="1"/>
                <c:pt idx="0">
                  <c:v>Δείκτης Βιομηχανίας</c:v>
                </c:pt>
              </c:strCache>
            </c:strRef>
          </c:tx>
          <c:spPr>
            <a:solidFill>
              <a:schemeClr val="tx1">
                <a:lumMod val="75000"/>
                <a:lumOff val="25000"/>
              </a:schemeClr>
            </a:solidFill>
            <a:ln>
              <a:noFill/>
            </a:ln>
            <a:effectLst/>
          </c:spPr>
          <c:invertIfNegative val="0"/>
          <c:dLbls>
            <c:dLbl>
              <c:idx val="12"/>
              <c:layout>
                <c:manualLayout>
                  <c:x val="0"/>
                  <c:y val="-1.083130246412131E-2"/>
                </c:manualLayout>
              </c:layout>
              <c:spPr>
                <a:noFill/>
                <a:ln>
                  <a:noFill/>
                </a:ln>
                <a:effectLst/>
              </c:spPr>
              <c:txPr>
                <a:bodyPr wrap="square" lIns="38100" tIns="19050" rIns="38100" bIns="19050" anchor="ctr">
                  <a:spAutoFit/>
                </a:bodyPr>
                <a:lstStyle/>
                <a:p>
                  <a:pPr>
                    <a:defRPr sz="800"/>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73-48F6-91AB-B16B1453F3D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'Λοιπά (2)'!$A$2:$A$14</c:f>
              <c:strCache>
                <c:ptCount val="13"/>
                <c:pt idx="0">
                  <c:v>2020M10</c:v>
                </c:pt>
                <c:pt idx="1">
                  <c:v>2020M11</c:v>
                </c:pt>
                <c:pt idx="2">
                  <c:v>2020M12</c:v>
                </c:pt>
                <c:pt idx="3">
                  <c:v>2021M01</c:v>
                </c:pt>
                <c:pt idx="4">
                  <c:v>2021M02</c:v>
                </c:pt>
                <c:pt idx="5">
                  <c:v>2021M03</c:v>
                </c:pt>
                <c:pt idx="6">
                  <c:v>2021M04</c:v>
                </c:pt>
                <c:pt idx="7">
                  <c:v>2021M05</c:v>
                </c:pt>
                <c:pt idx="8">
                  <c:v>2021M06</c:v>
                </c:pt>
                <c:pt idx="9">
                  <c:v>2021M07</c:v>
                </c:pt>
                <c:pt idx="10">
                  <c:v>2021M08</c:v>
                </c:pt>
                <c:pt idx="11">
                  <c:v>2021M09</c:v>
                </c:pt>
                <c:pt idx="12">
                  <c:v>2021M10</c:v>
                </c:pt>
              </c:strCache>
            </c:strRef>
          </c:cat>
          <c:val>
            <c:numRef>
              <c:f>'Λοιπά (2)'!$E$2:$E$14</c:f>
              <c:numCache>
                <c:formatCode>#,##0.0</c:formatCode>
                <c:ptCount val="13"/>
                <c:pt idx="0">
                  <c:v>-9</c:v>
                </c:pt>
                <c:pt idx="1">
                  <c:v>-12.4</c:v>
                </c:pt>
                <c:pt idx="2">
                  <c:v>-10.3</c:v>
                </c:pt>
                <c:pt idx="3">
                  <c:v>-10</c:v>
                </c:pt>
                <c:pt idx="4">
                  <c:v>-10.6</c:v>
                </c:pt>
                <c:pt idx="5">
                  <c:v>-7.5</c:v>
                </c:pt>
                <c:pt idx="6">
                  <c:v>-5.8</c:v>
                </c:pt>
                <c:pt idx="7">
                  <c:v>7.1</c:v>
                </c:pt>
                <c:pt idx="8">
                  <c:v>3</c:v>
                </c:pt>
                <c:pt idx="9">
                  <c:v>7.4</c:v>
                </c:pt>
                <c:pt idx="10">
                  <c:v>10.5</c:v>
                </c:pt>
                <c:pt idx="11">
                  <c:v>3.3</c:v>
                </c:pt>
                <c:pt idx="12">
                  <c:v>8.6</c:v>
                </c:pt>
              </c:numCache>
            </c:numRef>
          </c:val>
          <c:extLst>
            <c:ext xmlns:c16="http://schemas.microsoft.com/office/drawing/2014/chart" uri="{C3380CC4-5D6E-409C-BE32-E72D297353CC}">
              <c16:uniqueId val="{00000003-DE73-48F6-91AB-B16B1453F3D8}"/>
            </c:ext>
          </c:extLst>
        </c:ser>
        <c:ser>
          <c:idx val="2"/>
          <c:order val="2"/>
          <c:tx>
            <c:strRef>
              <c:f>'Λοιπά (2)'!$G$1</c:f>
              <c:strCache>
                <c:ptCount val="1"/>
                <c:pt idx="0">
                  <c:v>Δείκτης Λιανικού Εμπορίου</c:v>
                </c:pt>
              </c:strCache>
            </c:strRef>
          </c:tx>
          <c:spPr>
            <a:solidFill>
              <a:srgbClr val="00B050"/>
            </a:solidFill>
            <a:ln>
              <a:solidFill>
                <a:srgbClr val="00B050"/>
              </a:solidFill>
            </a:ln>
            <a:effectLst/>
          </c:spPr>
          <c:invertIfNegative val="0"/>
          <c:dLbls>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73-48F6-91AB-B16B1453F3D8}"/>
                </c:ext>
              </c:extLst>
            </c:dLbl>
            <c:spPr>
              <a:noFill/>
              <a:ln>
                <a:noFill/>
              </a:ln>
              <a:effectLst/>
            </c:spPr>
            <c:txPr>
              <a:bodyPr wrap="square" lIns="38100" tIns="19050" rIns="38100" bIns="19050" anchor="ctr">
                <a:spAutoFit/>
              </a:bodyPr>
              <a:lstStyle/>
              <a:p>
                <a:pPr>
                  <a:defRPr sz="800">
                    <a:solidFill>
                      <a:schemeClr val="accent6">
                        <a:lumMod val="50000"/>
                      </a:schemeClr>
                    </a:solidFill>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'Λοιπά (2)'!$A$2:$A$14</c:f>
              <c:strCache>
                <c:ptCount val="13"/>
                <c:pt idx="0">
                  <c:v>2020M10</c:v>
                </c:pt>
                <c:pt idx="1">
                  <c:v>2020M11</c:v>
                </c:pt>
                <c:pt idx="2">
                  <c:v>2020M12</c:v>
                </c:pt>
                <c:pt idx="3">
                  <c:v>2021M01</c:v>
                </c:pt>
                <c:pt idx="4">
                  <c:v>2021M02</c:v>
                </c:pt>
                <c:pt idx="5">
                  <c:v>2021M03</c:v>
                </c:pt>
                <c:pt idx="6">
                  <c:v>2021M04</c:v>
                </c:pt>
                <c:pt idx="7">
                  <c:v>2021M05</c:v>
                </c:pt>
                <c:pt idx="8">
                  <c:v>2021M06</c:v>
                </c:pt>
                <c:pt idx="9">
                  <c:v>2021M07</c:v>
                </c:pt>
                <c:pt idx="10">
                  <c:v>2021M08</c:v>
                </c:pt>
                <c:pt idx="11">
                  <c:v>2021M09</c:v>
                </c:pt>
                <c:pt idx="12">
                  <c:v>2021M10</c:v>
                </c:pt>
              </c:strCache>
            </c:strRef>
          </c:cat>
          <c:val>
            <c:numRef>
              <c:f>'Λοιπά (2)'!$G$2:$G$14</c:f>
              <c:numCache>
                <c:formatCode>#,##0.0</c:formatCode>
                <c:ptCount val="13"/>
                <c:pt idx="0">
                  <c:v>-15.3</c:v>
                </c:pt>
                <c:pt idx="1">
                  <c:v>-14.3</c:v>
                </c:pt>
                <c:pt idx="2">
                  <c:v>-22.1</c:v>
                </c:pt>
                <c:pt idx="3">
                  <c:v>-18.899999999999999</c:v>
                </c:pt>
                <c:pt idx="4">
                  <c:v>-10.1</c:v>
                </c:pt>
                <c:pt idx="5">
                  <c:v>-1.3</c:v>
                </c:pt>
                <c:pt idx="6">
                  <c:v>3.2</c:v>
                </c:pt>
                <c:pt idx="7">
                  <c:v>5</c:v>
                </c:pt>
                <c:pt idx="8">
                  <c:v>2.8</c:v>
                </c:pt>
                <c:pt idx="9">
                  <c:v>10.8</c:v>
                </c:pt>
                <c:pt idx="10">
                  <c:v>9.3000000000000007</c:v>
                </c:pt>
                <c:pt idx="11">
                  <c:v>2.1</c:v>
                </c:pt>
                <c:pt idx="12">
                  <c:v>17.3</c:v>
                </c:pt>
              </c:numCache>
            </c:numRef>
          </c:val>
          <c:extLst>
            <c:ext xmlns:c16="http://schemas.microsoft.com/office/drawing/2014/chart" uri="{C3380CC4-5D6E-409C-BE32-E72D297353CC}">
              <c16:uniqueId val="{00000005-DE73-48F6-91AB-B16B1453F3D8}"/>
            </c:ext>
          </c:extLst>
        </c:ser>
        <c:ser>
          <c:idx val="3"/>
          <c:order val="3"/>
          <c:tx>
            <c:strRef>
              <c:f>'Λοιπά (2)'!$I$1</c:f>
              <c:strCache>
                <c:ptCount val="1"/>
                <c:pt idx="0">
                  <c:v>Δείκτης Υπηρεσιών</c:v>
                </c:pt>
              </c:strCache>
            </c:strRef>
          </c:tx>
          <c:spPr>
            <a:solidFill>
              <a:srgbClr val="00B0F0"/>
            </a:solidFill>
            <a:ln>
              <a:solidFill>
                <a:srgbClr val="00B0F0"/>
              </a:solidFill>
            </a:ln>
            <a:effectLst/>
          </c:spPr>
          <c:invertIfNegative val="0"/>
          <c:dLbls>
            <c:dLbl>
              <c:idx val="12"/>
              <c:layout>
                <c:manualLayout>
                  <c:x val="0"/>
                  <c:y val="1.6246953696181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73-48F6-91AB-B16B1453F3D8}"/>
                </c:ext>
              </c:extLst>
            </c:dLbl>
            <c:spPr>
              <a:noFill/>
              <a:ln>
                <a:noFill/>
              </a:ln>
              <a:effectLst/>
            </c:spPr>
            <c:txPr>
              <a:bodyPr wrap="square" lIns="38100" tIns="19050" rIns="38100" bIns="19050" anchor="ctr">
                <a:spAutoFit/>
              </a:bodyPr>
              <a:lstStyle/>
              <a:p>
                <a:pPr>
                  <a:defRPr sz="800">
                    <a:solidFill>
                      <a:srgbClr val="0070C0"/>
                    </a:solidFill>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'Λοιπά (2)'!$A$2:$A$14</c:f>
              <c:strCache>
                <c:ptCount val="13"/>
                <c:pt idx="0">
                  <c:v>2020M10</c:v>
                </c:pt>
                <c:pt idx="1">
                  <c:v>2020M11</c:v>
                </c:pt>
                <c:pt idx="2">
                  <c:v>2020M12</c:v>
                </c:pt>
                <c:pt idx="3">
                  <c:v>2021M01</c:v>
                </c:pt>
                <c:pt idx="4">
                  <c:v>2021M02</c:v>
                </c:pt>
                <c:pt idx="5">
                  <c:v>2021M03</c:v>
                </c:pt>
                <c:pt idx="6">
                  <c:v>2021M04</c:v>
                </c:pt>
                <c:pt idx="7">
                  <c:v>2021M05</c:v>
                </c:pt>
                <c:pt idx="8">
                  <c:v>2021M06</c:v>
                </c:pt>
                <c:pt idx="9">
                  <c:v>2021M07</c:v>
                </c:pt>
                <c:pt idx="10">
                  <c:v>2021M08</c:v>
                </c:pt>
                <c:pt idx="11">
                  <c:v>2021M09</c:v>
                </c:pt>
                <c:pt idx="12">
                  <c:v>2021M10</c:v>
                </c:pt>
              </c:strCache>
            </c:strRef>
          </c:cat>
          <c:val>
            <c:numRef>
              <c:f>'Λοιπά (2)'!$I$2:$I$14</c:f>
              <c:numCache>
                <c:formatCode>#,##0.0</c:formatCode>
                <c:ptCount val="13"/>
                <c:pt idx="0">
                  <c:v>-25.6</c:v>
                </c:pt>
                <c:pt idx="1">
                  <c:v>-28.8</c:v>
                </c:pt>
                <c:pt idx="2">
                  <c:v>-30.4</c:v>
                </c:pt>
                <c:pt idx="3">
                  <c:v>-28.3</c:v>
                </c:pt>
                <c:pt idx="4">
                  <c:v>-22.6</c:v>
                </c:pt>
                <c:pt idx="5">
                  <c:v>-18.2</c:v>
                </c:pt>
                <c:pt idx="6">
                  <c:v>-17.600000000000001</c:v>
                </c:pt>
                <c:pt idx="7">
                  <c:v>13.1</c:v>
                </c:pt>
                <c:pt idx="8">
                  <c:v>27.5</c:v>
                </c:pt>
                <c:pt idx="9">
                  <c:v>25.4</c:v>
                </c:pt>
                <c:pt idx="10">
                  <c:v>26</c:v>
                </c:pt>
                <c:pt idx="11">
                  <c:v>34.5</c:v>
                </c:pt>
                <c:pt idx="12">
                  <c:v>40.5</c:v>
                </c:pt>
              </c:numCache>
            </c:numRef>
          </c:val>
          <c:extLst>
            <c:ext xmlns:c16="http://schemas.microsoft.com/office/drawing/2014/chart" uri="{C3380CC4-5D6E-409C-BE32-E72D297353CC}">
              <c16:uniqueId val="{00000007-DE73-48F6-91AB-B16B1453F3D8}"/>
            </c:ext>
          </c:extLst>
        </c:ser>
        <c:dLbls>
          <c:showLegendKey val="0"/>
          <c:showVal val="0"/>
          <c:showCatName val="0"/>
          <c:showSerName val="0"/>
          <c:showPercent val="0"/>
          <c:showBubbleSize val="0"/>
        </c:dLbls>
        <c:gapWidth val="219"/>
        <c:overlap val="-27"/>
        <c:axId val="1985991808"/>
        <c:axId val="1"/>
      </c:barChart>
      <c:catAx>
        <c:axId val="19859918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l-GR"/>
          </a:p>
        </c:txPr>
        <c:crossAx val="1"/>
        <c:crosses val="autoZero"/>
        <c:auto val="1"/>
        <c:lblAlgn val="ctr"/>
        <c:lblOffset val="100"/>
        <c:noMultiLvlLbl val="0"/>
      </c:catAx>
      <c:valAx>
        <c:axId val="1"/>
        <c:scaling>
          <c:orientation val="minMax"/>
          <c:max val="41"/>
          <c:min val="-8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985991808"/>
        <c:crosses val="autoZero"/>
        <c:crossBetween val="between"/>
      </c:valAx>
      <c:spPr>
        <a:noFill/>
        <a:ln w="25400">
          <a:noFill/>
        </a:ln>
      </c:spPr>
    </c:plotArea>
    <c:legend>
      <c:legendPos val="b"/>
      <c:layout>
        <c:manualLayout>
          <c:xMode val="edge"/>
          <c:yMode val="edge"/>
          <c:x val="4.9999905200869874E-2"/>
          <c:y val="0.89236329211894816"/>
          <c:w val="0.9"/>
          <c:h val="9.13897541848698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Φύλλο1!$B$2</c:f>
              <c:strCache>
                <c:ptCount val="1"/>
                <c:pt idx="0">
                  <c:v>Ελλάδα</c:v>
                </c:pt>
              </c:strCache>
            </c:strRef>
          </c:tx>
          <c:spPr>
            <a:ln w="28575" cap="rnd">
              <a:solidFill>
                <a:srgbClr val="00B0F0"/>
              </a:solidFill>
              <a:round/>
            </a:ln>
            <a:effectLst/>
          </c:spPr>
          <c:marker>
            <c:symbol val="x"/>
            <c:size val="5"/>
            <c:spPr>
              <a:solidFill>
                <a:srgbClr val="00B0F0"/>
              </a:solidFill>
              <a:ln w="9525">
                <a:solidFill>
                  <a:srgbClr val="00B0F0"/>
                </a:solidFill>
              </a:ln>
              <a:effectLst/>
            </c:spPr>
          </c:marker>
          <c:dLbls>
            <c:dLbl>
              <c:idx val="0"/>
              <c:layout>
                <c:manualLayout>
                  <c:x val="-2.4078979051288238E-2"/>
                  <c:y val="5.0150451354062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61-41DF-99FA-18D2A8FD9FAB}"/>
                </c:ext>
              </c:extLst>
            </c:dLbl>
            <c:dLbl>
              <c:idx val="9"/>
              <c:layout>
                <c:manualLayout>
                  <c:x val="-1.9263183241030581E-2"/>
                  <c:y val="-8.0240722166499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61-41DF-99FA-18D2A8FD9FAB}"/>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Trebuchet MS" panose="020B0603020202020204" pitchFamily="34"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Φύλλο1!$A$3:$A$12</c:f>
              <c:strCache>
                <c:ptCount val="10"/>
                <c:pt idx="0">
                  <c:v>2021Μ01</c:v>
                </c:pt>
                <c:pt idx="1">
                  <c:v>2021Μ02</c:v>
                </c:pt>
                <c:pt idx="2">
                  <c:v>2021Μ03</c:v>
                </c:pt>
                <c:pt idx="3">
                  <c:v>2021Μ04</c:v>
                </c:pt>
                <c:pt idx="4">
                  <c:v>2021Μ05</c:v>
                </c:pt>
                <c:pt idx="5">
                  <c:v>2021Μ06</c:v>
                </c:pt>
                <c:pt idx="6">
                  <c:v>2021Μ07</c:v>
                </c:pt>
                <c:pt idx="7">
                  <c:v>2021Μ08</c:v>
                </c:pt>
                <c:pt idx="8">
                  <c:v>2021Μ09</c:v>
                </c:pt>
                <c:pt idx="9">
                  <c:v>2021Μ10</c:v>
                </c:pt>
              </c:strCache>
            </c:strRef>
          </c:cat>
          <c:val>
            <c:numRef>
              <c:f>Φύλλο1!$B$3:$B$12</c:f>
              <c:numCache>
                <c:formatCode>#,##0.0</c:formatCode>
                <c:ptCount val="10"/>
                <c:pt idx="0">
                  <c:v>50</c:v>
                </c:pt>
                <c:pt idx="1">
                  <c:v>49.4</c:v>
                </c:pt>
                <c:pt idx="2" formatCode="General">
                  <c:v>51.8</c:v>
                </c:pt>
                <c:pt idx="3">
                  <c:v>54.4</c:v>
                </c:pt>
                <c:pt idx="4">
                  <c:v>58</c:v>
                </c:pt>
                <c:pt idx="5">
                  <c:v>58.6</c:v>
                </c:pt>
                <c:pt idx="6">
                  <c:v>57.4</c:v>
                </c:pt>
                <c:pt idx="7">
                  <c:v>59.3</c:v>
                </c:pt>
                <c:pt idx="8">
                  <c:v>58.4</c:v>
                </c:pt>
                <c:pt idx="9">
                  <c:v>58.9</c:v>
                </c:pt>
              </c:numCache>
            </c:numRef>
          </c:val>
          <c:smooth val="1"/>
          <c:extLst>
            <c:ext xmlns:c16="http://schemas.microsoft.com/office/drawing/2014/chart" uri="{C3380CC4-5D6E-409C-BE32-E72D297353CC}">
              <c16:uniqueId val="{00000002-B861-41DF-99FA-18D2A8FD9FAB}"/>
            </c:ext>
          </c:extLst>
        </c:ser>
        <c:ser>
          <c:idx val="1"/>
          <c:order val="1"/>
          <c:tx>
            <c:strRef>
              <c:f>Φύλλο1!$C$2</c:f>
              <c:strCache>
                <c:ptCount val="1"/>
                <c:pt idx="0">
                  <c:v>Ευρωζώνη</c:v>
                </c:pt>
              </c:strCache>
            </c:strRef>
          </c:tx>
          <c:spPr>
            <a:ln w="28575" cap="rnd">
              <a:solidFill>
                <a:srgbClr val="00B050"/>
              </a:solidFill>
              <a:round/>
            </a:ln>
            <a:effectLst/>
          </c:spPr>
          <c:marker>
            <c:symbol val="x"/>
            <c:size val="5"/>
            <c:spPr>
              <a:solidFill>
                <a:srgbClr val="00B050"/>
              </a:solidFill>
              <a:ln w="9525">
                <a:solidFill>
                  <a:srgbClr val="00B050"/>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61-41DF-99FA-18D2A8FD9FAB}"/>
                </c:ext>
              </c:extLst>
            </c:dLbl>
            <c:dLbl>
              <c:idx val="9"/>
              <c:layout>
                <c:manualLayout>
                  <c:x val="-1.9263183241030581E-2"/>
                  <c:y val="6.018054162487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61-41DF-99FA-18D2A8FD9FAB}"/>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Trebuchet MS" panose="020B0603020202020204" pitchFamily="34"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Φύλλο1!$A$3:$A$12</c:f>
              <c:strCache>
                <c:ptCount val="10"/>
                <c:pt idx="0">
                  <c:v>2021Μ01</c:v>
                </c:pt>
                <c:pt idx="1">
                  <c:v>2021Μ02</c:v>
                </c:pt>
                <c:pt idx="2">
                  <c:v>2021Μ03</c:v>
                </c:pt>
                <c:pt idx="3">
                  <c:v>2021Μ04</c:v>
                </c:pt>
                <c:pt idx="4">
                  <c:v>2021Μ05</c:v>
                </c:pt>
                <c:pt idx="5">
                  <c:v>2021Μ06</c:v>
                </c:pt>
                <c:pt idx="6">
                  <c:v>2021Μ07</c:v>
                </c:pt>
                <c:pt idx="7">
                  <c:v>2021Μ08</c:v>
                </c:pt>
                <c:pt idx="8">
                  <c:v>2021Μ09</c:v>
                </c:pt>
                <c:pt idx="9">
                  <c:v>2021Μ10</c:v>
                </c:pt>
              </c:strCache>
            </c:strRef>
          </c:cat>
          <c:val>
            <c:numRef>
              <c:f>Φύλλο1!$C$3:$C$12</c:f>
              <c:numCache>
                <c:formatCode>General</c:formatCode>
                <c:ptCount val="10"/>
                <c:pt idx="0">
                  <c:v>54.8</c:v>
                </c:pt>
                <c:pt idx="1">
                  <c:v>57.9</c:v>
                </c:pt>
                <c:pt idx="2">
                  <c:v>62.5</c:v>
                </c:pt>
                <c:pt idx="3">
                  <c:v>63.3</c:v>
                </c:pt>
                <c:pt idx="4">
                  <c:v>63.1</c:v>
                </c:pt>
                <c:pt idx="5">
                  <c:v>63.4</c:v>
                </c:pt>
                <c:pt idx="6">
                  <c:v>62.8</c:v>
                </c:pt>
                <c:pt idx="7">
                  <c:v>61.4</c:v>
                </c:pt>
                <c:pt idx="8">
                  <c:v>58.6</c:v>
                </c:pt>
                <c:pt idx="9">
                  <c:v>58.3</c:v>
                </c:pt>
              </c:numCache>
            </c:numRef>
          </c:val>
          <c:smooth val="1"/>
          <c:extLst>
            <c:ext xmlns:c16="http://schemas.microsoft.com/office/drawing/2014/chart" uri="{C3380CC4-5D6E-409C-BE32-E72D297353CC}">
              <c16:uniqueId val="{00000005-B861-41DF-99FA-18D2A8FD9FAB}"/>
            </c:ext>
          </c:extLst>
        </c:ser>
        <c:dLbls>
          <c:showLegendKey val="0"/>
          <c:showVal val="0"/>
          <c:showCatName val="0"/>
          <c:showSerName val="0"/>
          <c:showPercent val="0"/>
          <c:showBubbleSize val="0"/>
        </c:dLbls>
        <c:marker val="1"/>
        <c:smooth val="0"/>
        <c:axId val="1085221296"/>
        <c:axId val="1085214640"/>
      </c:lineChart>
      <c:catAx>
        <c:axId val="108522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4320000" spcFirstLastPara="1" vertOverflow="ellipsis" wrap="square" anchor="ctr" anchorCtr="1"/>
          <a:lstStyle/>
          <a:p>
            <a:pPr>
              <a:defRPr sz="600" b="0" i="0" u="none" strike="noStrike" kern="1200" baseline="0">
                <a:solidFill>
                  <a:schemeClr val="tx1">
                    <a:lumMod val="65000"/>
                    <a:lumOff val="35000"/>
                  </a:schemeClr>
                </a:solidFill>
                <a:latin typeface="Trebuchet MS" panose="020B0603020202020204" pitchFamily="34" charset="0"/>
                <a:ea typeface="+mn-ea"/>
                <a:cs typeface="+mn-cs"/>
              </a:defRPr>
            </a:pPr>
            <a:endParaRPr lang="el-GR"/>
          </a:p>
        </c:txPr>
        <c:crossAx val="1085214640"/>
        <c:crosses val="autoZero"/>
        <c:auto val="1"/>
        <c:lblAlgn val="ctr"/>
        <c:lblOffset val="100"/>
        <c:noMultiLvlLbl val="0"/>
      </c:catAx>
      <c:valAx>
        <c:axId val="1085214640"/>
        <c:scaling>
          <c:orientation val="minMax"/>
          <c:min val="4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rebuchet MS" panose="020B0603020202020204" pitchFamily="34" charset="0"/>
                <a:ea typeface="+mn-ea"/>
                <a:cs typeface="+mn-cs"/>
              </a:defRPr>
            </a:pPr>
            <a:endParaRPr lang="el-GR"/>
          </a:p>
        </c:txPr>
        <c:crossAx val="1085221296"/>
        <c:crosses val="autoZero"/>
        <c:crossBetween val="between"/>
      </c:valAx>
      <c:spPr>
        <a:solidFill>
          <a:schemeClr val="bg1">
            <a:lumMod val="9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rebuchet MS" panose="020B0603020202020204" pitchFamily="34" charset="0"/>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'grafimata (2)'!$A$14</c:f>
              <c:strCache>
                <c:ptCount val="1"/>
                <c:pt idx="0">
                  <c:v>Νοικοκυριά</c:v>
                </c:pt>
              </c:strCache>
            </c:strRef>
          </c:tx>
          <c:spPr>
            <a:solidFill>
              <a:srgbClr val="00B050"/>
            </a:solidFill>
            <a:ln>
              <a:solidFill>
                <a:srgbClr val="00B050"/>
              </a:solidFill>
            </a:ln>
            <a:effectLst/>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7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'grafimata (2)'!$B$9:$J$9</c:f>
              <c:numCache>
                <c:formatCode>mmm\-yy</c:formatCode>
                <c:ptCount val="9"/>
                <c:pt idx="0">
                  <c:v>44197</c:v>
                </c:pt>
                <c:pt idx="1">
                  <c:v>44228</c:v>
                </c:pt>
                <c:pt idx="2">
                  <c:v>44256</c:v>
                </c:pt>
                <c:pt idx="3">
                  <c:v>44287</c:v>
                </c:pt>
                <c:pt idx="4">
                  <c:v>44317</c:v>
                </c:pt>
                <c:pt idx="5">
                  <c:v>44348</c:v>
                </c:pt>
                <c:pt idx="6">
                  <c:v>44378</c:v>
                </c:pt>
                <c:pt idx="7">
                  <c:v>44409</c:v>
                </c:pt>
                <c:pt idx="8">
                  <c:v>44440</c:v>
                </c:pt>
              </c:numCache>
            </c:numRef>
          </c:cat>
          <c:val>
            <c:numRef>
              <c:f>'grafimata (2)'!$B$14:$J$14</c:f>
              <c:numCache>
                <c:formatCode>#,##0.0</c:formatCode>
                <c:ptCount val="9"/>
                <c:pt idx="0">
                  <c:v>124.80419000000001</c:v>
                </c:pt>
                <c:pt idx="1">
                  <c:v>125.14200800000002</c:v>
                </c:pt>
                <c:pt idx="2">
                  <c:v>126.03584599999999</c:v>
                </c:pt>
                <c:pt idx="3">
                  <c:v>127.74660799999999</c:v>
                </c:pt>
                <c:pt idx="4">
                  <c:v>127.77973499999999</c:v>
                </c:pt>
                <c:pt idx="5">
                  <c:v>128.32813200000001</c:v>
                </c:pt>
                <c:pt idx="6">
                  <c:v>129.14928900000001</c:v>
                </c:pt>
                <c:pt idx="7">
                  <c:v>129.24398399999998</c:v>
                </c:pt>
                <c:pt idx="8">
                  <c:v>129.82419299999998</c:v>
                </c:pt>
              </c:numCache>
            </c:numRef>
          </c:val>
          <c:extLst>
            <c:ext xmlns:c16="http://schemas.microsoft.com/office/drawing/2014/chart" uri="{C3380CC4-5D6E-409C-BE32-E72D297353CC}">
              <c16:uniqueId val="{00000000-1CF3-4021-860C-4E102EE9FCF2}"/>
            </c:ext>
          </c:extLst>
        </c:ser>
        <c:dLbls>
          <c:showLegendKey val="0"/>
          <c:showVal val="0"/>
          <c:showCatName val="0"/>
          <c:showSerName val="0"/>
          <c:showPercent val="0"/>
          <c:showBubbleSize val="0"/>
        </c:dLbls>
        <c:gapWidth val="219"/>
        <c:overlap val="-27"/>
        <c:axId val="1890604671"/>
        <c:axId val="1"/>
      </c:barChart>
      <c:dateAx>
        <c:axId val="1890604671"/>
        <c:scaling>
          <c:orientation val="minMax"/>
        </c:scaling>
        <c:delete val="0"/>
        <c:axPos val="b"/>
        <c:numFmt formatCode="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l-GR"/>
          </a:p>
        </c:txPr>
        <c:crossAx val="1"/>
        <c:crosses val="autoZero"/>
        <c:auto val="1"/>
        <c:lblOffset val="100"/>
        <c:baseTimeUnit val="month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890604671"/>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'grafimata (2)'!$A$11</c:f>
              <c:strCache>
                <c:ptCount val="1"/>
                <c:pt idx="0">
                  <c:v>      Μη χρηματοπιστωτικές επιχειρήσεις</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7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'grafimata (2)'!$B$9:$J$9</c:f>
              <c:numCache>
                <c:formatCode>mmm\-yy</c:formatCode>
                <c:ptCount val="9"/>
                <c:pt idx="0">
                  <c:v>44197</c:v>
                </c:pt>
                <c:pt idx="1">
                  <c:v>44228</c:v>
                </c:pt>
                <c:pt idx="2">
                  <c:v>44256</c:v>
                </c:pt>
                <c:pt idx="3">
                  <c:v>44287</c:v>
                </c:pt>
                <c:pt idx="4">
                  <c:v>44317</c:v>
                </c:pt>
                <c:pt idx="5">
                  <c:v>44348</c:v>
                </c:pt>
                <c:pt idx="6">
                  <c:v>44378</c:v>
                </c:pt>
                <c:pt idx="7">
                  <c:v>44409</c:v>
                </c:pt>
                <c:pt idx="8">
                  <c:v>44440</c:v>
                </c:pt>
              </c:numCache>
            </c:numRef>
          </c:cat>
          <c:val>
            <c:numRef>
              <c:f>'grafimata (2)'!$B$11:$J$11</c:f>
              <c:numCache>
                <c:formatCode>#,##0.0</c:formatCode>
                <c:ptCount val="9"/>
                <c:pt idx="0">
                  <c:v>30.467063999999997</c:v>
                </c:pt>
                <c:pt idx="1">
                  <c:v>30.617218000000001</c:v>
                </c:pt>
                <c:pt idx="2">
                  <c:v>32.351044000000002</c:v>
                </c:pt>
                <c:pt idx="3">
                  <c:v>31.808468000000001</c:v>
                </c:pt>
                <c:pt idx="4">
                  <c:v>33.303122999999999</c:v>
                </c:pt>
                <c:pt idx="5">
                  <c:v>34.591080999999996</c:v>
                </c:pt>
                <c:pt idx="6">
                  <c:v>35.287106999999999</c:v>
                </c:pt>
                <c:pt idx="7">
                  <c:v>36.302976999999998</c:v>
                </c:pt>
                <c:pt idx="8">
                  <c:v>36.568656000000004</c:v>
                </c:pt>
              </c:numCache>
            </c:numRef>
          </c:val>
          <c:extLst>
            <c:ext xmlns:c16="http://schemas.microsoft.com/office/drawing/2014/chart" uri="{C3380CC4-5D6E-409C-BE32-E72D297353CC}">
              <c16:uniqueId val="{00000000-F849-4A76-B520-49EDC0838673}"/>
            </c:ext>
          </c:extLst>
        </c:ser>
        <c:dLbls>
          <c:showLegendKey val="0"/>
          <c:showVal val="0"/>
          <c:showCatName val="0"/>
          <c:showSerName val="0"/>
          <c:showPercent val="0"/>
          <c:showBubbleSize val="0"/>
        </c:dLbls>
        <c:gapWidth val="219"/>
        <c:overlap val="-27"/>
        <c:axId val="1890605919"/>
        <c:axId val="1"/>
      </c:barChart>
      <c:dateAx>
        <c:axId val="1890605919"/>
        <c:scaling>
          <c:orientation val="minMax"/>
        </c:scaling>
        <c:delete val="0"/>
        <c:axPos val="b"/>
        <c:numFmt formatCode="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l-GR"/>
          </a:p>
        </c:txPr>
        <c:crossAx val="1"/>
        <c:crosses val="autoZero"/>
        <c:auto val="1"/>
        <c:lblOffset val="100"/>
        <c:baseTimeUnit val="month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890605919"/>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'Γραφήματα υπόλοιπα'!$B$25</c:f>
              <c:strCache>
                <c:ptCount val="1"/>
                <c:pt idx="0">
                  <c:v>Συνολική χρηματοδότηση</c:v>
                </c:pt>
              </c:strCache>
            </c:strRef>
          </c:tx>
          <c:spPr>
            <a:solidFill>
              <a:sysClr val="window" lastClr="FFFFFF">
                <a:lumMod val="85000"/>
              </a:sysClr>
            </a:solidFill>
            <a:ln>
              <a:solidFill>
                <a:sysClr val="window" lastClr="FFFFFF">
                  <a:lumMod val="85000"/>
                </a:sysClr>
              </a:solidFill>
            </a:ln>
            <a:effectLst/>
          </c:spPr>
          <c:dLbls>
            <c:dLbl>
              <c:idx val="0"/>
              <c:layout>
                <c:manualLayout>
                  <c:x val="-2.2918773171553757E-2"/>
                  <c:y val="-0.39178515007898895"/>
                </c:manualLayout>
              </c:layout>
              <c:spPr>
                <a:solidFill>
                  <a:schemeClr val="lt1"/>
                </a:solidFill>
                <a:ln w="25400" cap="flat" cmpd="sng" algn="ctr">
                  <a:solidFill>
                    <a:schemeClr val="accent1"/>
                  </a:solidFill>
                  <a:prstDash val="soli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rebuchet MS" panose="020B0603020202020204" pitchFamily="34" charset="0"/>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3A-4857-9394-EC111CF01C7D}"/>
                </c:ext>
              </c:extLst>
            </c:dLbl>
            <c:dLbl>
              <c:idx val="1"/>
              <c:delete val="1"/>
              <c:extLst>
                <c:ext xmlns:c15="http://schemas.microsoft.com/office/drawing/2012/chart" uri="{CE6537A1-D6FC-4f65-9D91-7224C49458BB}"/>
                <c:ext xmlns:c16="http://schemas.microsoft.com/office/drawing/2014/chart" uri="{C3380CC4-5D6E-409C-BE32-E72D297353CC}">
                  <c16:uniqueId val="{00000001-8C3A-4857-9394-EC111CF01C7D}"/>
                </c:ext>
              </c:extLst>
            </c:dLbl>
            <c:dLbl>
              <c:idx val="2"/>
              <c:delete val="1"/>
              <c:extLst>
                <c:ext xmlns:c15="http://schemas.microsoft.com/office/drawing/2012/chart" uri="{CE6537A1-D6FC-4f65-9D91-7224C49458BB}"/>
                <c:ext xmlns:c16="http://schemas.microsoft.com/office/drawing/2014/chart" uri="{C3380CC4-5D6E-409C-BE32-E72D297353CC}">
                  <c16:uniqueId val="{00000002-8C3A-4857-9394-EC111CF01C7D}"/>
                </c:ext>
              </c:extLst>
            </c:dLbl>
            <c:dLbl>
              <c:idx val="3"/>
              <c:delete val="1"/>
              <c:extLst>
                <c:ext xmlns:c15="http://schemas.microsoft.com/office/drawing/2012/chart" uri="{CE6537A1-D6FC-4f65-9D91-7224C49458BB}"/>
                <c:ext xmlns:c16="http://schemas.microsoft.com/office/drawing/2014/chart" uri="{C3380CC4-5D6E-409C-BE32-E72D297353CC}">
                  <c16:uniqueId val="{00000003-8C3A-4857-9394-EC111CF01C7D}"/>
                </c:ext>
              </c:extLst>
            </c:dLbl>
            <c:dLbl>
              <c:idx val="4"/>
              <c:delete val="1"/>
              <c:extLst>
                <c:ext xmlns:c15="http://schemas.microsoft.com/office/drawing/2012/chart" uri="{CE6537A1-D6FC-4f65-9D91-7224C49458BB}"/>
                <c:ext xmlns:c16="http://schemas.microsoft.com/office/drawing/2014/chart" uri="{C3380CC4-5D6E-409C-BE32-E72D297353CC}">
                  <c16:uniqueId val="{00000004-8C3A-4857-9394-EC111CF01C7D}"/>
                </c:ext>
              </c:extLst>
            </c:dLbl>
            <c:dLbl>
              <c:idx val="5"/>
              <c:delete val="1"/>
              <c:extLst>
                <c:ext xmlns:c15="http://schemas.microsoft.com/office/drawing/2012/chart" uri="{CE6537A1-D6FC-4f65-9D91-7224C49458BB}"/>
                <c:ext xmlns:c16="http://schemas.microsoft.com/office/drawing/2014/chart" uri="{C3380CC4-5D6E-409C-BE32-E72D297353CC}">
                  <c16:uniqueId val="{00000005-8C3A-4857-9394-EC111CF01C7D}"/>
                </c:ext>
              </c:extLst>
            </c:dLbl>
            <c:dLbl>
              <c:idx val="6"/>
              <c:delete val="1"/>
              <c:extLst>
                <c:ext xmlns:c15="http://schemas.microsoft.com/office/drawing/2012/chart" uri="{CE6537A1-D6FC-4f65-9D91-7224C49458BB}"/>
                <c:ext xmlns:c16="http://schemas.microsoft.com/office/drawing/2014/chart" uri="{C3380CC4-5D6E-409C-BE32-E72D297353CC}">
                  <c16:uniqueId val="{00000006-8C3A-4857-9394-EC111CF01C7D}"/>
                </c:ext>
              </c:extLst>
            </c:dLbl>
            <c:dLbl>
              <c:idx val="7"/>
              <c:delete val="1"/>
              <c:extLst>
                <c:ext xmlns:c15="http://schemas.microsoft.com/office/drawing/2012/chart" uri="{CE6537A1-D6FC-4f65-9D91-7224C49458BB}"/>
                <c:ext xmlns:c16="http://schemas.microsoft.com/office/drawing/2014/chart" uri="{C3380CC4-5D6E-409C-BE32-E72D297353CC}">
                  <c16:uniqueId val="{00000007-8C3A-4857-9394-EC111CF01C7D}"/>
                </c:ext>
              </c:extLst>
            </c:dLbl>
            <c:dLbl>
              <c:idx val="8"/>
              <c:layout>
                <c:manualLayout>
                  <c:x val="2.561509942703067E-2"/>
                  <c:y val="-0.37914691943127959"/>
                </c:manualLayout>
              </c:layout>
              <c:spPr>
                <a:solidFill>
                  <a:schemeClr val="lt1"/>
                </a:solidFill>
                <a:ln w="25400" cap="flat" cmpd="sng" algn="ctr">
                  <a:solidFill>
                    <a:schemeClr val="accent1"/>
                  </a:solidFill>
                  <a:prstDash val="soli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rebuchet MS" panose="020B0603020202020204" pitchFamily="34" charset="0"/>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C3A-4857-9394-EC111CF01C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rebuchet MS" panose="020B0603020202020204" pitchFamily="34" charset="0"/>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'Γραφήματα υπόλοιπα'!$A$26:$A$34</c:f>
              <c:numCache>
                <c:formatCode>mmm\-yy</c:formatCode>
                <c:ptCount val="9"/>
                <c:pt idx="0">
                  <c:v>44197</c:v>
                </c:pt>
                <c:pt idx="1">
                  <c:v>44228</c:v>
                </c:pt>
                <c:pt idx="2">
                  <c:v>44256</c:v>
                </c:pt>
                <c:pt idx="3">
                  <c:v>44287</c:v>
                </c:pt>
                <c:pt idx="4">
                  <c:v>44317</c:v>
                </c:pt>
                <c:pt idx="5">
                  <c:v>44348</c:v>
                </c:pt>
                <c:pt idx="6">
                  <c:v>44378</c:v>
                </c:pt>
                <c:pt idx="7">
                  <c:v>44409</c:v>
                </c:pt>
                <c:pt idx="8">
                  <c:v>44440</c:v>
                </c:pt>
              </c:numCache>
            </c:numRef>
          </c:cat>
          <c:val>
            <c:numRef>
              <c:f>'Γραφήματα υπόλοιπα'!$B$26:$B$34</c:f>
              <c:numCache>
                <c:formatCode>#,##0.0</c:formatCode>
                <c:ptCount val="9"/>
                <c:pt idx="0">
                  <c:v>197.31188</c:v>
                </c:pt>
                <c:pt idx="1">
                  <c:v>195.183054</c:v>
                </c:pt>
                <c:pt idx="2">
                  <c:v>199.05120700000001</c:v>
                </c:pt>
                <c:pt idx="3">
                  <c:v>193.895858</c:v>
                </c:pt>
                <c:pt idx="4">
                  <c:v>196.28874100000002</c:v>
                </c:pt>
                <c:pt idx="5">
                  <c:v>197.75842599999999</c:v>
                </c:pt>
                <c:pt idx="6">
                  <c:v>192.25566100000003</c:v>
                </c:pt>
                <c:pt idx="7">
                  <c:v>193.18277399999999</c:v>
                </c:pt>
                <c:pt idx="8">
                  <c:v>191.16557699999998</c:v>
                </c:pt>
              </c:numCache>
            </c:numRef>
          </c:val>
          <c:extLst>
            <c:ext xmlns:c16="http://schemas.microsoft.com/office/drawing/2014/chart" uri="{C3380CC4-5D6E-409C-BE32-E72D297353CC}">
              <c16:uniqueId val="{00000009-8C3A-4857-9394-EC111CF01C7D}"/>
            </c:ext>
          </c:extLst>
        </c:ser>
        <c:dLbls>
          <c:showLegendKey val="0"/>
          <c:showVal val="0"/>
          <c:showCatName val="0"/>
          <c:showSerName val="0"/>
          <c:showPercent val="0"/>
          <c:showBubbleSize val="0"/>
        </c:dLbls>
        <c:axId val="1798487871"/>
        <c:axId val="1"/>
      </c:areaChart>
      <c:barChart>
        <c:barDir val="col"/>
        <c:grouping val="clustered"/>
        <c:varyColors val="0"/>
        <c:ser>
          <c:idx val="2"/>
          <c:order val="1"/>
          <c:tx>
            <c:strRef>
              <c:f>'Γραφήματα υπόλοιπα'!$D$25</c:f>
              <c:strCache>
                <c:ptCount val="1"/>
                <c:pt idx="0">
                  <c:v>Χρηματοδότηση μη χρηματοπιστωτικών επιχειρήσεων</c:v>
                </c:pt>
              </c:strCache>
            </c:strRef>
          </c:tx>
          <c:spPr>
            <a:solidFill>
              <a:srgbClr val="00B0F0"/>
            </a:solidFill>
            <a:ln>
              <a:solidFill>
                <a:srgbClr val="00B0F0"/>
              </a:solidFill>
            </a:ln>
            <a:effectLst/>
          </c:spPr>
          <c:invertIfNegative val="0"/>
          <c:dLbls>
            <c:spPr>
              <a:noFill/>
              <a:ln>
                <a:noFill/>
              </a:ln>
              <a:effectLst/>
            </c:spPr>
            <c:txPr>
              <a:bodyPr wrap="square" lIns="38100" tIns="19050" rIns="38100" bIns="19050" anchor="ctr">
                <a:spAutoFit/>
              </a:bodyPr>
              <a:lstStyle/>
              <a:p>
                <a:pPr>
                  <a:defRPr sz="800">
                    <a:solidFill>
                      <a:srgbClr val="00B0F0"/>
                    </a:solidFill>
                    <a:latin typeface="Trebuchet MS" panose="020B0603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'Γραφήματα υπόλοιπα'!$A$26:$A$34</c:f>
              <c:numCache>
                <c:formatCode>mmm\-yy</c:formatCode>
                <c:ptCount val="9"/>
                <c:pt idx="0">
                  <c:v>44197</c:v>
                </c:pt>
                <c:pt idx="1">
                  <c:v>44228</c:v>
                </c:pt>
                <c:pt idx="2">
                  <c:v>44256</c:v>
                </c:pt>
                <c:pt idx="3">
                  <c:v>44287</c:v>
                </c:pt>
                <c:pt idx="4">
                  <c:v>44317</c:v>
                </c:pt>
                <c:pt idx="5">
                  <c:v>44348</c:v>
                </c:pt>
                <c:pt idx="6">
                  <c:v>44378</c:v>
                </c:pt>
                <c:pt idx="7">
                  <c:v>44409</c:v>
                </c:pt>
                <c:pt idx="8">
                  <c:v>44440</c:v>
                </c:pt>
              </c:numCache>
            </c:numRef>
          </c:cat>
          <c:val>
            <c:numRef>
              <c:f>'Γραφήματα υπόλοιπα'!$D$26:$D$34</c:f>
              <c:numCache>
                <c:formatCode>#,##0.0</c:formatCode>
                <c:ptCount val="9"/>
                <c:pt idx="0">
                  <c:v>66.483955000000023</c:v>
                </c:pt>
                <c:pt idx="1">
                  <c:v>65.944941</c:v>
                </c:pt>
                <c:pt idx="2">
                  <c:v>66.347949</c:v>
                </c:pt>
                <c:pt idx="3">
                  <c:v>62.116669999999992</c:v>
                </c:pt>
                <c:pt idx="4">
                  <c:v>62.064175999999989</c:v>
                </c:pt>
                <c:pt idx="5">
                  <c:v>62.159058000000002</c:v>
                </c:pt>
                <c:pt idx="6">
                  <c:v>59.910314</c:v>
                </c:pt>
                <c:pt idx="7">
                  <c:v>60.077705000000016</c:v>
                </c:pt>
                <c:pt idx="8">
                  <c:v>59.297857999999998</c:v>
                </c:pt>
              </c:numCache>
            </c:numRef>
          </c:val>
          <c:extLst>
            <c:ext xmlns:c16="http://schemas.microsoft.com/office/drawing/2014/chart" uri="{C3380CC4-5D6E-409C-BE32-E72D297353CC}">
              <c16:uniqueId val="{0000000A-8C3A-4857-9394-EC111CF01C7D}"/>
            </c:ext>
          </c:extLst>
        </c:ser>
        <c:ser>
          <c:idx val="3"/>
          <c:order val="2"/>
          <c:tx>
            <c:strRef>
              <c:f>'Γραφήματα υπόλοιπα'!$E$25</c:f>
              <c:strCache>
                <c:ptCount val="1"/>
                <c:pt idx="0">
                  <c:v>Στεγαστική πίστη</c:v>
                </c:pt>
              </c:strCache>
            </c:strRef>
          </c:tx>
          <c:spPr>
            <a:solidFill>
              <a:srgbClr val="00B050"/>
            </a:solidFill>
            <a:ln>
              <a:solidFill>
                <a:srgbClr val="00B050"/>
              </a:solidFill>
            </a:ln>
            <a:effectLst/>
          </c:spPr>
          <c:invertIfNegative val="0"/>
          <c:dLbls>
            <c:spPr>
              <a:noFill/>
              <a:ln>
                <a:noFill/>
              </a:ln>
              <a:effectLst/>
            </c:spPr>
            <c:txPr>
              <a:bodyPr wrap="square" lIns="38100" tIns="19050" rIns="38100" bIns="19050" anchor="ctr">
                <a:spAutoFit/>
              </a:bodyPr>
              <a:lstStyle/>
              <a:p>
                <a:pPr>
                  <a:defRPr sz="800">
                    <a:solidFill>
                      <a:schemeClr val="accent6">
                        <a:lumMod val="75000"/>
                      </a:schemeClr>
                    </a:solidFill>
                    <a:latin typeface="Trebuchet MS" panose="020B0603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'Γραφήματα υπόλοιπα'!$A$26:$A$34</c:f>
              <c:numCache>
                <c:formatCode>mmm\-yy</c:formatCode>
                <c:ptCount val="9"/>
                <c:pt idx="0">
                  <c:v>44197</c:v>
                </c:pt>
                <c:pt idx="1">
                  <c:v>44228</c:v>
                </c:pt>
                <c:pt idx="2">
                  <c:v>44256</c:v>
                </c:pt>
                <c:pt idx="3">
                  <c:v>44287</c:v>
                </c:pt>
                <c:pt idx="4">
                  <c:v>44317</c:v>
                </c:pt>
                <c:pt idx="5">
                  <c:v>44348</c:v>
                </c:pt>
                <c:pt idx="6">
                  <c:v>44378</c:v>
                </c:pt>
                <c:pt idx="7">
                  <c:v>44409</c:v>
                </c:pt>
                <c:pt idx="8">
                  <c:v>44440</c:v>
                </c:pt>
              </c:numCache>
            </c:numRef>
          </c:cat>
          <c:val>
            <c:numRef>
              <c:f>'Γραφήματα υπόλοιπα'!$E$26:$E$34</c:f>
              <c:numCache>
                <c:formatCode>#,##0.0</c:formatCode>
                <c:ptCount val="9"/>
                <c:pt idx="0">
                  <c:v>45.950690000000002</c:v>
                </c:pt>
                <c:pt idx="1">
                  <c:v>45.751590000000007</c:v>
                </c:pt>
                <c:pt idx="2">
                  <c:v>45.532214000000003</c:v>
                </c:pt>
                <c:pt idx="3">
                  <c:v>41.623821999999997</c:v>
                </c:pt>
                <c:pt idx="4">
                  <c:v>41.513283000000001</c:v>
                </c:pt>
                <c:pt idx="5">
                  <c:v>41.398839000000002</c:v>
                </c:pt>
                <c:pt idx="6">
                  <c:v>38.676743000000002</c:v>
                </c:pt>
                <c:pt idx="7">
                  <c:v>38.529021</c:v>
                </c:pt>
                <c:pt idx="8">
                  <c:v>37.147672</c:v>
                </c:pt>
              </c:numCache>
            </c:numRef>
          </c:val>
          <c:extLst>
            <c:ext xmlns:c16="http://schemas.microsoft.com/office/drawing/2014/chart" uri="{C3380CC4-5D6E-409C-BE32-E72D297353CC}">
              <c16:uniqueId val="{0000000B-8C3A-4857-9394-EC111CF01C7D}"/>
            </c:ext>
          </c:extLst>
        </c:ser>
        <c:ser>
          <c:idx val="4"/>
          <c:order val="3"/>
          <c:tx>
            <c:strRef>
              <c:f>'Γραφήματα υπόλοιπα'!$F$25</c:f>
              <c:strCache>
                <c:ptCount val="1"/>
                <c:pt idx="0">
                  <c:v>Καταναλωτική πίστη</c:v>
                </c:pt>
              </c:strCache>
            </c:strRef>
          </c:tx>
          <c:spPr>
            <a:solidFill>
              <a:srgbClr val="4472C4">
                <a:lumMod val="50000"/>
              </a:srgbClr>
            </a:solidFill>
            <a:ln>
              <a:solidFill>
                <a:srgbClr val="4472C4">
                  <a:lumMod val="50000"/>
                </a:srgbClr>
              </a:solidFill>
            </a:ln>
            <a:effectLst/>
          </c:spPr>
          <c:invertIfNegative val="0"/>
          <c:dLbls>
            <c:spPr>
              <a:noFill/>
              <a:ln>
                <a:noFill/>
              </a:ln>
              <a:effectLst/>
            </c:spPr>
            <c:txPr>
              <a:bodyPr wrap="square" lIns="38100" tIns="19050" rIns="38100" bIns="19050" anchor="ctr">
                <a:spAutoFit/>
              </a:bodyPr>
              <a:lstStyle/>
              <a:p>
                <a:pPr>
                  <a:defRPr sz="800">
                    <a:solidFill>
                      <a:schemeClr val="accent5">
                        <a:lumMod val="50000"/>
                      </a:schemeClr>
                    </a:solidFill>
                    <a:latin typeface="Trebuchet MS" panose="020B0603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'Γραφήματα υπόλοιπα'!$A$26:$A$34</c:f>
              <c:numCache>
                <c:formatCode>mmm\-yy</c:formatCode>
                <c:ptCount val="9"/>
                <c:pt idx="0">
                  <c:v>44197</c:v>
                </c:pt>
                <c:pt idx="1">
                  <c:v>44228</c:v>
                </c:pt>
                <c:pt idx="2">
                  <c:v>44256</c:v>
                </c:pt>
                <c:pt idx="3">
                  <c:v>44287</c:v>
                </c:pt>
                <c:pt idx="4">
                  <c:v>44317</c:v>
                </c:pt>
                <c:pt idx="5">
                  <c:v>44348</c:v>
                </c:pt>
                <c:pt idx="6">
                  <c:v>44378</c:v>
                </c:pt>
                <c:pt idx="7">
                  <c:v>44409</c:v>
                </c:pt>
                <c:pt idx="8">
                  <c:v>44440</c:v>
                </c:pt>
              </c:numCache>
            </c:numRef>
          </c:cat>
          <c:val>
            <c:numRef>
              <c:f>'Γραφήματα υπόλοιπα'!$F$26:$F$34</c:f>
              <c:numCache>
                <c:formatCode>#,##0.0</c:formatCode>
                <c:ptCount val="9"/>
                <c:pt idx="0">
                  <c:v>14.116293000000001</c:v>
                </c:pt>
                <c:pt idx="1">
                  <c:v>13.702321</c:v>
                </c:pt>
                <c:pt idx="2">
                  <c:v>13.563667000000001</c:v>
                </c:pt>
                <c:pt idx="3">
                  <c:v>12.008759999999999</c:v>
                </c:pt>
                <c:pt idx="4">
                  <c:v>12.058194000000002</c:v>
                </c:pt>
                <c:pt idx="5">
                  <c:v>12.129822999999998</c:v>
                </c:pt>
                <c:pt idx="6">
                  <c:v>10.984762</c:v>
                </c:pt>
                <c:pt idx="7">
                  <c:v>10.962760999999999</c:v>
                </c:pt>
                <c:pt idx="8">
                  <c:v>10.313717</c:v>
                </c:pt>
              </c:numCache>
            </c:numRef>
          </c:val>
          <c:extLst>
            <c:ext xmlns:c16="http://schemas.microsoft.com/office/drawing/2014/chart" uri="{C3380CC4-5D6E-409C-BE32-E72D297353CC}">
              <c16:uniqueId val="{0000000C-8C3A-4857-9394-EC111CF01C7D}"/>
            </c:ext>
          </c:extLst>
        </c:ser>
        <c:dLbls>
          <c:showLegendKey val="0"/>
          <c:showVal val="0"/>
          <c:showCatName val="0"/>
          <c:showSerName val="0"/>
          <c:showPercent val="0"/>
          <c:showBubbleSize val="0"/>
        </c:dLbls>
        <c:gapWidth val="150"/>
        <c:axId val="1798487871"/>
        <c:axId val="1"/>
      </c:barChart>
      <c:dateAx>
        <c:axId val="1798487871"/>
        <c:scaling>
          <c:orientation val="minMax"/>
        </c:scaling>
        <c:delete val="0"/>
        <c:axPos val="b"/>
        <c:numFmt formatCode="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rebuchet MS" panose="020B0603020202020204" pitchFamily="34" charset="0"/>
                <a:ea typeface="+mn-ea"/>
                <a:cs typeface="+mn-cs"/>
              </a:defRPr>
            </a:pPr>
            <a:endParaRPr lang="el-GR"/>
          </a:p>
        </c:txPr>
        <c:crossAx val="1"/>
        <c:crosses val="autoZero"/>
        <c:auto val="1"/>
        <c:lblOffset val="100"/>
        <c:baseTimeUnit val="months"/>
      </c:dateAx>
      <c:valAx>
        <c:axId val="1"/>
        <c:scaling>
          <c:orientation val="minMax"/>
          <c:max val="2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rebuchet MS" panose="020B0603020202020204" pitchFamily="34" charset="0"/>
                <a:ea typeface="+mn-ea"/>
                <a:cs typeface="+mn-cs"/>
              </a:defRPr>
            </a:pPr>
            <a:endParaRPr lang="el-GR"/>
          </a:p>
        </c:txPr>
        <c:crossAx val="1798487871"/>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rebuchet MS" panose="020B0603020202020204" pitchFamily="34" charset="0"/>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204350445640212E-2"/>
          <c:y val="3.5691523263224986E-2"/>
          <c:w val="0.92716944023158054"/>
          <c:h val="0.69571832201663131"/>
        </c:manualLayout>
      </c:layout>
      <c:lineChart>
        <c:grouping val="standard"/>
        <c:varyColors val="0"/>
        <c:ser>
          <c:idx val="1"/>
          <c:order val="0"/>
          <c:tx>
            <c:strRef>
              <c:f>'Γραφήματα Ρυθ.Μ.'!$C$13</c:f>
              <c:strCache>
                <c:ptCount val="1"/>
                <c:pt idx="0">
                  <c:v>Χρηματοδότηση μη χρηματοπιστωτικών επιχειρήσεων - % μεταβολή</c:v>
                </c:pt>
              </c:strCache>
            </c:strRef>
          </c:tx>
          <c:spPr>
            <a:ln w="28575" cap="rnd">
              <a:solidFill>
                <a:srgbClr val="00B0F0"/>
              </a:solidFill>
              <a:round/>
            </a:ln>
            <a:effectLst/>
          </c:spPr>
          <c:marker>
            <c:symbol val="circle"/>
            <c:size val="5"/>
            <c:spPr>
              <a:solidFill>
                <a:srgbClr val="00B0F0"/>
              </a:solidFill>
              <a:ln w="9525">
                <a:solidFill>
                  <a:srgbClr val="00B0F0"/>
                </a:solidFill>
              </a:ln>
              <a:effectLst/>
            </c:spPr>
          </c:marker>
          <c:dLbls>
            <c:dLbl>
              <c:idx val="0"/>
              <c:layout>
                <c:manualLayout>
                  <c:x val="-2.4626209322779261E-2"/>
                  <c:y val="-4.079031230082855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rebuchet MS" panose="020B0603020202020204" pitchFamily="34" charset="0"/>
                      <a:ea typeface="+mn-ea"/>
                      <a:cs typeface="+mn-cs"/>
                    </a:defRPr>
                  </a:pPr>
                  <a:endParaRPr lang="el-G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77-436E-81F3-E51E98B20C77}"/>
                </c:ext>
              </c:extLst>
            </c:dLbl>
            <c:dLbl>
              <c:idx val="8"/>
              <c:layout>
                <c:manualLayout>
                  <c:x val="0"/>
                  <c:y val="3.059273422562141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rebuchet MS" panose="020B0603020202020204" pitchFamily="34" charset="0"/>
                      <a:ea typeface="+mn-ea"/>
                      <a:cs typeface="+mn-cs"/>
                    </a:defRPr>
                  </a:pPr>
                  <a:endParaRPr lang="el-G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77-436E-81F3-E51E98B20C77}"/>
                </c:ext>
              </c:extLst>
            </c:dLbl>
            <c:spPr>
              <a:noFill/>
              <a:ln>
                <a:noFill/>
              </a:ln>
              <a:effectLst/>
            </c:spPr>
            <c:txPr>
              <a:bodyPr wrap="square" lIns="38100" tIns="19050" rIns="38100" bIns="19050" anchor="ctr">
                <a:spAutoFit/>
              </a:bodyPr>
              <a:lstStyle/>
              <a:p>
                <a:pPr>
                  <a:defRPr sz="900" b="0">
                    <a:latin typeface="Trebuchet MS" panose="020B0603020202020204" pitchFamily="34" charset="0"/>
                  </a:defRPr>
                </a:pPr>
                <a:endParaRPr lang="el-GR"/>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'Γραφήματα Ρυθ.Μ.'!$A$14:$A$22</c:f>
              <c:numCache>
                <c:formatCode>mmm\-yy</c:formatCode>
                <c:ptCount val="9"/>
                <c:pt idx="0">
                  <c:v>44197</c:v>
                </c:pt>
                <c:pt idx="1">
                  <c:v>44228</c:v>
                </c:pt>
                <c:pt idx="2">
                  <c:v>44256</c:v>
                </c:pt>
                <c:pt idx="3">
                  <c:v>44287</c:v>
                </c:pt>
                <c:pt idx="4">
                  <c:v>44317</c:v>
                </c:pt>
                <c:pt idx="5">
                  <c:v>44348</c:v>
                </c:pt>
                <c:pt idx="6">
                  <c:v>44378</c:v>
                </c:pt>
                <c:pt idx="7">
                  <c:v>44409</c:v>
                </c:pt>
                <c:pt idx="8">
                  <c:v>44440</c:v>
                </c:pt>
              </c:numCache>
            </c:numRef>
          </c:cat>
          <c:val>
            <c:numRef>
              <c:f>'Γραφήματα Ρυθ.Μ.'!$C$14:$C$22</c:f>
              <c:numCache>
                <c:formatCode>0.0%</c:formatCode>
                <c:ptCount val="9"/>
                <c:pt idx="0">
                  <c:v>0.10437339952768664</c:v>
                </c:pt>
                <c:pt idx="1">
                  <c:v>0.10310049210315969</c:v>
                </c:pt>
                <c:pt idx="2">
                  <c:v>8.681839597867777E-2</c:v>
                </c:pt>
                <c:pt idx="3">
                  <c:v>6.6976378285032959E-2</c:v>
                </c:pt>
                <c:pt idx="4">
                  <c:v>6.1581838941608673E-2</c:v>
                </c:pt>
                <c:pt idx="5">
                  <c:v>6.2302023549639006E-2</c:v>
                </c:pt>
                <c:pt idx="6">
                  <c:v>4.1769188681910201E-2</c:v>
                </c:pt>
                <c:pt idx="7">
                  <c:v>3.2281340207294867E-2</c:v>
                </c:pt>
                <c:pt idx="8">
                  <c:v>2.7773198555897226E-2</c:v>
                </c:pt>
              </c:numCache>
            </c:numRef>
          </c:val>
          <c:smooth val="1"/>
          <c:extLst>
            <c:ext xmlns:c16="http://schemas.microsoft.com/office/drawing/2014/chart" uri="{C3380CC4-5D6E-409C-BE32-E72D297353CC}">
              <c16:uniqueId val="{00000002-2477-436E-81F3-E51E98B20C77}"/>
            </c:ext>
          </c:extLst>
        </c:ser>
        <c:ser>
          <c:idx val="2"/>
          <c:order val="1"/>
          <c:tx>
            <c:strRef>
              <c:f>'Γραφήματα Ρυθ.Μ.'!$D$13</c:f>
              <c:strCache>
                <c:ptCount val="1"/>
                <c:pt idx="0">
                  <c:v>Στεγαστική πίστη - % μεταβολή</c:v>
                </c:pt>
              </c:strCache>
            </c:strRef>
          </c:tx>
          <c:spPr>
            <a:ln w="28575" cap="rnd">
              <a:solidFill>
                <a:sysClr val="window" lastClr="FFFFFF">
                  <a:lumMod val="50000"/>
                </a:sysClr>
              </a:solidFill>
              <a:round/>
            </a:ln>
            <a:effectLst/>
          </c:spPr>
          <c:marker>
            <c:symbol val="circle"/>
            <c:size val="5"/>
            <c:spPr>
              <a:solidFill>
                <a:sysClr val="window" lastClr="FFFFFF">
                  <a:lumMod val="50000"/>
                </a:sysClr>
              </a:solidFill>
              <a:ln w="9525">
                <a:solidFill>
                  <a:sysClr val="window" lastClr="FFFFFF">
                    <a:lumMod val="50000"/>
                  </a:sysClr>
                </a:solidFill>
              </a:ln>
              <a:effectLst/>
            </c:spPr>
          </c:marker>
          <c:dLbls>
            <c:dLbl>
              <c:idx val="0"/>
              <c:layout>
                <c:manualLayout>
                  <c:x val="-1.9349164467897976E-2"/>
                  <c:y val="3.05927342256213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rebuchet MS" panose="020B0603020202020204" pitchFamily="34" charset="0"/>
                      <a:ea typeface="+mn-ea"/>
                      <a:cs typeface="+mn-cs"/>
                    </a:defRPr>
                  </a:pPr>
                  <a:endParaRPr lang="el-G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77-436E-81F3-E51E98B20C77}"/>
                </c:ext>
              </c:extLst>
            </c:dLbl>
            <c:dLbl>
              <c:idx val="8"/>
              <c:layout>
                <c:manualLayout>
                  <c:x val="0"/>
                  <c:y val="4.079031230082855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rebuchet MS" panose="020B0603020202020204" pitchFamily="34" charset="0"/>
                      <a:ea typeface="+mn-ea"/>
                      <a:cs typeface="+mn-cs"/>
                    </a:defRPr>
                  </a:pPr>
                  <a:endParaRPr lang="el-G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77-436E-81F3-E51E98B20C77}"/>
                </c:ext>
              </c:extLst>
            </c:dLbl>
            <c:spPr>
              <a:noFill/>
              <a:ln>
                <a:noFill/>
              </a:ln>
              <a:effectLst/>
            </c:spPr>
            <c:txPr>
              <a:bodyPr wrap="square" lIns="38100" tIns="19050" rIns="38100" bIns="19050" anchor="ctr">
                <a:spAutoFit/>
              </a:bodyPr>
              <a:lstStyle/>
              <a:p>
                <a:pPr>
                  <a:defRPr sz="900">
                    <a:latin typeface="Trebuchet MS" panose="020B0603020202020204" pitchFamily="34" charset="0"/>
                  </a:defRPr>
                </a:pPr>
                <a:endParaRPr lang="el-GR"/>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'Γραφήματα Ρυθ.Μ.'!$A$14:$A$22</c:f>
              <c:numCache>
                <c:formatCode>mmm\-yy</c:formatCode>
                <c:ptCount val="9"/>
                <c:pt idx="0">
                  <c:v>44197</c:v>
                </c:pt>
                <c:pt idx="1">
                  <c:v>44228</c:v>
                </c:pt>
                <c:pt idx="2">
                  <c:v>44256</c:v>
                </c:pt>
                <c:pt idx="3">
                  <c:v>44287</c:v>
                </c:pt>
                <c:pt idx="4">
                  <c:v>44317</c:v>
                </c:pt>
                <c:pt idx="5">
                  <c:v>44348</c:v>
                </c:pt>
                <c:pt idx="6">
                  <c:v>44378</c:v>
                </c:pt>
                <c:pt idx="7">
                  <c:v>44409</c:v>
                </c:pt>
                <c:pt idx="8">
                  <c:v>44440</c:v>
                </c:pt>
              </c:numCache>
            </c:numRef>
          </c:cat>
          <c:val>
            <c:numRef>
              <c:f>'Γραφήματα Ρυθ.Μ.'!$D$14:$D$22</c:f>
              <c:numCache>
                <c:formatCode>0.0%</c:formatCode>
                <c:ptCount val="9"/>
                <c:pt idx="0">
                  <c:v>-2.6417688316971243E-2</c:v>
                </c:pt>
                <c:pt idx="1">
                  <c:v>-2.581388142776124E-2</c:v>
                </c:pt>
                <c:pt idx="2">
                  <c:v>-2.7747460637765897E-2</c:v>
                </c:pt>
                <c:pt idx="3">
                  <c:v>-2.7885675141700483E-2</c:v>
                </c:pt>
                <c:pt idx="4">
                  <c:v>-2.8413491415024167E-2</c:v>
                </c:pt>
                <c:pt idx="5">
                  <c:v>-2.8328493483102384E-2</c:v>
                </c:pt>
                <c:pt idx="6">
                  <c:v>-2.7908237353240974E-2</c:v>
                </c:pt>
                <c:pt idx="7">
                  <c:v>-2.8477427565521529E-2</c:v>
                </c:pt>
                <c:pt idx="8">
                  <c:v>-2.8551169683097566E-2</c:v>
                </c:pt>
              </c:numCache>
            </c:numRef>
          </c:val>
          <c:smooth val="1"/>
          <c:extLst>
            <c:ext xmlns:c16="http://schemas.microsoft.com/office/drawing/2014/chart" uri="{C3380CC4-5D6E-409C-BE32-E72D297353CC}">
              <c16:uniqueId val="{00000005-2477-436E-81F3-E51E98B20C77}"/>
            </c:ext>
          </c:extLst>
        </c:ser>
        <c:ser>
          <c:idx val="3"/>
          <c:order val="2"/>
          <c:tx>
            <c:strRef>
              <c:f>'Γραφήματα Ρυθ.Μ.'!$E$13</c:f>
              <c:strCache>
                <c:ptCount val="1"/>
                <c:pt idx="0">
                  <c:v>Καταναλωτική πίστη - % μεταβολή</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layout>
                <c:manualLayout>
                  <c:x val="-4.0644937442054031E-2"/>
                  <c:y val="-3.381059220677169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rebuchet MS" panose="020B0603020202020204" pitchFamily="34" charset="0"/>
                      <a:ea typeface="+mn-ea"/>
                      <a:cs typeface="+mn-cs"/>
                    </a:defRPr>
                  </a:pPr>
                  <a:endParaRPr lang="el-G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77-436E-81F3-E51E98B20C77}"/>
                </c:ext>
              </c:extLst>
            </c:dLbl>
            <c:dLbl>
              <c:idx val="8"/>
              <c:layout>
                <c:manualLayout>
                  <c:x val="-2.1671081146159402E-2"/>
                  <c:y val="-2.965224356552359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rebuchet MS" panose="020B0603020202020204" pitchFamily="34" charset="0"/>
                      <a:ea typeface="+mn-ea"/>
                      <a:cs typeface="+mn-cs"/>
                    </a:defRPr>
                  </a:pPr>
                  <a:endParaRPr lang="el-G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77-436E-81F3-E51E98B20C77}"/>
                </c:ext>
              </c:extLst>
            </c:dLbl>
            <c:spPr>
              <a:noFill/>
              <a:ln>
                <a:noFill/>
              </a:ln>
              <a:effectLst/>
            </c:spPr>
            <c:txPr>
              <a:bodyPr wrap="square" lIns="38100" tIns="19050" rIns="38100" bIns="19050" anchor="ctr">
                <a:spAutoFit/>
              </a:bodyPr>
              <a:lstStyle/>
              <a:p>
                <a:pPr>
                  <a:defRPr sz="900">
                    <a:latin typeface="Trebuchet MS" panose="020B0603020202020204" pitchFamily="34" charset="0"/>
                  </a:defRPr>
                </a:pPr>
                <a:endParaRPr lang="el-GR"/>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'Γραφήματα Ρυθ.Μ.'!$A$14:$A$22</c:f>
              <c:numCache>
                <c:formatCode>mmm\-yy</c:formatCode>
                <c:ptCount val="9"/>
                <c:pt idx="0">
                  <c:v>44197</c:v>
                </c:pt>
                <c:pt idx="1">
                  <c:v>44228</c:v>
                </c:pt>
                <c:pt idx="2">
                  <c:v>44256</c:v>
                </c:pt>
                <c:pt idx="3">
                  <c:v>44287</c:v>
                </c:pt>
                <c:pt idx="4">
                  <c:v>44317</c:v>
                </c:pt>
                <c:pt idx="5">
                  <c:v>44348</c:v>
                </c:pt>
                <c:pt idx="6">
                  <c:v>44378</c:v>
                </c:pt>
                <c:pt idx="7">
                  <c:v>44409</c:v>
                </c:pt>
                <c:pt idx="8">
                  <c:v>44440</c:v>
                </c:pt>
              </c:numCache>
            </c:numRef>
          </c:cat>
          <c:val>
            <c:numRef>
              <c:f>'Γραφήματα Ρυθ.Μ.'!$E$14:$E$22</c:f>
              <c:numCache>
                <c:formatCode>0.0%</c:formatCode>
                <c:ptCount val="9"/>
                <c:pt idx="0">
                  <c:v>-2.4758491207527732E-2</c:v>
                </c:pt>
                <c:pt idx="1">
                  <c:v>-2.5946338758979247E-2</c:v>
                </c:pt>
                <c:pt idx="2">
                  <c:v>-2.8356614015623109E-2</c:v>
                </c:pt>
                <c:pt idx="3">
                  <c:v>-2.1265934756988368E-2</c:v>
                </c:pt>
                <c:pt idx="4">
                  <c:v>-1.8481650366244821E-2</c:v>
                </c:pt>
                <c:pt idx="5">
                  <c:v>-1.7080624212268442E-2</c:v>
                </c:pt>
                <c:pt idx="6">
                  <c:v>-2.1156015604419008E-2</c:v>
                </c:pt>
                <c:pt idx="7">
                  <c:v>-2.1662743673390841E-2</c:v>
                </c:pt>
                <c:pt idx="8">
                  <c:v>-2.2664620750715986E-2</c:v>
                </c:pt>
              </c:numCache>
            </c:numRef>
          </c:val>
          <c:smooth val="1"/>
          <c:extLst>
            <c:ext xmlns:c16="http://schemas.microsoft.com/office/drawing/2014/chart" uri="{C3380CC4-5D6E-409C-BE32-E72D297353CC}">
              <c16:uniqueId val="{00000008-2477-436E-81F3-E51E98B20C77}"/>
            </c:ext>
          </c:extLst>
        </c:ser>
        <c:dLbls>
          <c:showLegendKey val="0"/>
          <c:showVal val="0"/>
          <c:showCatName val="0"/>
          <c:showSerName val="0"/>
          <c:showPercent val="0"/>
          <c:showBubbleSize val="0"/>
        </c:dLbls>
        <c:marker val="1"/>
        <c:smooth val="0"/>
        <c:axId val="1206721535"/>
        <c:axId val="1"/>
      </c:lineChart>
      <c:dateAx>
        <c:axId val="1206721535"/>
        <c:scaling>
          <c:orientation val="minMax"/>
        </c:scaling>
        <c:delete val="0"/>
        <c:axPos val="b"/>
        <c:numFmt formatCode="mmm\-yy" sourceLinked="0"/>
        <c:majorTickMark val="out"/>
        <c:minorTickMark val="none"/>
        <c:tickLblPos val="low"/>
        <c:spPr>
          <a:noFill/>
          <a:ln w="9525" cap="flat" cmpd="sng" algn="ctr">
            <a:solidFill>
              <a:schemeClr val="tx1">
                <a:lumMod val="15000"/>
                <a:lumOff val="85000"/>
              </a:schemeClr>
            </a:solidFill>
            <a:round/>
          </a:ln>
          <a:effectLst/>
        </c:spPr>
        <c:txPr>
          <a:bodyPr rot="-1800000" spcFirstLastPara="1" vertOverflow="ellipsis" wrap="square" anchor="ctr" anchorCtr="1"/>
          <a:lstStyle/>
          <a:p>
            <a:pPr>
              <a:defRPr sz="600" b="0" i="0" u="none" strike="noStrike" kern="1200" baseline="0">
                <a:solidFill>
                  <a:schemeClr val="tx1">
                    <a:lumMod val="65000"/>
                    <a:lumOff val="35000"/>
                  </a:schemeClr>
                </a:solidFill>
                <a:latin typeface="Trebuchet MS" panose="020B0603020202020204" pitchFamily="34" charset="0"/>
                <a:ea typeface="+mn-ea"/>
                <a:cs typeface="+mn-cs"/>
              </a:defRPr>
            </a:pPr>
            <a:endParaRPr lang="el-GR"/>
          </a:p>
        </c:txPr>
        <c:crossAx val="1"/>
        <c:crosses val="autoZero"/>
        <c:auto val="1"/>
        <c:lblOffset val="100"/>
        <c:baseTimeUnit val="month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rebuchet MS" panose="020B0603020202020204" pitchFamily="34" charset="0"/>
                <a:ea typeface="+mn-ea"/>
                <a:cs typeface="+mn-cs"/>
              </a:defRPr>
            </a:pPr>
            <a:endParaRPr lang="el-GR"/>
          </a:p>
        </c:txPr>
        <c:crossAx val="1206721535"/>
        <c:crosses val="autoZero"/>
        <c:crossBetween val="between"/>
      </c:valAx>
      <c:spPr>
        <a:solidFill>
          <a:sysClr val="window" lastClr="FFFFFF"/>
        </a:solidFill>
        <a:ln>
          <a:solidFill>
            <a:schemeClr val="bg2"/>
          </a:solidFill>
        </a:ln>
        <a:effectLst/>
      </c:spPr>
    </c:plotArea>
    <c:legend>
      <c:legendPos val="b"/>
      <c:layout>
        <c:manualLayout>
          <c:xMode val="edge"/>
          <c:yMode val="edge"/>
          <c:x val="1.8884365917058346E-2"/>
          <c:y val="0.84436075659797449"/>
          <c:w val="0.96694524971038864"/>
          <c:h val="0.1403429614048200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rebuchet MS" panose="020B0603020202020204" pitchFamily="34" charset="0"/>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380121760002729E-2"/>
          <c:y val="6.6808381415122992E-2"/>
          <c:w val="0.92113300128358022"/>
          <c:h val="0.71377462572720474"/>
        </c:manualLayout>
      </c:layout>
      <c:areaChart>
        <c:grouping val="stacked"/>
        <c:varyColors val="0"/>
        <c:ser>
          <c:idx val="0"/>
          <c:order val="0"/>
          <c:tx>
            <c:strRef>
              <c:f>percents!$A$9</c:f>
              <c:strCache>
                <c:ptCount val="1"/>
                <c:pt idx="0">
                  <c:v>% Μη εξυπηρετούμενα δάνεια (σύνολο)</c:v>
                </c:pt>
              </c:strCache>
            </c:strRef>
          </c:tx>
          <c:spPr>
            <a:solidFill>
              <a:sysClr val="window" lastClr="FFFFFF">
                <a:lumMod val="75000"/>
              </a:sysClr>
            </a:solidFill>
            <a:ln cmpd="dbl">
              <a:solidFill>
                <a:sysClr val="window" lastClr="FFFFFF">
                  <a:lumMod val="75000"/>
                </a:sysClr>
              </a:solidFill>
            </a:ln>
            <a:effectLst>
              <a:glow rad="139700">
                <a:schemeClr val="accent1">
                  <a:alpha val="40000"/>
                </a:schemeClr>
              </a:glow>
              <a:outerShdw blurRad="50800" dist="50800" dir="5400000" sx="98000" sy="98000" algn="ctr" rotWithShape="0">
                <a:srgbClr val="0070C0"/>
              </a:outerShdw>
            </a:effectLst>
          </c:spPr>
          <c:dLbls>
            <c:dLbl>
              <c:idx val="0"/>
              <c:layout>
                <c:manualLayout>
                  <c:x val="3.7663883996200451E-2"/>
                  <c:y val="-0.308615507483064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F0-44EC-91AE-6FC564979176}"/>
                </c:ext>
              </c:extLst>
            </c:dLbl>
            <c:dLbl>
              <c:idx val="1"/>
              <c:layout>
                <c:manualLayout>
                  <c:x val="3.2848073779078009E-2"/>
                  <c:y val="-0.312617702448210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F0-44EC-91AE-6FC564979176}"/>
                </c:ext>
              </c:extLst>
            </c:dLbl>
            <c:dLbl>
              <c:idx val="2"/>
              <c:layout>
                <c:manualLayout>
                  <c:x val="3.7327356567134103E-2"/>
                  <c:y val="-0.301318267419962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F0-44EC-91AE-6FC564979176}"/>
                </c:ext>
              </c:extLst>
            </c:dLbl>
            <c:dLbl>
              <c:idx val="3"/>
              <c:layout>
                <c:manualLayout>
                  <c:x val="3.5834262304448736E-2"/>
                  <c:y val="-0.293785310734463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F0-44EC-91AE-6FC564979176}"/>
                </c:ext>
              </c:extLst>
            </c:dLbl>
            <c:dLbl>
              <c:idx val="4"/>
              <c:layout>
                <c:manualLayout>
                  <c:x val="4.0313545092504725E-2"/>
                  <c:y val="-0.286252354048964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F0-44EC-91AE-6FC564979176}"/>
                </c:ext>
              </c:extLst>
            </c:dLbl>
            <c:dLbl>
              <c:idx val="5"/>
              <c:layout>
                <c:manualLayout>
                  <c:x val="3.5834262304448736E-2"/>
                  <c:y val="-0.274952919020715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F0-44EC-91AE-6FC564979176}"/>
                </c:ext>
              </c:extLst>
            </c:dLbl>
            <c:dLbl>
              <c:idx val="6"/>
              <c:layout>
                <c:manualLayout>
                  <c:x val="3.2848073779077898E-2"/>
                  <c:y val="-0.267419962335216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2F0-44EC-91AE-6FC564979176}"/>
                </c:ext>
              </c:extLst>
            </c:dLbl>
            <c:dLbl>
              <c:idx val="7"/>
              <c:layout>
                <c:manualLayout>
                  <c:x val="2.6875696728336444E-2"/>
                  <c:y val="-0.23728813559322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2F0-44EC-91AE-6FC564979176}"/>
                </c:ext>
              </c:extLst>
            </c:dLbl>
            <c:dLbl>
              <c:idx val="8"/>
              <c:layout>
                <c:manualLayout>
                  <c:x val="1.3437848364168168E-2"/>
                  <c:y val="-0.169491525423728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2F0-44EC-91AE-6FC564979176}"/>
                </c:ext>
              </c:extLst>
            </c:dLbl>
            <c:spPr>
              <a:solidFill>
                <a:schemeClr val="l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solidFill>
                    <a:latin typeface="Trebuchet MS" panose="020B0603020202020204" pitchFamily="34" charset="0"/>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percents!$B$8:$J$8</c:f>
              <c:numCache>
                <c:formatCode>mmm\ yyyy;@</c:formatCode>
                <c:ptCount val="9"/>
                <c:pt idx="0">
                  <c:v>43646</c:v>
                </c:pt>
                <c:pt idx="1">
                  <c:v>43738</c:v>
                </c:pt>
                <c:pt idx="2">
                  <c:v>43830</c:v>
                </c:pt>
                <c:pt idx="3">
                  <c:v>43921</c:v>
                </c:pt>
                <c:pt idx="4">
                  <c:v>44012</c:v>
                </c:pt>
                <c:pt idx="5">
                  <c:v>44104</c:v>
                </c:pt>
                <c:pt idx="6">
                  <c:v>44196</c:v>
                </c:pt>
                <c:pt idx="7">
                  <c:v>44286</c:v>
                </c:pt>
                <c:pt idx="8">
                  <c:v>44377</c:v>
                </c:pt>
              </c:numCache>
            </c:numRef>
          </c:cat>
          <c:val>
            <c:numRef>
              <c:f>percents!$B$9:$J$9</c:f>
              <c:numCache>
                <c:formatCode>0.0%</c:formatCode>
                <c:ptCount val="9"/>
                <c:pt idx="0">
                  <c:v>0.43578946512567851</c:v>
                </c:pt>
                <c:pt idx="1">
                  <c:v>0.42071785423366337</c:v>
                </c:pt>
                <c:pt idx="2">
                  <c:v>0.40617882697984997</c:v>
                </c:pt>
                <c:pt idx="3">
                  <c:v>0.37849696485217998</c:v>
                </c:pt>
                <c:pt idx="4">
                  <c:v>0.37185776602061865</c:v>
                </c:pt>
                <c:pt idx="5">
                  <c:v>0.36306869046132528</c:v>
                </c:pt>
                <c:pt idx="6">
                  <c:v>0.30067909908747026</c:v>
                </c:pt>
                <c:pt idx="7">
                  <c:v>0.30319061369523864</c:v>
                </c:pt>
                <c:pt idx="8">
                  <c:v>0.20338389310956781</c:v>
                </c:pt>
              </c:numCache>
            </c:numRef>
          </c:val>
          <c:extLst>
            <c:ext xmlns:c16="http://schemas.microsoft.com/office/drawing/2014/chart" uri="{C3380CC4-5D6E-409C-BE32-E72D297353CC}">
              <c16:uniqueId val="{00000009-62F0-44EC-91AE-6FC564979176}"/>
            </c:ext>
          </c:extLst>
        </c:ser>
        <c:dLbls>
          <c:showLegendKey val="0"/>
          <c:showVal val="0"/>
          <c:showCatName val="0"/>
          <c:showSerName val="0"/>
          <c:showPercent val="0"/>
          <c:showBubbleSize val="0"/>
        </c:dLbls>
        <c:axId val="1388800895"/>
        <c:axId val="1388807967"/>
      </c:areaChart>
      <c:barChart>
        <c:barDir val="col"/>
        <c:grouping val="clustered"/>
        <c:varyColors val="0"/>
        <c:ser>
          <c:idx val="1"/>
          <c:order val="1"/>
          <c:tx>
            <c:strRef>
              <c:f>percents!$A$10</c:f>
              <c:strCache>
                <c:ptCount val="1"/>
                <c:pt idx="0">
                  <c:v>Καταναλωτικά</c:v>
                </c:pt>
              </c:strCache>
            </c:strRef>
          </c:tx>
          <c:spPr>
            <a:solidFill>
              <a:srgbClr val="00B0F0"/>
            </a:solidFill>
            <a:ln>
              <a:solidFill>
                <a:srgbClr val="00B0F0"/>
              </a:solidFill>
            </a:ln>
            <a:effectLst/>
          </c:spPr>
          <c:invertIfNegative val="0"/>
          <c:cat>
            <c:numRef>
              <c:f>percents!$B$8:$J$8</c:f>
              <c:numCache>
                <c:formatCode>mmm\ yyyy;@</c:formatCode>
                <c:ptCount val="9"/>
                <c:pt idx="0">
                  <c:v>43646</c:v>
                </c:pt>
                <c:pt idx="1">
                  <c:v>43738</c:v>
                </c:pt>
                <c:pt idx="2">
                  <c:v>43830</c:v>
                </c:pt>
                <c:pt idx="3">
                  <c:v>43921</c:v>
                </c:pt>
                <c:pt idx="4">
                  <c:v>44012</c:v>
                </c:pt>
                <c:pt idx="5">
                  <c:v>44104</c:v>
                </c:pt>
                <c:pt idx="6">
                  <c:v>44196</c:v>
                </c:pt>
                <c:pt idx="7">
                  <c:v>44286</c:v>
                </c:pt>
                <c:pt idx="8">
                  <c:v>44377</c:v>
                </c:pt>
              </c:numCache>
            </c:numRef>
          </c:cat>
          <c:val>
            <c:numRef>
              <c:f>percents!$B$10:$J$10</c:f>
              <c:numCache>
                <c:formatCode>0.0%</c:formatCode>
                <c:ptCount val="9"/>
                <c:pt idx="0">
                  <c:v>0.52003784020080768</c:v>
                </c:pt>
                <c:pt idx="1">
                  <c:v>0.49693217539278789</c:v>
                </c:pt>
                <c:pt idx="2">
                  <c:v>0.48628813786580133</c:v>
                </c:pt>
                <c:pt idx="3">
                  <c:v>0.48396368359146202</c:v>
                </c:pt>
                <c:pt idx="4">
                  <c:v>0.48261922598577867</c:v>
                </c:pt>
                <c:pt idx="5">
                  <c:v>0.47885350667267418</c:v>
                </c:pt>
                <c:pt idx="6">
                  <c:v>0.45992749282462531</c:v>
                </c:pt>
                <c:pt idx="7">
                  <c:v>0.47347807122647301</c:v>
                </c:pt>
                <c:pt idx="8">
                  <c:v>0.3275595061863415</c:v>
                </c:pt>
              </c:numCache>
            </c:numRef>
          </c:val>
          <c:extLst>
            <c:ext xmlns:c16="http://schemas.microsoft.com/office/drawing/2014/chart" uri="{C3380CC4-5D6E-409C-BE32-E72D297353CC}">
              <c16:uniqueId val="{0000000A-62F0-44EC-91AE-6FC564979176}"/>
            </c:ext>
          </c:extLst>
        </c:ser>
        <c:ser>
          <c:idx val="2"/>
          <c:order val="2"/>
          <c:tx>
            <c:strRef>
              <c:f>percents!$A$11</c:f>
              <c:strCache>
                <c:ptCount val="1"/>
                <c:pt idx="0">
                  <c:v>Στεγαστικά</c:v>
                </c:pt>
              </c:strCache>
            </c:strRef>
          </c:tx>
          <c:spPr>
            <a:solidFill>
              <a:srgbClr val="4472C4">
                <a:lumMod val="50000"/>
              </a:srgbClr>
            </a:solidFill>
            <a:ln>
              <a:solidFill>
                <a:srgbClr val="4472C4">
                  <a:lumMod val="50000"/>
                </a:srgbClr>
              </a:solidFill>
            </a:ln>
            <a:effectLst>
              <a:outerShdw blurRad="50800" dist="50800" dir="5400000" algn="ctr" rotWithShape="0">
                <a:srgbClr val="00B050"/>
              </a:outerShdw>
            </a:effectLst>
          </c:spPr>
          <c:invertIfNegative val="0"/>
          <c:cat>
            <c:numRef>
              <c:f>percents!$B$8:$J$8</c:f>
              <c:numCache>
                <c:formatCode>mmm\ yyyy;@</c:formatCode>
                <c:ptCount val="9"/>
                <c:pt idx="0">
                  <c:v>43646</c:v>
                </c:pt>
                <c:pt idx="1">
                  <c:v>43738</c:v>
                </c:pt>
                <c:pt idx="2">
                  <c:v>43830</c:v>
                </c:pt>
                <c:pt idx="3">
                  <c:v>43921</c:v>
                </c:pt>
                <c:pt idx="4">
                  <c:v>44012</c:v>
                </c:pt>
                <c:pt idx="5">
                  <c:v>44104</c:v>
                </c:pt>
                <c:pt idx="6">
                  <c:v>44196</c:v>
                </c:pt>
                <c:pt idx="7">
                  <c:v>44286</c:v>
                </c:pt>
                <c:pt idx="8">
                  <c:v>44377</c:v>
                </c:pt>
              </c:numCache>
            </c:numRef>
          </c:cat>
          <c:val>
            <c:numRef>
              <c:f>percents!$B$11:$J$11</c:f>
              <c:numCache>
                <c:formatCode>0.0%</c:formatCode>
                <c:ptCount val="9"/>
                <c:pt idx="0">
                  <c:v>0.4309619483269248</c:v>
                </c:pt>
                <c:pt idx="1">
                  <c:v>0.43035325320994694</c:v>
                </c:pt>
                <c:pt idx="2">
                  <c:v>0.42419434712246556</c:v>
                </c:pt>
                <c:pt idx="3">
                  <c:v>0.40427301670213711</c:v>
                </c:pt>
                <c:pt idx="4">
                  <c:v>0.40023410768517548</c:v>
                </c:pt>
                <c:pt idx="5">
                  <c:v>0.39601127605066189</c:v>
                </c:pt>
                <c:pt idx="6">
                  <c:v>0.30960296680398641</c:v>
                </c:pt>
                <c:pt idx="7">
                  <c:v>0.31135358484932951</c:v>
                </c:pt>
                <c:pt idx="8">
                  <c:v>0.19320186917510404</c:v>
                </c:pt>
              </c:numCache>
            </c:numRef>
          </c:val>
          <c:extLst>
            <c:ext xmlns:c16="http://schemas.microsoft.com/office/drawing/2014/chart" uri="{C3380CC4-5D6E-409C-BE32-E72D297353CC}">
              <c16:uniqueId val="{0000000B-62F0-44EC-91AE-6FC564979176}"/>
            </c:ext>
          </c:extLst>
        </c:ser>
        <c:ser>
          <c:idx val="3"/>
          <c:order val="3"/>
          <c:tx>
            <c:strRef>
              <c:f>percents!$A$12</c:f>
              <c:strCache>
                <c:ptCount val="1"/>
                <c:pt idx="0">
                  <c:v>Επιχειρηματικά</c:v>
                </c:pt>
              </c:strCache>
            </c:strRef>
          </c:tx>
          <c:spPr>
            <a:solidFill>
              <a:srgbClr val="00B050"/>
            </a:solidFill>
            <a:ln>
              <a:solidFill>
                <a:srgbClr val="00B050"/>
              </a:solidFill>
            </a:ln>
            <a:effectLst/>
          </c:spPr>
          <c:invertIfNegative val="0"/>
          <c:cat>
            <c:numRef>
              <c:f>percents!$B$8:$J$8</c:f>
              <c:numCache>
                <c:formatCode>mmm\ yyyy;@</c:formatCode>
                <c:ptCount val="9"/>
                <c:pt idx="0">
                  <c:v>43646</c:v>
                </c:pt>
                <c:pt idx="1">
                  <c:v>43738</c:v>
                </c:pt>
                <c:pt idx="2">
                  <c:v>43830</c:v>
                </c:pt>
                <c:pt idx="3">
                  <c:v>43921</c:v>
                </c:pt>
                <c:pt idx="4">
                  <c:v>44012</c:v>
                </c:pt>
                <c:pt idx="5">
                  <c:v>44104</c:v>
                </c:pt>
                <c:pt idx="6">
                  <c:v>44196</c:v>
                </c:pt>
                <c:pt idx="7">
                  <c:v>44286</c:v>
                </c:pt>
                <c:pt idx="8">
                  <c:v>44377</c:v>
                </c:pt>
              </c:numCache>
            </c:numRef>
          </c:cat>
          <c:val>
            <c:numRef>
              <c:f>percents!$B$12:$J$12</c:f>
              <c:numCache>
                <c:formatCode>0.0%</c:formatCode>
                <c:ptCount val="9"/>
                <c:pt idx="0">
                  <c:v>0.42574879740326727</c:v>
                </c:pt>
                <c:pt idx="1">
                  <c:v>0.40366443303855221</c:v>
                </c:pt>
                <c:pt idx="2">
                  <c:v>0.38414322192609929</c:v>
                </c:pt>
                <c:pt idx="3">
                  <c:v>0.34929629693495168</c:v>
                </c:pt>
                <c:pt idx="4">
                  <c:v>0.34086553110152423</c:v>
                </c:pt>
                <c:pt idx="5">
                  <c:v>0.32967679515872289</c:v>
                </c:pt>
                <c:pt idx="6">
                  <c:v>0.27658073790141674</c:v>
                </c:pt>
                <c:pt idx="7">
                  <c:v>0.27850470987503279</c:v>
                </c:pt>
                <c:pt idx="8">
                  <c:v>0.19508412691924831</c:v>
                </c:pt>
              </c:numCache>
            </c:numRef>
          </c:val>
          <c:extLst>
            <c:ext xmlns:c16="http://schemas.microsoft.com/office/drawing/2014/chart" uri="{C3380CC4-5D6E-409C-BE32-E72D297353CC}">
              <c16:uniqueId val="{0000000C-62F0-44EC-91AE-6FC564979176}"/>
            </c:ext>
          </c:extLst>
        </c:ser>
        <c:dLbls>
          <c:showLegendKey val="0"/>
          <c:showVal val="0"/>
          <c:showCatName val="0"/>
          <c:showSerName val="0"/>
          <c:showPercent val="0"/>
          <c:showBubbleSize val="0"/>
        </c:dLbls>
        <c:gapWidth val="0"/>
        <c:axId val="1388800895"/>
        <c:axId val="1388807967"/>
      </c:barChart>
      <c:dateAx>
        <c:axId val="1388800895"/>
        <c:scaling>
          <c:orientation val="minMax"/>
        </c:scaling>
        <c:delete val="0"/>
        <c:axPos val="b"/>
        <c:majorGridlines>
          <c:spPr>
            <a:ln w="9525" cap="flat" cmpd="sng" algn="ctr">
              <a:solidFill>
                <a:schemeClr val="tx1">
                  <a:lumMod val="15000"/>
                  <a:lumOff val="85000"/>
                </a:schemeClr>
              </a:solidFill>
              <a:round/>
            </a:ln>
            <a:effectLst/>
          </c:spPr>
        </c:majorGridlines>
        <c:numFmt formatCode="mmm\ 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rebuchet MS" panose="020B0603020202020204" pitchFamily="34" charset="0"/>
                <a:ea typeface="+mn-ea"/>
                <a:cs typeface="+mn-cs"/>
              </a:defRPr>
            </a:pPr>
            <a:endParaRPr lang="el-GR"/>
          </a:p>
        </c:txPr>
        <c:crossAx val="1388807967"/>
        <c:crosses val="autoZero"/>
        <c:auto val="1"/>
        <c:lblOffset val="100"/>
        <c:baseTimeUnit val="months"/>
        <c:majorUnit val="3"/>
        <c:majorTimeUnit val="months"/>
        <c:minorUnit val="3"/>
        <c:minorTimeUnit val="months"/>
      </c:dateAx>
      <c:valAx>
        <c:axId val="13888079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rebuchet MS" panose="020B0603020202020204" pitchFamily="34" charset="0"/>
                <a:ea typeface="+mn-ea"/>
                <a:cs typeface="+mn-cs"/>
              </a:defRPr>
            </a:pPr>
            <a:endParaRPr lang="el-GR"/>
          </a:p>
        </c:txPr>
        <c:crossAx val="1388800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rebuchet MS" panose="020B0603020202020204" pitchFamily="34" charset="0"/>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10764477225155"/>
          <c:y val="7.2799496554158807E-2"/>
          <c:w val="0.81476112163194792"/>
          <c:h val="0.81678715599146601"/>
        </c:manualLayout>
      </c:layout>
      <c:barChart>
        <c:barDir val="col"/>
        <c:grouping val="clustered"/>
        <c:varyColors val="0"/>
        <c:ser>
          <c:idx val="0"/>
          <c:order val="0"/>
          <c:tx>
            <c:strRef>
              <c:f>Φύλλο1!$B$3</c:f>
              <c:strCache>
                <c:ptCount val="1"/>
                <c:pt idx="0">
                  <c:v>ΠΡΩΤΟΓΕΝΕΣ ΕΛΛΕΙΜΜΑ </c:v>
                </c:pt>
              </c:strCache>
            </c:strRef>
          </c:tx>
          <c:spPr>
            <a:solidFill>
              <a:schemeClr val="accent1"/>
            </a:solidFill>
            <a:ln>
              <a:noFill/>
            </a:ln>
            <a:effectLst/>
          </c:spPr>
          <c:invertIfNegative val="0"/>
          <c:cat>
            <c:strRef>
              <c:f>Φύλλο1!$A$4:$A$12</c:f>
              <c:strCache>
                <c:ptCount val="9"/>
                <c:pt idx="0">
                  <c:v>ΙΑΝΟΥΑΡΙΟΣ </c:v>
                </c:pt>
                <c:pt idx="1">
                  <c:v>ΦΕΒΡΟΥΑΡΙΟΣ</c:v>
                </c:pt>
                <c:pt idx="2">
                  <c:v>ΜΑΡΤΙΟΣ </c:v>
                </c:pt>
                <c:pt idx="3">
                  <c:v>ΑΠΡΙΛΙΟΣ </c:v>
                </c:pt>
                <c:pt idx="4">
                  <c:v>ΜΑΙΟΣ</c:v>
                </c:pt>
                <c:pt idx="5">
                  <c:v>ΙΟΥΝΙΟΣ</c:v>
                </c:pt>
                <c:pt idx="6">
                  <c:v>ΙΟΥΛΙΟΣ</c:v>
                </c:pt>
                <c:pt idx="7">
                  <c:v>ΑΥΓΟΥΣΤΟΣ</c:v>
                </c:pt>
                <c:pt idx="8">
                  <c:v>ΣΕΠΤΕΜΒΡΙΟΣ</c:v>
                </c:pt>
              </c:strCache>
            </c:strRef>
          </c:cat>
          <c:val>
            <c:numRef>
              <c:f>Φύλλο1!$B$4:$B$12</c:f>
              <c:numCache>
                <c:formatCode>#,##0</c:formatCode>
                <c:ptCount val="9"/>
                <c:pt idx="0">
                  <c:v>-720</c:v>
                </c:pt>
                <c:pt idx="1">
                  <c:v>-1985</c:v>
                </c:pt>
                <c:pt idx="2">
                  <c:v>-4065</c:v>
                </c:pt>
                <c:pt idx="3">
                  <c:v>-6661</c:v>
                </c:pt>
                <c:pt idx="4">
                  <c:v>-8812</c:v>
                </c:pt>
                <c:pt idx="5">
                  <c:v>-8924</c:v>
                </c:pt>
                <c:pt idx="6">
                  <c:v>-9551</c:v>
                </c:pt>
                <c:pt idx="7">
                  <c:v>-6157</c:v>
                </c:pt>
                <c:pt idx="8">
                  <c:v>-5744</c:v>
                </c:pt>
              </c:numCache>
            </c:numRef>
          </c:val>
          <c:extLst>
            <c:ext xmlns:c16="http://schemas.microsoft.com/office/drawing/2014/chart" uri="{C3380CC4-5D6E-409C-BE32-E72D297353CC}">
              <c16:uniqueId val="{00000000-34A8-4746-BBB2-A0A6BA5B934D}"/>
            </c:ext>
          </c:extLst>
        </c:ser>
        <c:dLbls>
          <c:showLegendKey val="0"/>
          <c:showVal val="0"/>
          <c:showCatName val="0"/>
          <c:showSerName val="0"/>
          <c:showPercent val="0"/>
          <c:showBubbleSize val="0"/>
        </c:dLbls>
        <c:gapWidth val="219"/>
        <c:overlap val="-27"/>
        <c:axId val="804190015"/>
        <c:axId val="804195007"/>
      </c:barChart>
      <c:lineChart>
        <c:grouping val="standard"/>
        <c:varyColors val="0"/>
        <c:ser>
          <c:idx val="1"/>
          <c:order val="1"/>
          <c:tx>
            <c:strRef>
              <c:f>Φύλλο1!$C$3</c:f>
              <c:strCache>
                <c:ptCount val="1"/>
                <c:pt idx="0">
                  <c:v>ΠΟΣΟΣΤΟ ΤΟΥ ΑΕΠ </c:v>
                </c:pt>
              </c:strCache>
            </c:strRef>
          </c:tx>
          <c:spPr>
            <a:ln w="28575" cap="rnd">
              <a:solidFill>
                <a:srgbClr val="00B050"/>
              </a:solidFill>
              <a:round/>
            </a:ln>
            <a:effectLst/>
          </c:spPr>
          <c:marker>
            <c:symbol val="square"/>
            <c:size val="5"/>
            <c:spPr>
              <a:solidFill>
                <a:schemeClr val="accent6">
                  <a:lumMod val="75000"/>
                </a:schemeClr>
              </a:solidFill>
              <a:ln w="9525">
                <a:solidFill>
                  <a:schemeClr val="accent6">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el-G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Φύλλο1!$A$4:$A$12</c:f>
              <c:strCache>
                <c:ptCount val="9"/>
                <c:pt idx="0">
                  <c:v>ΙΑΝΟΥΑΡΙΟΣ </c:v>
                </c:pt>
                <c:pt idx="1">
                  <c:v>ΦΕΒΡΟΥΑΡΙΟΣ</c:v>
                </c:pt>
                <c:pt idx="2">
                  <c:v>ΜΑΡΤΙΟΣ </c:v>
                </c:pt>
                <c:pt idx="3">
                  <c:v>ΑΠΡΙΛΙΟΣ </c:v>
                </c:pt>
                <c:pt idx="4">
                  <c:v>ΜΑΙΟΣ</c:v>
                </c:pt>
                <c:pt idx="5">
                  <c:v>ΙΟΥΝΙΟΣ</c:v>
                </c:pt>
                <c:pt idx="6">
                  <c:v>ΙΟΥΛΙΟΣ</c:v>
                </c:pt>
                <c:pt idx="7">
                  <c:v>ΑΥΓΟΥΣΤΟΣ</c:v>
                </c:pt>
                <c:pt idx="8">
                  <c:v>ΣΕΠΤΕΜΒΡΙΟΣ</c:v>
                </c:pt>
              </c:strCache>
            </c:strRef>
          </c:cat>
          <c:val>
            <c:numRef>
              <c:f>Φύλλο1!$C$4:$C$12</c:f>
              <c:numCache>
                <c:formatCode>0.0%</c:formatCode>
                <c:ptCount val="9"/>
                <c:pt idx="0">
                  <c:v>-4.1838815961508288E-3</c:v>
                </c:pt>
                <c:pt idx="1">
                  <c:v>-1.1534729122721382E-2</c:v>
                </c:pt>
                <c:pt idx="2">
                  <c:v>-2.3621498178268221E-2</c:v>
                </c:pt>
                <c:pt idx="3">
                  <c:v>-3.8706715711056487E-2</c:v>
                </c:pt>
                <c:pt idx="4">
                  <c:v>-5.1206061979557092E-2</c:v>
                </c:pt>
                <c:pt idx="5">
                  <c:v>-5.1856888005624997E-2</c:v>
                </c:pt>
                <c:pt idx="6">
                  <c:v>-5.5500351562273009E-2</c:v>
                </c:pt>
                <c:pt idx="7">
                  <c:v>-3.5777998593750908E-2</c:v>
                </c:pt>
                <c:pt idx="8">
                  <c:v>-3.3378077622625499E-2</c:v>
                </c:pt>
              </c:numCache>
            </c:numRef>
          </c:val>
          <c:smooth val="0"/>
          <c:extLst>
            <c:ext xmlns:c16="http://schemas.microsoft.com/office/drawing/2014/chart" uri="{C3380CC4-5D6E-409C-BE32-E72D297353CC}">
              <c16:uniqueId val="{00000001-34A8-4746-BBB2-A0A6BA5B934D}"/>
            </c:ext>
          </c:extLst>
        </c:ser>
        <c:dLbls>
          <c:showLegendKey val="0"/>
          <c:showVal val="0"/>
          <c:showCatName val="0"/>
          <c:showSerName val="0"/>
          <c:showPercent val="0"/>
          <c:showBubbleSize val="0"/>
        </c:dLbls>
        <c:marker val="1"/>
        <c:smooth val="0"/>
        <c:axId val="804191263"/>
        <c:axId val="804192095"/>
      </c:lineChart>
      <c:catAx>
        <c:axId val="804190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l-GR"/>
          </a:p>
        </c:txPr>
        <c:crossAx val="804195007"/>
        <c:crosses val="autoZero"/>
        <c:auto val="1"/>
        <c:lblAlgn val="ctr"/>
        <c:lblOffset val="100"/>
        <c:noMultiLvlLbl val="0"/>
      </c:catAx>
      <c:valAx>
        <c:axId val="8041950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804190015"/>
        <c:crosses val="autoZero"/>
        <c:crossBetween val="between"/>
      </c:valAx>
      <c:valAx>
        <c:axId val="804192095"/>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804191263"/>
        <c:crosses val="max"/>
        <c:crossBetween val="between"/>
      </c:valAx>
      <c:catAx>
        <c:axId val="804191263"/>
        <c:scaling>
          <c:orientation val="minMax"/>
        </c:scaling>
        <c:delete val="1"/>
        <c:axPos val="b"/>
        <c:numFmt formatCode="General" sourceLinked="1"/>
        <c:majorTickMark val="none"/>
        <c:minorTickMark val="none"/>
        <c:tickLblPos val="nextTo"/>
        <c:crossAx val="804192095"/>
        <c:crosses val="autoZero"/>
        <c:auto val="1"/>
        <c:lblAlgn val="ctr"/>
        <c:lblOffset val="100"/>
        <c:noMultiLvlLbl val="0"/>
      </c:catAx>
      <c:spPr>
        <a:noFill/>
        <a:ln>
          <a:noFill/>
        </a:ln>
        <a:effectLst/>
      </c:spPr>
    </c:plotArea>
    <c:legend>
      <c:legendPos val="b"/>
      <c:layout>
        <c:manualLayout>
          <c:xMode val="edge"/>
          <c:yMode val="edge"/>
          <c:x val="0.22752533306754377"/>
          <c:y val="0.92251415941428372"/>
          <c:w val="0.54494933386491251"/>
          <c:h val="6.57899341529677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Φύλλο2!$C$10</c:f>
              <c:strCache>
                <c:ptCount val="1"/>
                <c:pt idx="0">
                  <c:v>Ευρωζώνη</c:v>
                </c:pt>
              </c:strCache>
            </c:strRef>
          </c:tx>
          <c:spPr>
            <a:solidFill>
              <a:srgbClr val="92D050"/>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1BF9-4BF8-B431-3CB9E4C99ECB}"/>
              </c:ext>
            </c:extLst>
          </c:dPt>
          <c:dLbls>
            <c:dLbl>
              <c:idx val="0"/>
              <c:layout>
                <c:manualLayout>
                  <c:x val="-1.2099473038244977E-17"/>
                  <c:y val="-9.6828854998790084E-3"/>
                </c:manualLayout>
              </c:layout>
              <c:spPr>
                <a:solidFill>
                  <a:srgbClr val="70AD47">
                    <a:lumMod val="20000"/>
                    <a:lumOff val="80000"/>
                  </a:srgbClr>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F9-4BF8-B431-3CB9E4C99ECB}"/>
                </c:ext>
              </c:extLst>
            </c:dLbl>
            <c:spPr>
              <a:solidFill>
                <a:srgbClr val="70AD47">
                  <a:lumMod val="20000"/>
                  <a:lumOff val="80000"/>
                </a:srgb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Φύλλο2!$B$11:$B$21</c:f>
              <c:strCache>
                <c:ptCount val="11"/>
                <c:pt idx="0">
                  <c:v>ΣΥΝΟΛΟ</c:v>
                </c:pt>
                <c:pt idx="1">
                  <c:v>Γεωργία…</c:v>
                </c:pt>
                <c:pt idx="2">
                  <c:v>Βιομηχανία (πλην κατασκευών)</c:v>
                </c:pt>
                <c:pt idx="3">
                  <c:v>Κατασκευές</c:v>
                </c:pt>
                <c:pt idx="4">
                  <c:v>Εμπόριο, μεταφορές, διαμονή &amp; εστίαση</c:v>
                </c:pt>
                <c:pt idx="5">
                  <c:v>Πληροφορίες &amp; τηλεπικοινωνίες</c:v>
                </c:pt>
                <c:pt idx="6">
                  <c:v>Τραπεζικές &amp; ασφ. δραστηριότητες</c:v>
                </c:pt>
                <c:pt idx="7">
                  <c:v>Διαχείριση ακίνησης περιουσίας</c:v>
                </c:pt>
                <c:pt idx="8">
                  <c:v>Επιστημονικές δραστηριότητες</c:v>
                </c:pt>
                <c:pt idx="9">
                  <c:v>Δημόσια Διοίκηση, Εκπαίδευση, Υγεία, Άμυνα, Ασφάλεια</c:v>
                </c:pt>
                <c:pt idx="10">
                  <c:v>Τέχνες &amp; Πολιτισμός</c:v>
                </c:pt>
              </c:strCache>
            </c:strRef>
          </c:cat>
          <c:val>
            <c:numRef>
              <c:f>Φύλλο2!$C$11:$C$21</c:f>
              <c:numCache>
                <c:formatCode>0.0%</c:formatCode>
                <c:ptCount val="11"/>
                <c:pt idx="0">
                  <c:v>6.2048078474985724E-2</c:v>
                </c:pt>
                <c:pt idx="1">
                  <c:v>-1.1559313711527297E-2</c:v>
                </c:pt>
                <c:pt idx="2">
                  <c:v>0.12033681628334714</c:v>
                </c:pt>
                <c:pt idx="3">
                  <c:v>9.2291590215333175E-2</c:v>
                </c:pt>
                <c:pt idx="4">
                  <c:v>5.7857866258831159E-2</c:v>
                </c:pt>
                <c:pt idx="5">
                  <c:v>7.5754877170072676E-2</c:v>
                </c:pt>
                <c:pt idx="6">
                  <c:v>3.1072607630091564E-2</c:v>
                </c:pt>
                <c:pt idx="7">
                  <c:v>1.7144794853046097E-2</c:v>
                </c:pt>
                <c:pt idx="8">
                  <c:v>5.9575472962489107E-2</c:v>
                </c:pt>
                <c:pt idx="9">
                  <c:v>5.2155821536939317E-2</c:v>
                </c:pt>
                <c:pt idx="10">
                  <c:v>-2.4388476526709835E-2</c:v>
                </c:pt>
              </c:numCache>
            </c:numRef>
          </c:val>
          <c:extLst>
            <c:ext xmlns:c16="http://schemas.microsoft.com/office/drawing/2014/chart" uri="{C3380CC4-5D6E-409C-BE32-E72D297353CC}">
              <c16:uniqueId val="{00000002-1BF9-4BF8-B431-3CB9E4C99ECB}"/>
            </c:ext>
          </c:extLst>
        </c:ser>
        <c:ser>
          <c:idx val="1"/>
          <c:order val="1"/>
          <c:tx>
            <c:strRef>
              <c:f>Φύλλο2!$D$10</c:f>
              <c:strCache>
                <c:ptCount val="1"/>
                <c:pt idx="0">
                  <c:v>Ελλάδα</c:v>
                </c:pt>
              </c:strCache>
            </c:strRef>
          </c:tx>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4-1BF9-4BF8-B431-3CB9E4C99ECB}"/>
              </c:ext>
            </c:extLst>
          </c:dPt>
          <c:dLbls>
            <c:dLbl>
              <c:idx val="0"/>
              <c:layout>
                <c:manualLayout>
                  <c:x val="3.2306329976968272E-2"/>
                  <c:y val="3.1610427781494635E-3"/>
                </c:manualLayout>
              </c:layout>
              <c:spPr>
                <a:solidFill>
                  <a:srgbClr val="4472C4">
                    <a:lumMod val="20000"/>
                    <a:lumOff val="80000"/>
                  </a:srgbClr>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F9-4BF8-B431-3CB9E4C99ECB}"/>
                </c:ext>
              </c:extLst>
            </c:dLbl>
            <c:dLbl>
              <c:idx val="2"/>
              <c:layout>
                <c:manualLayout>
                  <c:x val="2.3504273504273424E-2"/>
                  <c:y val="-2.2686760654675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F9-4BF8-B431-3CB9E4C99ECB}"/>
                </c:ext>
              </c:extLst>
            </c:dLbl>
            <c:dLbl>
              <c:idx val="3"/>
              <c:layout>
                <c:manualLayout>
                  <c:x val="4.273504273504352E-3"/>
                  <c:y val="-1.2963863231242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F9-4BF8-B431-3CB9E4C99ECB}"/>
                </c:ext>
              </c:extLst>
            </c:dLbl>
            <c:dLbl>
              <c:idx val="9"/>
              <c:layout>
                <c:manualLayout>
                  <c:x val="1.0683760683760528E-2"/>
                  <c:y val="-2.2686760654675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F9-4BF8-B431-3CB9E4C99ECB}"/>
                </c:ext>
              </c:extLst>
            </c:dLbl>
            <c:dLbl>
              <c:idx val="10"/>
              <c:layout>
                <c:manualLayout>
                  <c:x val="4.2735042735041169E-3"/>
                  <c:y val="-4.8614487117160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BF9-4BF8-B431-3CB9E4C99ECB}"/>
                </c:ext>
              </c:extLst>
            </c:dLbl>
            <c:spPr>
              <a:solidFill>
                <a:srgbClr val="4472C4">
                  <a:lumMod val="20000"/>
                  <a:lumOff val="8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Φύλλο2!$B$11:$B$21</c:f>
              <c:strCache>
                <c:ptCount val="11"/>
                <c:pt idx="0">
                  <c:v>ΣΥΝΟΛΟ</c:v>
                </c:pt>
                <c:pt idx="1">
                  <c:v>Γεωργία…</c:v>
                </c:pt>
                <c:pt idx="2">
                  <c:v>Βιομηχανία (πλην κατασκευών)</c:v>
                </c:pt>
                <c:pt idx="3">
                  <c:v>Κατασκευές</c:v>
                </c:pt>
                <c:pt idx="4">
                  <c:v>Εμπόριο, μεταφορές, διαμονή &amp; εστίαση</c:v>
                </c:pt>
                <c:pt idx="5">
                  <c:v>Πληροφορίες &amp; τηλεπικοινωνίες</c:v>
                </c:pt>
                <c:pt idx="6">
                  <c:v>Τραπεζικές &amp; ασφ. δραστηριότητες</c:v>
                </c:pt>
                <c:pt idx="7">
                  <c:v>Διαχείριση ακίνησης περιουσίας</c:v>
                </c:pt>
                <c:pt idx="8">
                  <c:v>Επιστημονικές δραστηριότητες</c:v>
                </c:pt>
                <c:pt idx="9">
                  <c:v>Δημόσια Διοίκηση, Εκπαίδευση, Υγεία, Άμυνα, Ασφάλεια</c:v>
                </c:pt>
                <c:pt idx="10">
                  <c:v>Τέχνες &amp; Πολιτισμός</c:v>
                </c:pt>
              </c:strCache>
            </c:strRef>
          </c:cat>
          <c:val>
            <c:numRef>
              <c:f>Φύλλο2!$D$11:$D$21</c:f>
              <c:numCache>
                <c:formatCode>0.0%</c:formatCode>
                <c:ptCount val="11"/>
                <c:pt idx="0">
                  <c:v>6.0222572107380801E-2</c:v>
                </c:pt>
                <c:pt idx="1">
                  <c:v>2.1283680661542181E-2</c:v>
                </c:pt>
                <c:pt idx="2">
                  <c:v>0.11473650817347147</c:v>
                </c:pt>
                <c:pt idx="3">
                  <c:v>9.8958333333333259E-2</c:v>
                </c:pt>
                <c:pt idx="4">
                  <c:v>0.12195609057352219</c:v>
                </c:pt>
                <c:pt idx="5">
                  <c:v>0.11720594361894165</c:v>
                </c:pt>
                <c:pt idx="6">
                  <c:v>-4.046168147077045E-2</c:v>
                </c:pt>
                <c:pt idx="7">
                  <c:v>6.7854418812152151E-3</c:v>
                </c:pt>
                <c:pt idx="8">
                  <c:v>0.12759010829157913</c:v>
                </c:pt>
                <c:pt idx="9">
                  <c:v>3.2768857190078382E-2</c:v>
                </c:pt>
                <c:pt idx="10">
                  <c:v>-2.083652520300272E-2</c:v>
                </c:pt>
              </c:numCache>
            </c:numRef>
          </c:val>
          <c:extLst>
            <c:ext xmlns:c16="http://schemas.microsoft.com/office/drawing/2014/chart" uri="{C3380CC4-5D6E-409C-BE32-E72D297353CC}">
              <c16:uniqueId val="{00000009-1BF9-4BF8-B431-3CB9E4C99ECB}"/>
            </c:ext>
          </c:extLst>
        </c:ser>
        <c:dLbls>
          <c:showLegendKey val="0"/>
          <c:showVal val="0"/>
          <c:showCatName val="0"/>
          <c:showSerName val="0"/>
          <c:showPercent val="0"/>
          <c:showBubbleSize val="0"/>
        </c:dLbls>
        <c:gapWidth val="45"/>
        <c:axId val="323074511"/>
        <c:axId val="323074927"/>
      </c:barChart>
      <c:catAx>
        <c:axId val="323074511"/>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l-GR"/>
          </a:p>
        </c:txPr>
        <c:crossAx val="323074927"/>
        <c:crosses val="autoZero"/>
        <c:auto val="1"/>
        <c:lblAlgn val="ctr"/>
        <c:lblOffset val="100"/>
        <c:noMultiLvlLbl val="0"/>
      </c:catAx>
      <c:valAx>
        <c:axId val="323074927"/>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23074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71905060107382"/>
          <c:y val="0.10566876403784289"/>
          <c:w val="0.89728098081699514"/>
          <c:h val="0.54318242565255315"/>
        </c:manualLayout>
      </c:layout>
      <c:barChart>
        <c:barDir val="col"/>
        <c:grouping val="clustered"/>
        <c:varyColors val="0"/>
        <c:ser>
          <c:idx val="0"/>
          <c:order val="0"/>
          <c:tx>
            <c:strRef>
              <c:f>'Ληξιπρόθεσμες Οφειλές'!$B$27</c:f>
              <c:strCache>
                <c:ptCount val="1"/>
                <c:pt idx="0">
                  <c:v>ΚΠ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'Ληξιπρόθεσμες Οφειλές'!$C$26:$F$26</c:f>
              <c:strCache>
                <c:ptCount val="4"/>
                <c:pt idx="0">
                  <c:v>Δεκέμβριος 2019</c:v>
                </c:pt>
                <c:pt idx="1">
                  <c:v>Δεκέμβριος 2020</c:v>
                </c:pt>
                <c:pt idx="2">
                  <c:v> Αύγουστος 2021</c:v>
                </c:pt>
                <c:pt idx="3">
                  <c:v>Σεπτέμβριος 2021</c:v>
                </c:pt>
              </c:strCache>
            </c:strRef>
          </c:cat>
          <c:val>
            <c:numRef>
              <c:f>'Ληξιπρόθεσμες Οφειλές'!$C$27:$F$27</c:f>
              <c:numCache>
                <c:formatCode>General</c:formatCode>
                <c:ptCount val="4"/>
                <c:pt idx="0">
                  <c:v>55</c:v>
                </c:pt>
                <c:pt idx="1">
                  <c:v>30</c:v>
                </c:pt>
                <c:pt idx="2">
                  <c:v>47</c:v>
                </c:pt>
                <c:pt idx="3">
                  <c:v>71</c:v>
                </c:pt>
              </c:numCache>
            </c:numRef>
          </c:val>
          <c:extLst>
            <c:ext xmlns:c16="http://schemas.microsoft.com/office/drawing/2014/chart" uri="{C3380CC4-5D6E-409C-BE32-E72D297353CC}">
              <c16:uniqueId val="{00000000-3896-4229-A4D8-AA6A20A0B47F}"/>
            </c:ext>
          </c:extLst>
        </c:ser>
        <c:ser>
          <c:idx val="1"/>
          <c:order val="1"/>
          <c:tx>
            <c:strRef>
              <c:f>'Ληξιπρόθεσμες Οφειλές'!$B$28</c:f>
              <c:strCache>
                <c:ptCount val="1"/>
                <c:pt idx="0">
                  <c:v>ΝΠ</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'Ληξιπρόθεσμες Οφειλές'!$C$26:$F$26</c:f>
              <c:strCache>
                <c:ptCount val="4"/>
                <c:pt idx="0">
                  <c:v>Δεκέμβριος 2019</c:v>
                </c:pt>
                <c:pt idx="1">
                  <c:v>Δεκέμβριος 2020</c:v>
                </c:pt>
                <c:pt idx="2">
                  <c:v> Αύγουστος 2021</c:v>
                </c:pt>
                <c:pt idx="3">
                  <c:v>Σεπτέμβριος 2021</c:v>
                </c:pt>
              </c:strCache>
            </c:strRef>
          </c:cat>
          <c:val>
            <c:numRef>
              <c:f>'Ληξιπρόθεσμες Οφειλές'!$C$28:$F$28</c:f>
              <c:numCache>
                <c:formatCode>General</c:formatCode>
                <c:ptCount val="4"/>
                <c:pt idx="0">
                  <c:v>243</c:v>
                </c:pt>
                <c:pt idx="1">
                  <c:v>195</c:v>
                </c:pt>
                <c:pt idx="2">
                  <c:v>168</c:v>
                </c:pt>
                <c:pt idx="3">
                  <c:v>174</c:v>
                </c:pt>
              </c:numCache>
            </c:numRef>
          </c:val>
          <c:extLst>
            <c:ext xmlns:c16="http://schemas.microsoft.com/office/drawing/2014/chart" uri="{C3380CC4-5D6E-409C-BE32-E72D297353CC}">
              <c16:uniqueId val="{00000001-3896-4229-A4D8-AA6A20A0B47F}"/>
            </c:ext>
          </c:extLst>
        </c:ser>
        <c:ser>
          <c:idx val="2"/>
          <c:order val="2"/>
          <c:tx>
            <c:strRef>
              <c:f>'Ληξιπρόθεσμες Οφειλές'!$B$29</c:f>
              <c:strCache>
                <c:ptCount val="1"/>
                <c:pt idx="0">
                  <c:v>ΟΤΑ</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'Ληξιπρόθεσμες Οφειλές'!$C$26:$F$26</c:f>
              <c:strCache>
                <c:ptCount val="4"/>
                <c:pt idx="0">
                  <c:v>Δεκέμβριος 2019</c:v>
                </c:pt>
                <c:pt idx="1">
                  <c:v>Δεκέμβριος 2020</c:v>
                </c:pt>
                <c:pt idx="2">
                  <c:v> Αύγουστος 2021</c:v>
                </c:pt>
                <c:pt idx="3">
                  <c:v>Σεπτέμβριος 2021</c:v>
                </c:pt>
              </c:strCache>
            </c:strRef>
          </c:cat>
          <c:val>
            <c:numRef>
              <c:f>'Ληξιπρόθεσμες Οφειλές'!$C$29:$F$29</c:f>
              <c:numCache>
                <c:formatCode>General</c:formatCode>
                <c:ptCount val="4"/>
                <c:pt idx="0">
                  <c:v>176</c:v>
                </c:pt>
                <c:pt idx="1">
                  <c:v>120</c:v>
                </c:pt>
                <c:pt idx="2">
                  <c:v>123</c:v>
                </c:pt>
                <c:pt idx="3">
                  <c:v>109</c:v>
                </c:pt>
              </c:numCache>
            </c:numRef>
          </c:val>
          <c:extLst>
            <c:ext xmlns:c16="http://schemas.microsoft.com/office/drawing/2014/chart" uri="{C3380CC4-5D6E-409C-BE32-E72D297353CC}">
              <c16:uniqueId val="{00000002-3896-4229-A4D8-AA6A20A0B47F}"/>
            </c:ext>
          </c:extLst>
        </c:ser>
        <c:ser>
          <c:idx val="3"/>
          <c:order val="3"/>
          <c:tx>
            <c:strRef>
              <c:f>'Ληξιπρόθεσμες Οφειλές'!$B$30</c:f>
              <c:strCache>
                <c:ptCount val="1"/>
                <c:pt idx="0">
                  <c:v>ΟΚΑ</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'Ληξιπρόθεσμες Οφειλές'!$C$26:$F$26</c:f>
              <c:strCache>
                <c:ptCount val="4"/>
                <c:pt idx="0">
                  <c:v>Δεκέμβριος 2019</c:v>
                </c:pt>
                <c:pt idx="1">
                  <c:v>Δεκέμβριος 2020</c:v>
                </c:pt>
                <c:pt idx="2">
                  <c:v> Αύγουστος 2021</c:v>
                </c:pt>
                <c:pt idx="3">
                  <c:v>Σεπτέμβριος 2021</c:v>
                </c:pt>
              </c:strCache>
            </c:strRef>
          </c:cat>
          <c:val>
            <c:numRef>
              <c:f>'Ληξιπρόθεσμες Οφειλές'!$C$30:$F$30</c:f>
              <c:numCache>
                <c:formatCode>#,##0</c:formatCode>
                <c:ptCount val="4"/>
                <c:pt idx="0">
                  <c:v>506</c:v>
                </c:pt>
                <c:pt idx="1">
                  <c:v>356</c:v>
                </c:pt>
                <c:pt idx="2">
                  <c:v>494</c:v>
                </c:pt>
                <c:pt idx="3">
                  <c:v>483</c:v>
                </c:pt>
              </c:numCache>
            </c:numRef>
          </c:val>
          <c:extLst>
            <c:ext xmlns:c16="http://schemas.microsoft.com/office/drawing/2014/chart" uri="{C3380CC4-5D6E-409C-BE32-E72D297353CC}">
              <c16:uniqueId val="{00000003-3896-4229-A4D8-AA6A20A0B47F}"/>
            </c:ext>
          </c:extLst>
        </c:ser>
        <c:ser>
          <c:idx val="4"/>
          <c:order val="4"/>
          <c:tx>
            <c:strRef>
              <c:f>'Ληξιπρόθεσμες Οφειλές'!$B$31</c:f>
              <c:strCache>
                <c:ptCount val="1"/>
                <c:pt idx="0">
                  <c:v>Νοσοκομεία</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'Ληξιπρόθεσμες Οφειλές'!$C$26:$F$26</c:f>
              <c:strCache>
                <c:ptCount val="4"/>
                <c:pt idx="0">
                  <c:v>Δεκέμβριος 2019</c:v>
                </c:pt>
                <c:pt idx="1">
                  <c:v>Δεκέμβριος 2020</c:v>
                </c:pt>
                <c:pt idx="2">
                  <c:v> Αύγουστος 2021</c:v>
                </c:pt>
                <c:pt idx="3">
                  <c:v>Σεπτέμβριος 2021</c:v>
                </c:pt>
              </c:strCache>
            </c:strRef>
          </c:cat>
          <c:val>
            <c:numRef>
              <c:f>'Ληξιπρόθεσμες Οφειλές'!$C$31:$F$31</c:f>
              <c:numCache>
                <c:formatCode>General</c:formatCode>
                <c:ptCount val="4"/>
                <c:pt idx="0">
                  <c:v>344</c:v>
                </c:pt>
                <c:pt idx="1">
                  <c:v>502</c:v>
                </c:pt>
                <c:pt idx="2">
                  <c:v>968</c:v>
                </c:pt>
                <c:pt idx="3">
                  <c:v>962</c:v>
                </c:pt>
              </c:numCache>
            </c:numRef>
          </c:val>
          <c:extLst>
            <c:ext xmlns:c16="http://schemas.microsoft.com/office/drawing/2014/chart" uri="{C3380CC4-5D6E-409C-BE32-E72D297353CC}">
              <c16:uniqueId val="{00000004-3896-4229-A4D8-AA6A20A0B47F}"/>
            </c:ext>
          </c:extLst>
        </c:ser>
        <c:ser>
          <c:idx val="5"/>
          <c:order val="5"/>
          <c:tx>
            <c:strRef>
              <c:f>'Ληξιπρόθεσμες Οφειλές'!$B$32</c:f>
              <c:strCache>
                <c:ptCount val="1"/>
                <c:pt idx="0">
                  <c:v>Εκκρεμείς Επιστροφές Φόρων</c:v>
                </c:pt>
              </c:strCache>
            </c:strRef>
          </c:tx>
          <c:spPr>
            <a:solidFill>
              <a:schemeClr val="bg2">
                <a:lumMod val="75000"/>
              </a:schemeClr>
            </a:solidFill>
            <a:ln>
              <a:noFill/>
            </a:ln>
            <a:effectLst/>
          </c:spPr>
          <c:invertIfNegative val="0"/>
          <c:dLbls>
            <c:numFmt formatCode="General" sourceLinked="0"/>
            <c:spPr>
              <a:noFill/>
              <a:ln>
                <a:noFill/>
              </a:ln>
              <a:effectLst/>
            </c:spPr>
            <c:txPr>
              <a:bodyPr rot="5400000" spcFirstLastPara="1" vertOverflow="ellipsis" wrap="square" lIns="38100" tIns="19050" rIns="38100" bIns="19050" anchor="ctr" anchorCtr="0">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'Ληξιπρόθεσμες Οφειλές'!$C$26:$F$26</c:f>
              <c:strCache>
                <c:ptCount val="4"/>
                <c:pt idx="0">
                  <c:v>Δεκέμβριος 2019</c:v>
                </c:pt>
                <c:pt idx="1">
                  <c:v>Δεκέμβριος 2020</c:v>
                </c:pt>
                <c:pt idx="2">
                  <c:v> Αύγουστος 2021</c:v>
                </c:pt>
                <c:pt idx="3">
                  <c:v>Σεπτέμβριος 2021</c:v>
                </c:pt>
              </c:strCache>
            </c:strRef>
          </c:cat>
          <c:val>
            <c:numRef>
              <c:f>'Ληξιπρόθεσμες Οφειλές'!$C$32:$F$32</c:f>
              <c:numCache>
                <c:formatCode>General</c:formatCode>
                <c:ptCount val="4"/>
                <c:pt idx="0">
                  <c:v>612</c:v>
                </c:pt>
                <c:pt idx="1">
                  <c:v>636</c:v>
                </c:pt>
                <c:pt idx="2">
                  <c:v>711</c:v>
                </c:pt>
                <c:pt idx="3">
                  <c:v>883</c:v>
                </c:pt>
              </c:numCache>
            </c:numRef>
          </c:val>
          <c:extLst>
            <c:ext xmlns:c16="http://schemas.microsoft.com/office/drawing/2014/chart" uri="{C3380CC4-5D6E-409C-BE32-E72D297353CC}">
              <c16:uniqueId val="{00000005-3896-4229-A4D8-AA6A20A0B47F}"/>
            </c:ext>
          </c:extLst>
        </c:ser>
        <c:dLbls>
          <c:showLegendKey val="0"/>
          <c:showVal val="0"/>
          <c:showCatName val="0"/>
          <c:showSerName val="0"/>
          <c:showPercent val="0"/>
          <c:showBubbleSize val="0"/>
        </c:dLbls>
        <c:gapWidth val="150"/>
        <c:axId val="685629759"/>
        <c:axId val="685640575"/>
      </c:barChart>
      <c:lineChart>
        <c:grouping val="standard"/>
        <c:varyColors val="0"/>
        <c:ser>
          <c:idx val="6"/>
          <c:order val="6"/>
          <c:tx>
            <c:strRef>
              <c:f>'Ληξιπρόθεσμες Οφειλές'!$B$33</c:f>
              <c:strCache>
                <c:ptCount val="1"/>
                <c:pt idx="0">
                  <c:v>Συν. Ληξ. Υπ. ΓΚ</c:v>
                </c:pt>
              </c:strCache>
            </c:strRef>
          </c:tx>
          <c:spPr>
            <a:ln w="28575" cap="rnd">
              <a:solidFill>
                <a:schemeClr val="accent1">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'Ληξιπρόθεσμες Οφειλές'!$C$26:$F$26</c:f>
              <c:strCache>
                <c:ptCount val="4"/>
                <c:pt idx="0">
                  <c:v>Δεκέμβριος 2019</c:v>
                </c:pt>
                <c:pt idx="1">
                  <c:v>Δεκέμβριος 2020</c:v>
                </c:pt>
                <c:pt idx="2">
                  <c:v> Αύγουστος 2021</c:v>
                </c:pt>
                <c:pt idx="3">
                  <c:v>Σεπτέμβριος 2021</c:v>
                </c:pt>
              </c:strCache>
            </c:strRef>
          </c:cat>
          <c:val>
            <c:numRef>
              <c:f>'Ληξιπρόθεσμες Οφειλές'!$C$33:$F$33</c:f>
              <c:numCache>
                <c:formatCode>#,##0</c:formatCode>
                <c:ptCount val="4"/>
                <c:pt idx="0">
                  <c:v>1324</c:v>
                </c:pt>
                <c:pt idx="1">
                  <c:v>1203</c:v>
                </c:pt>
                <c:pt idx="2">
                  <c:v>1800</c:v>
                </c:pt>
                <c:pt idx="3">
                  <c:v>1799</c:v>
                </c:pt>
              </c:numCache>
            </c:numRef>
          </c:val>
          <c:smooth val="0"/>
          <c:extLst>
            <c:ext xmlns:c16="http://schemas.microsoft.com/office/drawing/2014/chart" uri="{C3380CC4-5D6E-409C-BE32-E72D297353CC}">
              <c16:uniqueId val="{00000006-3896-4229-A4D8-AA6A20A0B47F}"/>
            </c:ext>
          </c:extLst>
        </c:ser>
        <c:ser>
          <c:idx val="7"/>
          <c:order val="7"/>
          <c:tx>
            <c:strRef>
              <c:f>'Ληξιπρόθεσμες Οφειλές'!$B$34</c:f>
              <c:strCache>
                <c:ptCount val="1"/>
                <c:pt idx="0">
                  <c:v>Συν. Ληξ. Υπ.  ΓΚ συμπ.  και των  Επιστ. Φόρων</c:v>
                </c:pt>
              </c:strCache>
            </c:strRef>
          </c:tx>
          <c:spPr>
            <a:ln w="28575" cap="rnd">
              <a:solidFill>
                <a:srgbClr val="00B05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'Ληξιπρόθεσμες Οφειλές'!$C$26:$F$26</c:f>
              <c:strCache>
                <c:ptCount val="4"/>
                <c:pt idx="0">
                  <c:v>Δεκέμβριος 2019</c:v>
                </c:pt>
                <c:pt idx="1">
                  <c:v>Δεκέμβριος 2020</c:v>
                </c:pt>
                <c:pt idx="2">
                  <c:v> Αύγουστος 2021</c:v>
                </c:pt>
                <c:pt idx="3">
                  <c:v>Σεπτέμβριος 2021</c:v>
                </c:pt>
              </c:strCache>
            </c:strRef>
          </c:cat>
          <c:val>
            <c:numRef>
              <c:f>'Ληξιπρόθεσμες Οφειλές'!$C$34:$F$34</c:f>
              <c:numCache>
                <c:formatCode>#,##0</c:formatCode>
                <c:ptCount val="4"/>
                <c:pt idx="0">
                  <c:v>1936</c:v>
                </c:pt>
                <c:pt idx="1">
                  <c:v>1839</c:v>
                </c:pt>
                <c:pt idx="2">
                  <c:v>2511</c:v>
                </c:pt>
                <c:pt idx="3">
                  <c:v>2682</c:v>
                </c:pt>
              </c:numCache>
            </c:numRef>
          </c:val>
          <c:smooth val="0"/>
          <c:extLst>
            <c:ext xmlns:c16="http://schemas.microsoft.com/office/drawing/2014/chart" uri="{C3380CC4-5D6E-409C-BE32-E72D297353CC}">
              <c16:uniqueId val="{00000007-3896-4229-A4D8-AA6A20A0B47F}"/>
            </c:ext>
          </c:extLst>
        </c:ser>
        <c:dLbls>
          <c:showLegendKey val="0"/>
          <c:showVal val="0"/>
          <c:showCatName val="0"/>
          <c:showSerName val="0"/>
          <c:showPercent val="0"/>
          <c:showBubbleSize val="0"/>
        </c:dLbls>
        <c:marker val="1"/>
        <c:smooth val="0"/>
        <c:axId val="685629759"/>
        <c:axId val="685640575"/>
      </c:lineChart>
      <c:catAx>
        <c:axId val="685629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5640575"/>
        <c:crosses val="autoZero"/>
        <c:auto val="1"/>
        <c:lblAlgn val="ctr"/>
        <c:lblOffset val="100"/>
        <c:noMultiLvlLbl val="0"/>
      </c:catAx>
      <c:valAx>
        <c:axId val="6856405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85629759"/>
        <c:crosses val="autoZero"/>
        <c:crossBetween val="between"/>
      </c:valAx>
      <c:spPr>
        <a:noFill/>
        <a:ln>
          <a:noFill/>
        </a:ln>
        <a:effectLst/>
      </c:spPr>
    </c:plotArea>
    <c:legend>
      <c:legendPos val="b"/>
      <c:layout>
        <c:manualLayout>
          <c:xMode val="edge"/>
          <c:yMode val="edge"/>
          <c:x val="3.8237418733445709E-2"/>
          <c:y val="0.77879536760742984"/>
          <c:w val="0.94519624367926802"/>
          <c:h val="0.20451014157454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250261549474149E-2"/>
          <c:y val="0.12756264236902051"/>
          <c:w val="0.83456945079071954"/>
          <c:h val="0.5115156335645783"/>
        </c:manualLayout>
      </c:layout>
      <c:areaChart>
        <c:grouping val="stacked"/>
        <c:varyColors val="0"/>
        <c:ser>
          <c:idx val="0"/>
          <c:order val="0"/>
          <c:tx>
            <c:strRef>
              <c:f>'[ΛΗΞΙΠΡΟΘΕΣΜΕΣ ΑΠΑΙΤΗΣΕΙΣ  Αυγούστου 2021 xlsx.xlsx]Ληξιπρόθεσμες Απαιτήσεις'!$R$3</c:f>
              <c:strCache>
                <c:ptCount val="1"/>
                <c:pt idx="0">
                  <c:v> Παλιό Ληξιπρόθεσμο κεφάλαιο</c:v>
                </c:pt>
              </c:strCache>
            </c:strRef>
          </c:tx>
          <c:spPr>
            <a:solidFill>
              <a:schemeClr val="bg2">
                <a:lumMod val="75000"/>
              </a:schemeClr>
            </a:solidFill>
            <a:ln>
              <a:noFill/>
            </a:ln>
            <a:effectLst>
              <a:outerShdw blurRad="57150" dist="19050" dir="5400000" algn="ctr" rotWithShape="0">
                <a:srgbClr val="000000">
                  <a:alpha val="63000"/>
                </a:srgbClr>
              </a:outerShdw>
            </a:effectLst>
          </c:spPr>
          <c:dLbls>
            <c:dLbl>
              <c:idx val="0"/>
              <c:layout>
                <c:manualLayout>
                  <c:x val="-2.4078979051288226E-3"/>
                  <c:y val="-9.30387107492939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9A-4DBC-8309-C507E1A0ED56}"/>
                </c:ext>
              </c:extLst>
            </c:dLbl>
            <c:dLbl>
              <c:idx val="1"/>
              <c:layout>
                <c:manualLayout>
                  <c:x val="1.2039489525644112E-2"/>
                  <c:y val="-0.16281774381126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9A-4DBC-8309-C507E1A0ED56}"/>
                </c:ext>
              </c:extLst>
            </c:dLbl>
            <c:dLbl>
              <c:idx val="2"/>
              <c:layout>
                <c:manualLayout>
                  <c:x val="0"/>
                  <c:y val="-0.196045854793155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9A-4DBC-8309-C507E1A0ED56}"/>
                </c:ext>
              </c:extLst>
            </c:dLbl>
            <c:dLbl>
              <c:idx val="3"/>
              <c:layout>
                <c:manualLayout>
                  <c:x val="-1.6855285335901846E-2"/>
                  <c:y val="-0.222628343578667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9A-4DBC-8309-C507E1A0ED56}"/>
                </c:ext>
              </c:extLst>
            </c:dLbl>
            <c:dLbl>
              <c:idx val="4"/>
              <c:layout>
                <c:manualLayout>
                  <c:x val="-9.6315916205154672E-3"/>
                  <c:y val="-0.27247051005150358"/>
                </c:manualLayout>
              </c:layout>
              <c:numFmt formatCode="#,##0" sourceLinked="0"/>
              <c:spPr>
                <a:noFill/>
                <a:ln>
                  <a:noFill/>
                </a:ln>
                <a:effectLst/>
              </c:spPr>
              <c:txPr>
                <a:bodyPr rot="0" spcFirstLastPara="1" vertOverflow="ellipsis" vert="horz" wrap="square" lIns="38100" tIns="19050" rIns="38100" bIns="19050" anchor="t" anchorCtr="0">
                  <a:noAutofit/>
                </a:bodyPr>
                <a:lstStyle/>
                <a:p>
                  <a:pPr>
                    <a:defRPr sz="70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15:layout>
                    <c:manualLayout>
                      <c:w val="7.81723106908771E-2"/>
                      <c:h val="6.2352681076852434E-2"/>
                    </c:manualLayout>
                  </c15:layout>
                </c:ext>
                <c:ext xmlns:c16="http://schemas.microsoft.com/office/drawing/2014/chart" uri="{C3380CC4-5D6E-409C-BE32-E72D297353CC}">
                  <c16:uniqueId val="{00000004-0F9A-4DBC-8309-C507E1A0ED56}"/>
                </c:ext>
              </c:extLst>
            </c:dLbl>
            <c:numFmt formatCode="#,##0" sourceLinked="0"/>
            <c:spPr>
              <a:noFill/>
              <a:ln>
                <a:noFill/>
              </a:ln>
              <a:effectLst/>
            </c:spPr>
            <c:txPr>
              <a:bodyPr rot="0" spcFirstLastPara="1" vertOverflow="ellipsis" vert="horz" wrap="square" lIns="38100" tIns="19050" rIns="38100" bIns="19050" anchor="t" anchorCtr="0">
                <a:spAutoFit/>
              </a:bodyPr>
              <a:lstStyle/>
              <a:p>
                <a:pPr>
                  <a:defRPr sz="70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'[ΛΗΞΙΠΡΟΘΕΣΜΕΣ ΑΠΑΙΤΗΣΕΙΣ  Αυγούστου 2021 xlsx.xlsx]Ληξιπρόθεσμες Απαιτήσεις'!$S$2:$W$2</c:f>
              <c:numCache>
                <c:formatCode>General</c:formatCode>
                <c:ptCount val="5"/>
                <c:pt idx="0">
                  <c:v>2017</c:v>
                </c:pt>
                <c:pt idx="1">
                  <c:v>2018</c:v>
                </c:pt>
                <c:pt idx="2">
                  <c:v>2019</c:v>
                </c:pt>
                <c:pt idx="3">
                  <c:v>2020</c:v>
                </c:pt>
                <c:pt idx="4">
                  <c:v>2021</c:v>
                </c:pt>
              </c:numCache>
            </c:numRef>
          </c:cat>
          <c:val>
            <c:numRef>
              <c:f>'[ΛΗΞΙΠΡΟΘΕΣΜΕΣ ΑΠΑΙΤΗΣΕΙΣ  Αυγούστου 2021 xlsx.xlsx]Ληξιπρόθεσμες Απαιτήσεις'!$S$3:$W$3</c:f>
              <c:numCache>
                <c:formatCode>General</c:formatCode>
                <c:ptCount val="5"/>
                <c:pt idx="0">
                  <c:v>89680</c:v>
                </c:pt>
                <c:pt idx="1">
                  <c:v>96394</c:v>
                </c:pt>
                <c:pt idx="2">
                  <c:v>100676</c:v>
                </c:pt>
                <c:pt idx="3">
                  <c:v>105435</c:v>
                </c:pt>
                <c:pt idx="4">
                  <c:v>108171</c:v>
                </c:pt>
              </c:numCache>
            </c:numRef>
          </c:val>
          <c:extLst>
            <c:ext xmlns:c16="http://schemas.microsoft.com/office/drawing/2014/chart" uri="{C3380CC4-5D6E-409C-BE32-E72D297353CC}">
              <c16:uniqueId val="{00000005-0F9A-4DBC-8309-C507E1A0ED56}"/>
            </c:ext>
          </c:extLst>
        </c:ser>
        <c:dLbls>
          <c:showLegendKey val="0"/>
          <c:showVal val="0"/>
          <c:showCatName val="0"/>
          <c:showSerName val="0"/>
          <c:showPercent val="0"/>
          <c:showBubbleSize val="0"/>
        </c:dLbls>
        <c:axId val="1620957376"/>
        <c:axId val="1620952384"/>
      </c:areaChart>
      <c:barChart>
        <c:barDir val="col"/>
        <c:grouping val="clustered"/>
        <c:varyColors val="0"/>
        <c:ser>
          <c:idx val="2"/>
          <c:order val="1"/>
          <c:tx>
            <c:strRef>
              <c:f>'[ΛΗΞΙΠΡΟΘΕΣΜΕΣ ΑΠΑΙΤΗΣΕΙΣ  Αυγούστου 2021 xlsx.xlsx]Ληξιπρόθεσμες Απαιτήσεις'!$R$4</c:f>
              <c:strCache>
                <c:ptCount val="1"/>
                <c:pt idx="0">
                  <c:v>"Νέο" ληξιπρόθεσμο χρέος που προστέθηκε στα βιβλία  έως τον προηγούμενο μήνα του μήνα αναφοράς </c:v>
                </c:pt>
              </c:strCache>
            </c:strRef>
          </c:tx>
          <c:spPr>
            <a:solidFill>
              <a:srgbClr val="00B0F0"/>
            </a:soli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5">
                        <a:lumMod val="7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'[ΛΗΞΙΠΡΟΘΕΣΜΕΣ ΑΠΑΙΤΗΣΕΙΣ  Αυγούστου 2021 xlsx.xlsx]Ληξιπρόθεσμες Απαιτήσεις'!$S$2:$W$2</c:f>
              <c:numCache>
                <c:formatCode>General</c:formatCode>
                <c:ptCount val="5"/>
                <c:pt idx="0">
                  <c:v>2017</c:v>
                </c:pt>
                <c:pt idx="1">
                  <c:v>2018</c:v>
                </c:pt>
                <c:pt idx="2">
                  <c:v>2019</c:v>
                </c:pt>
                <c:pt idx="3">
                  <c:v>2020</c:v>
                </c:pt>
                <c:pt idx="4">
                  <c:v>2021</c:v>
                </c:pt>
              </c:numCache>
            </c:numRef>
          </c:cat>
          <c:val>
            <c:numRef>
              <c:f>'[ΛΗΞΙΠΡΟΘΕΣΜΕΣ ΑΠΑΙΤΗΣΕΙΣ  Αυγούστου 2021 xlsx.xlsx]Ληξιπρόθεσμες Απαιτήσεις'!$S$4:$W$4</c:f>
              <c:numCache>
                <c:formatCode>General</c:formatCode>
                <c:ptCount val="5"/>
                <c:pt idx="0">
                  <c:v>8551</c:v>
                </c:pt>
                <c:pt idx="1">
                  <c:v>6418</c:v>
                </c:pt>
                <c:pt idx="2">
                  <c:v>4682</c:v>
                </c:pt>
                <c:pt idx="3">
                  <c:v>3203</c:v>
                </c:pt>
                <c:pt idx="4">
                  <c:v>3806</c:v>
                </c:pt>
              </c:numCache>
            </c:numRef>
          </c:val>
          <c:extLst>
            <c:ext xmlns:c16="http://schemas.microsoft.com/office/drawing/2014/chart" uri="{C3380CC4-5D6E-409C-BE32-E72D297353CC}">
              <c16:uniqueId val="{00000006-0F9A-4DBC-8309-C507E1A0ED56}"/>
            </c:ext>
          </c:extLst>
        </c:ser>
        <c:ser>
          <c:idx val="3"/>
          <c:order val="2"/>
          <c:tx>
            <c:strRef>
              <c:f>'[ΛΗΞΙΠΡΟΘΕΣΜΕΣ ΑΠΑΙΤΗΣΕΙΣ  Αυγούστου 2021 xlsx.xlsx]Ληξιπρόθεσμες Απαιτήσεις'!$R$5</c:f>
              <c:strCache>
                <c:ptCount val="1"/>
                <c:pt idx="0">
                  <c:v>Συνολικές Εισπράξεις "παλαιού και "νέου" Ληξιπρόθεσμου χρέους </c:v>
                </c:pt>
              </c:strCache>
            </c:strRef>
          </c:tx>
          <c:spPr>
            <a:solidFill>
              <a:srgbClr val="92D050"/>
            </a:soli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lumMod val="7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'[ΛΗΞΙΠΡΟΘΕΣΜΕΣ ΑΠΑΙΤΗΣΕΙΣ  Αυγούστου 2021 xlsx.xlsx]Ληξιπρόθεσμες Απαιτήσεις'!$S$2:$W$2</c:f>
              <c:numCache>
                <c:formatCode>General</c:formatCode>
                <c:ptCount val="5"/>
                <c:pt idx="0">
                  <c:v>2017</c:v>
                </c:pt>
                <c:pt idx="1">
                  <c:v>2018</c:v>
                </c:pt>
                <c:pt idx="2">
                  <c:v>2019</c:v>
                </c:pt>
                <c:pt idx="3">
                  <c:v>2020</c:v>
                </c:pt>
                <c:pt idx="4">
                  <c:v>2021</c:v>
                </c:pt>
              </c:numCache>
            </c:numRef>
          </c:cat>
          <c:val>
            <c:numRef>
              <c:f>'[ΛΗΞΙΠΡΟΘΕΣΜΕΣ ΑΠΑΙΤΗΣΕΙΣ  Αυγούστου 2021 xlsx.xlsx]Ληξιπρόθεσμες Απαιτήσεις'!$S$5:$W$5</c:f>
              <c:numCache>
                <c:formatCode>General</c:formatCode>
                <c:ptCount val="5"/>
                <c:pt idx="0">
                  <c:v>3144</c:v>
                </c:pt>
                <c:pt idx="1">
                  <c:v>3572</c:v>
                </c:pt>
                <c:pt idx="2">
                  <c:v>3208</c:v>
                </c:pt>
                <c:pt idx="3">
                  <c:v>2567</c:v>
                </c:pt>
                <c:pt idx="4">
                  <c:v>2646</c:v>
                </c:pt>
              </c:numCache>
            </c:numRef>
          </c:val>
          <c:extLst>
            <c:ext xmlns:c16="http://schemas.microsoft.com/office/drawing/2014/chart" uri="{C3380CC4-5D6E-409C-BE32-E72D297353CC}">
              <c16:uniqueId val="{00000007-0F9A-4DBC-8309-C507E1A0ED56}"/>
            </c:ext>
          </c:extLst>
        </c:ser>
        <c:dLbls>
          <c:showLegendKey val="0"/>
          <c:showVal val="0"/>
          <c:showCatName val="0"/>
          <c:showSerName val="0"/>
          <c:showPercent val="0"/>
          <c:showBubbleSize val="0"/>
        </c:dLbls>
        <c:gapWidth val="269"/>
        <c:overlap val="-27"/>
        <c:axId val="1383413840"/>
        <c:axId val="1620951968"/>
      </c:barChart>
      <c:catAx>
        <c:axId val="16209573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l-GR"/>
          </a:p>
        </c:txPr>
        <c:crossAx val="1620952384"/>
        <c:crosses val="autoZero"/>
        <c:auto val="1"/>
        <c:lblAlgn val="ctr"/>
        <c:lblOffset val="100"/>
        <c:noMultiLvlLbl val="0"/>
      </c:catAx>
      <c:valAx>
        <c:axId val="1620952384"/>
        <c:scaling>
          <c:orientation val="minMax"/>
          <c:min val="8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l-GR"/>
          </a:p>
        </c:txPr>
        <c:crossAx val="1620957376"/>
        <c:crosses val="autoZero"/>
        <c:crossBetween val="between"/>
      </c:valAx>
      <c:valAx>
        <c:axId val="1620951968"/>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l-GR"/>
          </a:p>
        </c:txPr>
        <c:crossAx val="1383413840"/>
        <c:crosses val="max"/>
        <c:crossBetween val="between"/>
      </c:valAx>
      <c:catAx>
        <c:axId val="1383413840"/>
        <c:scaling>
          <c:orientation val="minMax"/>
        </c:scaling>
        <c:delete val="1"/>
        <c:axPos val="b"/>
        <c:numFmt formatCode="General" sourceLinked="1"/>
        <c:majorTickMark val="none"/>
        <c:minorTickMark val="none"/>
        <c:tickLblPos val="nextTo"/>
        <c:crossAx val="1620951968"/>
        <c:crosses val="autoZero"/>
        <c:auto val="1"/>
        <c:lblAlgn val="ctr"/>
        <c:lblOffset val="100"/>
        <c:noMultiLvlLbl val="0"/>
      </c:catAx>
      <c:spPr>
        <a:noFill/>
        <a:ln>
          <a:noFill/>
        </a:ln>
        <a:effectLst/>
      </c:spPr>
    </c:plotArea>
    <c:legend>
      <c:legendPos val="b"/>
      <c:layout>
        <c:manualLayout>
          <c:xMode val="edge"/>
          <c:yMode val="edge"/>
          <c:x val="5.2011295790823336E-2"/>
          <c:y val="0.73646785180262497"/>
          <c:w val="0.91490598831427639"/>
          <c:h val="0.263532148197375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67649882160841"/>
          <c:y val="4.8421008544144752E-2"/>
          <c:w val="0.8188684607398089"/>
          <c:h val="0.7206838774665516"/>
        </c:manualLayout>
      </c:layout>
      <c:barChart>
        <c:barDir val="col"/>
        <c:grouping val="clustered"/>
        <c:varyColors val="0"/>
        <c:ser>
          <c:idx val="1"/>
          <c:order val="1"/>
          <c:tx>
            <c:strRef>
              <c:f>'ΕΓΓΥΗΣΕΙΣ ΓΙΑ Α΄ ΈΚΘΕΣΗ 2021'!$D$7</c:f>
              <c:strCache>
                <c:ptCount val="1"/>
                <c:pt idx="0">
                  <c:v>Πληρωμές Καταπτώσεων* </c:v>
                </c:pt>
              </c:strCache>
            </c:strRef>
          </c:tx>
          <c:spPr>
            <a:solidFill>
              <a:schemeClr val="bg2">
                <a:lumMod val="75000"/>
              </a:schemeClr>
            </a:solidFill>
            <a:ln>
              <a:no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'ΕΓΓΥΗΣΕΙΣ ΓΙΑ Α΄ ΈΚΘΕΣΗ 2021'!$E$5:$Q$5</c:f>
              <c:strCach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γ' Τριμ 2021</c:v>
                </c:pt>
              </c:strCache>
            </c:strRef>
          </c:cat>
          <c:val>
            <c:numRef>
              <c:f>'ΕΓΓΥΗΣΕΙΣ ΓΙΑ Α΄ ΈΚΘΕΣΗ 2021'!$E$7:$Q$7</c:f>
              <c:numCache>
                <c:formatCode>#,##0.00</c:formatCode>
                <c:ptCount val="13"/>
                <c:pt idx="0">
                  <c:v>704.8</c:v>
                </c:pt>
                <c:pt idx="1">
                  <c:v>974.2</c:v>
                </c:pt>
                <c:pt idx="2">
                  <c:v>1442</c:v>
                </c:pt>
                <c:pt idx="3">
                  <c:v>796</c:v>
                </c:pt>
                <c:pt idx="4">
                  <c:v>877.5</c:v>
                </c:pt>
                <c:pt idx="5">
                  <c:v>588.20000000000005</c:v>
                </c:pt>
                <c:pt idx="6">
                  <c:v>702.1</c:v>
                </c:pt>
                <c:pt idx="7">
                  <c:v>412</c:v>
                </c:pt>
                <c:pt idx="8">
                  <c:v>882.93</c:v>
                </c:pt>
                <c:pt idx="9">
                  <c:v>951.72</c:v>
                </c:pt>
                <c:pt idx="10">
                  <c:v>378.84</c:v>
                </c:pt>
                <c:pt idx="11">
                  <c:v>635.52</c:v>
                </c:pt>
                <c:pt idx="12">
                  <c:v>80</c:v>
                </c:pt>
              </c:numCache>
            </c:numRef>
          </c:val>
          <c:extLst>
            <c:ext xmlns:c16="http://schemas.microsoft.com/office/drawing/2014/chart" uri="{C3380CC4-5D6E-409C-BE32-E72D297353CC}">
              <c16:uniqueId val="{00000000-36B7-4F8E-8A47-57AFCAED6C50}"/>
            </c:ext>
          </c:extLst>
        </c:ser>
        <c:ser>
          <c:idx val="2"/>
          <c:order val="2"/>
          <c:tx>
            <c:strRef>
              <c:f>'ΕΓΓΥΗΣΕΙΣ ΓΙΑ Α΄ ΈΚΘΕΣΗ 2021'!$D$8</c:f>
              <c:strCache>
                <c:ptCount val="1"/>
                <c:pt idx="0">
                  <c:v>Νέες Εγγυήσεις</c:v>
                </c:pt>
              </c:strCache>
            </c:strRef>
          </c:tx>
          <c:spPr>
            <a:solidFill>
              <a:srgbClr val="00B0F0"/>
            </a:solidFill>
            <a:ln>
              <a:no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'ΕΓΓΥΗΣΕΙΣ ΓΙΑ Α΄ ΈΚΘΕΣΗ 2021'!$E$5:$Q$5</c:f>
              <c:strCach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γ' Τριμ 2021</c:v>
                </c:pt>
              </c:strCache>
            </c:strRef>
          </c:cat>
          <c:val>
            <c:numRef>
              <c:f>'ΕΓΓΥΗΣΕΙΣ ΓΙΑ Α΄ ΈΚΘΕΣΗ 2021'!$E$8:$Q$8</c:f>
              <c:numCache>
                <c:formatCode>#,##0.00</c:formatCode>
                <c:ptCount val="13"/>
                <c:pt idx="0">
                  <c:v>1563.7</c:v>
                </c:pt>
                <c:pt idx="1">
                  <c:v>1254.4000000000001</c:v>
                </c:pt>
                <c:pt idx="2">
                  <c:v>1804.9</c:v>
                </c:pt>
                <c:pt idx="3">
                  <c:v>688</c:v>
                </c:pt>
                <c:pt idx="4">
                  <c:v>634.70000000000005</c:v>
                </c:pt>
                <c:pt idx="5">
                  <c:v>536.6</c:v>
                </c:pt>
                <c:pt idx="6">
                  <c:v>65</c:v>
                </c:pt>
                <c:pt idx="7">
                  <c:v>162.9</c:v>
                </c:pt>
                <c:pt idx="8">
                  <c:v>266.55</c:v>
                </c:pt>
                <c:pt idx="9">
                  <c:v>184.86</c:v>
                </c:pt>
                <c:pt idx="10">
                  <c:v>428.93</c:v>
                </c:pt>
                <c:pt idx="11">
                  <c:v>434.2</c:v>
                </c:pt>
                <c:pt idx="12">
                  <c:v>8.5</c:v>
                </c:pt>
              </c:numCache>
            </c:numRef>
          </c:val>
          <c:extLst>
            <c:ext xmlns:c16="http://schemas.microsoft.com/office/drawing/2014/chart" uri="{C3380CC4-5D6E-409C-BE32-E72D297353CC}">
              <c16:uniqueId val="{00000001-36B7-4F8E-8A47-57AFCAED6C50}"/>
            </c:ext>
          </c:extLst>
        </c:ser>
        <c:dLbls>
          <c:showLegendKey val="0"/>
          <c:showVal val="0"/>
          <c:showCatName val="0"/>
          <c:showSerName val="0"/>
          <c:showPercent val="0"/>
          <c:showBubbleSize val="0"/>
        </c:dLbls>
        <c:gapWidth val="219"/>
        <c:axId val="1764774271"/>
        <c:axId val="1764789247"/>
      </c:barChart>
      <c:lineChart>
        <c:grouping val="standard"/>
        <c:varyColors val="0"/>
        <c:ser>
          <c:idx val="0"/>
          <c:order val="0"/>
          <c:tx>
            <c:strRef>
              <c:f>'ΕΓΓΥΗΣΕΙΣ ΓΙΑ Α΄ ΈΚΘΕΣΗ 2021'!$D$6</c:f>
              <c:strCache>
                <c:ptCount val="1"/>
                <c:pt idx="0">
                  <c:v>Ανεξόφλητο Εγγυημένο Υπόλοιπο</c:v>
                </c:pt>
              </c:strCache>
            </c:strRef>
          </c:tx>
          <c:spPr>
            <a:ln w="28575" cap="rnd">
              <a:solidFill>
                <a:srgbClr val="00B050"/>
              </a:solidFill>
              <a:round/>
            </a:ln>
            <a:effectLst/>
          </c:spPr>
          <c:marker>
            <c:symbol val="none"/>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'ΕΓΓΥΗΣΕΙΣ ΓΙΑ Α΄ ΈΚΘΕΣΗ 2021'!$E$5:$Q$5</c:f>
              <c:strCach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γ' Τριμ 2021</c:v>
                </c:pt>
              </c:strCache>
            </c:strRef>
          </c:cat>
          <c:val>
            <c:numRef>
              <c:f>'ΕΓΓΥΗΣΕΙΣ ΓΙΑ Α΄ ΈΚΘΕΣΗ 2021'!$E$6:$Q$6</c:f>
              <c:numCache>
                <c:formatCode>#,##0.00</c:formatCode>
                <c:ptCount val="13"/>
                <c:pt idx="0">
                  <c:v>25586.6</c:v>
                </c:pt>
                <c:pt idx="1">
                  <c:v>22438.2</c:v>
                </c:pt>
                <c:pt idx="2">
                  <c:v>19950.8</c:v>
                </c:pt>
                <c:pt idx="3">
                  <c:v>19314.7</c:v>
                </c:pt>
                <c:pt idx="4">
                  <c:v>17234.400000000001</c:v>
                </c:pt>
                <c:pt idx="5">
                  <c:v>16315</c:v>
                </c:pt>
                <c:pt idx="6">
                  <c:v>15121.2</c:v>
                </c:pt>
                <c:pt idx="7">
                  <c:v>12833.2</c:v>
                </c:pt>
                <c:pt idx="8">
                  <c:v>12017.380000000001</c:v>
                </c:pt>
                <c:pt idx="9">
                  <c:v>10448.299999999999</c:v>
                </c:pt>
                <c:pt idx="10">
                  <c:v>9972</c:v>
                </c:pt>
                <c:pt idx="11">
                  <c:v>9207.23</c:v>
                </c:pt>
                <c:pt idx="12">
                  <c:v>8916</c:v>
                </c:pt>
              </c:numCache>
            </c:numRef>
          </c:val>
          <c:smooth val="0"/>
          <c:extLst>
            <c:ext xmlns:c16="http://schemas.microsoft.com/office/drawing/2014/chart" uri="{C3380CC4-5D6E-409C-BE32-E72D297353CC}">
              <c16:uniqueId val="{00000002-36B7-4F8E-8A47-57AFCAED6C50}"/>
            </c:ext>
          </c:extLst>
        </c:ser>
        <c:dLbls>
          <c:showLegendKey val="0"/>
          <c:showVal val="0"/>
          <c:showCatName val="0"/>
          <c:showSerName val="0"/>
          <c:showPercent val="0"/>
          <c:showBubbleSize val="0"/>
        </c:dLbls>
        <c:marker val="1"/>
        <c:smooth val="0"/>
        <c:axId val="1764787583"/>
        <c:axId val="1764774687"/>
      </c:lineChart>
      <c:catAx>
        <c:axId val="1764787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el-GR"/>
          </a:p>
        </c:txPr>
        <c:crossAx val="1764774687"/>
        <c:crosses val="autoZero"/>
        <c:auto val="1"/>
        <c:lblAlgn val="ctr"/>
        <c:lblOffset val="100"/>
        <c:noMultiLvlLbl val="0"/>
      </c:catAx>
      <c:valAx>
        <c:axId val="17647746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764787583"/>
        <c:crosses val="autoZero"/>
        <c:crossBetween val="between"/>
      </c:valAx>
      <c:valAx>
        <c:axId val="1764789247"/>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764774271"/>
        <c:crosses val="max"/>
        <c:crossBetween val="between"/>
      </c:valAx>
      <c:catAx>
        <c:axId val="1764774271"/>
        <c:scaling>
          <c:orientation val="minMax"/>
        </c:scaling>
        <c:delete val="1"/>
        <c:axPos val="b"/>
        <c:numFmt formatCode="General" sourceLinked="1"/>
        <c:majorTickMark val="out"/>
        <c:minorTickMark val="none"/>
        <c:tickLblPos val="nextTo"/>
        <c:crossAx val="1764789247"/>
        <c:crosses val="autoZero"/>
        <c:auto val="1"/>
        <c:lblAlgn val="ctr"/>
        <c:lblOffset val="100"/>
        <c:noMultiLvlLbl val="0"/>
      </c:catAx>
      <c:spPr>
        <a:noFill/>
        <a:ln>
          <a:noFill/>
        </a:ln>
        <a:effectLst/>
      </c:spPr>
    </c:plotArea>
    <c:legend>
      <c:legendPos val="b"/>
      <c:layout>
        <c:manualLayout>
          <c:xMode val="edge"/>
          <c:yMode val="edge"/>
          <c:x val="0.05"/>
          <c:y val="0.89243188126664019"/>
          <c:w val="0.9"/>
          <c:h val="9.0966015800321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699740334732469E-2"/>
          <c:y val="9.6750410293046818E-2"/>
          <c:w val="0.89919981481033606"/>
          <c:h val="0.79171202855226219"/>
        </c:manualLayout>
      </c:layout>
      <c:areaChart>
        <c:grouping val="stacked"/>
        <c:varyColors val="0"/>
        <c:ser>
          <c:idx val="0"/>
          <c:order val="0"/>
          <c:tx>
            <c:strRef>
              <c:f>'Ύψος Χρέους'!$G$37</c:f>
              <c:strCache>
                <c:ptCount val="1"/>
                <c:pt idx="0">
                  <c:v>Χρέος ως % στο ΑΕΠ </c:v>
                </c:pt>
              </c:strCache>
            </c:strRef>
          </c:tx>
          <c:spPr>
            <a:solidFill>
              <a:srgbClr val="00B0F0"/>
            </a:solidFill>
            <a:ln w="28575" cap="sq" cmpd="sng">
              <a:solidFill>
                <a:srgbClr val="5B9BD5">
                  <a:lumMod val="50000"/>
                </a:srgbClr>
              </a:solidFill>
              <a:prstDash val="solid"/>
              <a:bevel/>
            </a:ln>
            <a:effectLst/>
          </c:spPr>
          <c:dLbls>
            <c:dLbl>
              <c:idx val="0"/>
              <c:layout>
                <c:manualLayout>
                  <c:x val="-1.4405762304921976E-2"/>
                  <c:y val="-0.176146788990825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91-4045-B6E5-9D0A03B607EB}"/>
                </c:ext>
              </c:extLst>
            </c:dLbl>
            <c:dLbl>
              <c:idx val="1"/>
              <c:layout>
                <c:manualLayout>
                  <c:x val="-4.8019207683073079E-3"/>
                  <c:y val="-0.264220183486238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91-4045-B6E5-9D0A03B607EB}"/>
                </c:ext>
              </c:extLst>
            </c:dLbl>
            <c:dLbl>
              <c:idx val="2"/>
              <c:layout>
                <c:manualLayout>
                  <c:x val="-3.2012805122048822E-3"/>
                  <c:y val="-0.229969418960244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91-4045-B6E5-9D0A03B607EB}"/>
                </c:ext>
              </c:extLst>
            </c:dLbl>
            <c:dLbl>
              <c:idx val="3"/>
              <c:layout>
                <c:manualLayout>
                  <c:x val="-3.2012805122049407E-3"/>
                  <c:y val="-0.276452599388379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91-4045-B6E5-9D0A03B607EB}"/>
                </c:ext>
              </c:extLst>
            </c:dLbl>
            <c:dLbl>
              <c:idx val="4"/>
              <c:layout>
                <c:manualLayout>
                  <c:x val="4.1277682646357105E-3"/>
                  <c:y val="-0.290836150226555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91-4045-B6E5-9D0A03B607EB}"/>
                </c:ext>
              </c:extLst>
            </c:dLbl>
            <c:dLbl>
              <c:idx val="5"/>
              <c:layout>
                <c:manualLayout>
                  <c:x val="0"/>
                  <c:y val="-0.281345565749235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91-4045-B6E5-9D0A03B607EB}"/>
                </c:ext>
              </c:extLst>
            </c:dLbl>
            <c:dLbl>
              <c:idx val="6"/>
              <c:layout>
                <c:manualLayout>
                  <c:x val="-3.2011922076619404E-3"/>
                  <c:y val="-0.295729199620373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91-4045-B6E5-9D0A03B607EB}"/>
                </c:ext>
              </c:extLst>
            </c:dLbl>
            <c:dLbl>
              <c:idx val="7"/>
              <c:layout>
                <c:manualLayout>
                  <c:x val="-9.6038415366147632E-3"/>
                  <c:y val="-0.276452599388379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91-4045-B6E5-9D0A03B607EB}"/>
                </c:ext>
              </c:extLst>
            </c:dLbl>
            <c:dLbl>
              <c:idx val="8"/>
              <c:layout>
                <c:manualLayout>
                  <c:x val="-1.173789294761027E-16"/>
                  <c:y val="-0.305810397553516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F91-4045-B6E5-9D0A03B607EB}"/>
                </c:ext>
              </c:extLst>
            </c:dLbl>
            <c:dLbl>
              <c:idx val="9"/>
              <c:layout>
                <c:manualLayout>
                  <c:x val="-1.6006402561025584E-3"/>
                  <c:y val="-0.30581039755351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F91-4045-B6E5-9D0A03B607EB}"/>
                </c:ext>
              </c:extLst>
            </c:dLbl>
            <c:dLbl>
              <c:idx val="10"/>
              <c:layout>
                <c:manualLayout>
                  <c:x val="-6.2331181532245608E-3"/>
                  <c:y val="-0.35031099995765319"/>
                </c:manualLayout>
              </c:layout>
              <c:spPr>
                <a:solidFill>
                  <a:srgbClr val="00B0F0"/>
                </a:solidFill>
                <a:ln w="25400">
                  <a:noFill/>
                </a:ln>
              </c:spPr>
              <c:txPr>
                <a:bodyPr wrap="square" lIns="38100" tIns="19050" rIns="38100" bIns="19050" anchor="ctr">
                  <a:spAutoFit/>
                </a:bodyPr>
                <a:lstStyle/>
                <a:p>
                  <a:pPr>
                    <a:defRPr sz="800" b="1"/>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F91-4045-B6E5-9D0A03B607EB}"/>
                </c:ext>
              </c:extLst>
            </c:dLbl>
            <c:dLbl>
              <c:idx val="11"/>
              <c:layout>
                <c:manualLayout>
                  <c:x val="4.6096128907453446E-2"/>
                  <c:y val="-0.33497826337599274"/>
                </c:manualLayout>
              </c:layout>
              <c:tx>
                <c:rich>
                  <a:bodyPr wrap="square" lIns="38100" tIns="19050" rIns="38100" bIns="19050" anchor="ctr">
                    <a:noAutofit/>
                  </a:bodyPr>
                  <a:lstStyle/>
                  <a:p>
                    <a:pPr>
                      <a:defRPr sz="800" b="1">
                        <a:solidFill>
                          <a:schemeClr val="tx1">
                            <a:lumMod val="50000"/>
                            <a:lumOff val="50000"/>
                          </a:schemeClr>
                        </a:solidFill>
                      </a:defRPr>
                    </a:pPr>
                    <a:r>
                      <a:rPr lang="en-US">
                        <a:solidFill>
                          <a:schemeClr val="tx1">
                            <a:lumMod val="50000"/>
                            <a:lumOff val="50000"/>
                          </a:schemeClr>
                        </a:solidFill>
                      </a:rPr>
                      <a:t>197,9%*</a:t>
                    </a:r>
                  </a:p>
                  <a:p>
                    <a:pPr>
                      <a:defRPr sz="800" b="1">
                        <a:solidFill>
                          <a:schemeClr val="tx1">
                            <a:lumMod val="50000"/>
                            <a:lumOff val="50000"/>
                          </a:schemeClr>
                        </a:solidFill>
                      </a:defRPr>
                    </a:pPr>
                    <a:endParaRPr lang="en-US">
                      <a:solidFill>
                        <a:schemeClr val="tx1">
                          <a:lumMod val="50000"/>
                          <a:lumOff val="50000"/>
                        </a:schemeClr>
                      </a:solidFill>
                    </a:endParaRPr>
                  </a:p>
                </c:rich>
              </c:tx>
              <c:spPr>
                <a:ln w="25400">
                  <a:noFill/>
                </a:ln>
              </c:spPr>
              <c:showLegendKey val="0"/>
              <c:showVal val="1"/>
              <c:showCatName val="0"/>
              <c:showSerName val="0"/>
              <c:showPercent val="0"/>
              <c:showBubbleSize val="0"/>
              <c:extLst>
                <c:ext xmlns:c15="http://schemas.microsoft.com/office/drawing/2012/chart" uri="{CE6537A1-D6FC-4f65-9D91-7224C49458BB}">
                  <c15:layout>
                    <c:manualLayout>
                      <c:w val="8.4103924937614108E-2"/>
                      <c:h val="5.0835834371178966E-2"/>
                    </c:manualLayout>
                  </c15:layout>
                </c:ext>
                <c:ext xmlns:c16="http://schemas.microsoft.com/office/drawing/2014/chart" uri="{C3380CC4-5D6E-409C-BE32-E72D297353CC}">
                  <c16:uniqueId val="{0000000B-BF91-4045-B6E5-9D0A03B607EB}"/>
                </c:ext>
              </c:extLst>
            </c:dLbl>
            <c:dLbl>
              <c:idx val="12"/>
              <c:layout>
                <c:manualLayout>
                  <c:x val="3.2964655805279436E-2"/>
                  <c:y val="-0.29437963606167317"/>
                </c:manualLayout>
              </c:layout>
              <c:tx>
                <c:rich>
                  <a:bodyPr wrap="square" lIns="38100" tIns="19050" rIns="38100" bIns="19050" anchor="ctr">
                    <a:noAutofit/>
                  </a:bodyPr>
                  <a:lstStyle/>
                  <a:p>
                    <a:pPr>
                      <a:defRPr sz="800" b="1">
                        <a:solidFill>
                          <a:schemeClr val="tx1">
                            <a:lumMod val="50000"/>
                            <a:lumOff val="50000"/>
                          </a:schemeClr>
                        </a:solidFill>
                      </a:defRPr>
                    </a:pPr>
                    <a:r>
                      <a:rPr lang="en-US">
                        <a:solidFill>
                          <a:schemeClr val="tx1">
                            <a:lumMod val="50000"/>
                            <a:lumOff val="50000"/>
                          </a:schemeClr>
                        </a:solidFill>
                      </a:rPr>
                      <a:t>189,5%*</a:t>
                    </a:r>
                  </a:p>
                  <a:p>
                    <a:pPr>
                      <a:defRPr sz="800" b="1">
                        <a:solidFill>
                          <a:schemeClr val="tx1">
                            <a:lumMod val="50000"/>
                            <a:lumOff val="50000"/>
                          </a:schemeClr>
                        </a:solidFill>
                      </a:defRPr>
                    </a:pPr>
                    <a:endParaRPr lang="en-US">
                      <a:solidFill>
                        <a:schemeClr val="tx1">
                          <a:lumMod val="50000"/>
                          <a:lumOff val="50000"/>
                        </a:schemeClr>
                      </a:solidFill>
                    </a:endParaRPr>
                  </a:p>
                </c:rich>
              </c:tx>
              <c:spPr>
                <a:ln w="25400">
                  <a:noFill/>
                </a:ln>
              </c:spPr>
              <c:showLegendKey val="0"/>
              <c:showVal val="1"/>
              <c:showCatName val="0"/>
              <c:showSerName val="0"/>
              <c:showPercent val="0"/>
              <c:showBubbleSize val="0"/>
              <c:extLst>
                <c:ext xmlns:c15="http://schemas.microsoft.com/office/drawing/2012/chart" uri="{CE6537A1-D6FC-4f65-9D91-7224C49458BB}">
                  <c15:layout>
                    <c:manualLayout>
                      <c:w val="9.6785957371826992E-2"/>
                      <c:h val="8.9251637279021578E-2"/>
                    </c:manualLayout>
                  </c15:layout>
                </c:ext>
                <c:ext xmlns:c16="http://schemas.microsoft.com/office/drawing/2014/chart" uri="{C3380CC4-5D6E-409C-BE32-E72D297353CC}">
                  <c16:uniqueId val="{0000000C-BF91-4045-B6E5-9D0A03B607EB}"/>
                </c:ext>
              </c:extLst>
            </c:dLbl>
            <c:dLbl>
              <c:idx val="13"/>
              <c:layout>
                <c:manualLayout>
                  <c:x val="1.4405762304921969E-2"/>
                  <c:y val="-0.27889908256880735"/>
                </c:manualLayout>
              </c:layout>
              <c:tx>
                <c:rich>
                  <a:bodyPr wrap="square" lIns="38100" tIns="19050" rIns="38100" bIns="19050" anchor="ctr">
                    <a:spAutoFit/>
                  </a:bodyPr>
                  <a:lstStyle/>
                  <a:p>
                    <a:pPr>
                      <a:defRPr sz="800" b="1">
                        <a:solidFill>
                          <a:schemeClr val="tx1">
                            <a:lumMod val="50000"/>
                            <a:lumOff val="50000"/>
                          </a:schemeClr>
                        </a:solidFill>
                      </a:defRPr>
                    </a:pPr>
                    <a:r>
                      <a:rPr lang="en-US">
                        <a:solidFill>
                          <a:schemeClr val="tx1">
                            <a:lumMod val="50000"/>
                            <a:lumOff val="50000"/>
                          </a:schemeClr>
                        </a:solidFill>
                      </a:rPr>
                      <a:t>176,7%*</a:t>
                    </a:r>
                  </a:p>
                </c:rich>
              </c:tx>
              <c:spPr>
                <a:ln w="25400">
                  <a:noFill/>
                </a:ln>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F91-4045-B6E5-9D0A03B607EB}"/>
                </c:ext>
              </c:extLst>
            </c:dLbl>
            <c:dLbl>
              <c:idx val="14"/>
              <c:layout>
                <c:manualLayout>
                  <c:x val="1.1383809033524166E-2"/>
                  <c:y val="-0.2555481220248606"/>
                </c:manualLayout>
              </c:layout>
              <c:tx>
                <c:rich>
                  <a:bodyPr wrap="square" lIns="38100" tIns="19050" rIns="38100" bIns="19050" anchor="ctr">
                    <a:spAutoFit/>
                  </a:bodyPr>
                  <a:lstStyle/>
                  <a:p>
                    <a:pPr>
                      <a:defRPr sz="800" b="1">
                        <a:solidFill>
                          <a:schemeClr val="tx1">
                            <a:lumMod val="50000"/>
                            <a:lumOff val="50000"/>
                          </a:schemeClr>
                        </a:solidFill>
                      </a:defRPr>
                    </a:pPr>
                    <a:r>
                      <a:rPr lang="en-US">
                        <a:solidFill>
                          <a:schemeClr val="tx1">
                            <a:lumMod val="50000"/>
                            <a:lumOff val="50000"/>
                          </a:schemeClr>
                        </a:solidFill>
                      </a:rPr>
                      <a:t>166,1%*</a:t>
                    </a:r>
                  </a:p>
                </c:rich>
              </c:tx>
              <c:spPr>
                <a:ln w="25400">
                  <a:noFill/>
                </a:ln>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F91-4045-B6E5-9D0A03B607EB}"/>
                </c:ext>
              </c:extLst>
            </c:dLbl>
            <c:dLbl>
              <c:idx val="15"/>
              <c:layout>
                <c:manualLayout>
                  <c:x val="4.3878894251863278E-3"/>
                  <c:y val="-0.24388717445164124"/>
                </c:manualLayout>
              </c:layout>
              <c:tx>
                <c:rich>
                  <a:bodyPr wrap="square" lIns="38100" tIns="19050" rIns="38100" bIns="19050" anchor="ctr">
                    <a:noAutofit/>
                  </a:bodyPr>
                  <a:lstStyle/>
                  <a:p>
                    <a:pPr>
                      <a:defRPr sz="800" b="1">
                        <a:solidFill>
                          <a:schemeClr val="tx1">
                            <a:lumMod val="50000"/>
                            <a:lumOff val="50000"/>
                          </a:schemeClr>
                        </a:solidFill>
                      </a:defRPr>
                    </a:pPr>
                    <a:r>
                      <a:rPr lang="en-US">
                        <a:solidFill>
                          <a:schemeClr val="tx1">
                            <a:lumMod val="50000"/>
                            <a:lumOff val="50000"/>
                          </a:schemeClr>
                        </a:solidFill>
                      </a:rPr>
                      <a:t>156,9%*</a:t>
                    </a:r>
                  </a:p>
                  <a:p>
                    <a:pPr>
                      <a:defRPr sz="800" b="1">
                        <a:solidFill>
                          <a:schemeClr val="tx1">
                            <a:lumMod val="50000"/>
                            <a:lumOff val="50000"/>
                          </a:schemeClr>
                        </a:solidFill>
                      </a:defRPr>
                    </a:pPr>
                    <a:endParaRPr lang="en-US">
                      <a:solidFill>
                        <a:schemeClr val="tx1">
                          <a:lumMod val="50000"/>
                          <a:lumOff val="50000"/>
                        </a:schemeClr>
                      </a:solidFill>
                    </a:endParaRPr>
                  </a:p>
                </c:rich>
              </c:tx>
              <c:spPr>
                <a:ln w="25400">
                  <a:noFill/>
                </a:ln>
              </c:spPr>
              <c:showLegendKey val="0"/>
              <c:showVal val="1"/>
              <c:showCatName val="0"/>
              <c:showSerName val="0"/>
              <c:showPercent val="0"/>
              <c:showBubbleSize val="0"/>
              <c:extLst>
                <c:ext xmlns:c15="http://schemas.microsoft.com/office/drawing/2012/chart" uri="{CE6537A1-D6FC-4f65-9D91-7224C49458BB}">
                  <c15:layout>
                    <c:manualLayout>
                      <c:w val="8.3589293549802546E-2"/>
                      <c:h val="4.5053669857847395E-2"/>
                    </c:manualLayout>
                  </c15:layout>
                </c:ext>
                <c:ext xmlns:c16="http://schemas.microsoft.com/office/drawing/2014/chart" uri="{C3380CC4-5D6E-409C-BE32-E72D297353CC}">
                  <c16:uniqueId val="{0000000F-BF91-4045-B6E5-9D0A03B607EB}"/>
                </c:ext>
              </c:extLst>
            </c:dLbl>
            <c:spPr>
              <a:ln w="25400">
                <a:noFill/>
              </a:ln>
            </c:spPr>
            <c:txPr>
              <a:bodyPr wrap="square" lIns="38100" tIns="19050" rIns="38100" bIns="19050" anchor="ctr">
                <a:spAutoFit/>
              </a:bodyPr>
              <a:lstStyle/>
              <a:p>
                <a:pPr>
                  <a:defRPr sz="800" b="1"/>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'Ύψος Χρέους'!$H$36:$W$36</c:f>
              <c:numCache>
                <c:formatCode>General</c:formatCod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numCache>
            </c:numRef>
          </c:cat>
          <c:val>
            <c:numRef>
              <c:f>'Ύψος Χρέους'!$H$37:$W$37</c:f>
              <c:numCache>
                <c:formatCode>0.0%</c:formatCode>
                <c:ptCount val="16"/>
                <c:pt idx="0">
                  <c:v>1.4750000000000001</c:v>
                </c:pt>
                <c:pt idx="1">
                  <c:v>1.752</c:v>
                </c:pt>
                <c:pt idx="2">
                  <c:v>1.619</c:v>
                </c:pt>
                <c:pt idx="3">
                  <c:v>1.784</c:v>
                </c:pt>
                <c:pt idx="4">
                  <c:v>1.802</c:v>
                </c:pt>
                <c:pt idx="5">
                  <c:v>1.77</c:v>
                </c:pt>
                <c:pt idx="6">
                  <c:v>1.8084834011676301</c:v>
                </c:pt>
                <c:pt idx="7">
                  <c:v>1.792</c:v>
                </c:pt>
                <c:pt idx="8">
                  <c:v>1.8620000000000001</c:v>
                </c:pt>
                <c:pt idx="9">
                  <c:v>1.8049999999999999</c:v>
                </c:pt>
                <c:pt idx="10">
                  <c:v>2.056</c:v>
                </c:pt>
                <c:pt idx="11">
                  <c:v>2.048</c:v>
                </c:pt>
                <c:pt idx="12">
                  <c:v>1.895</c:v>
                </c:pt>
                <c:pt idx="13" formatCode="0.00%">
                  <c:v>1.7669999999999999</c:v>
                </c:pt>
                <c:pt idx="14">
                  <c:v>1.661</c:v>
                </c:pt>
                <c:pt idx="15" formatCode="0.00%">
                  <c:v>1.569</c:v>
                </c:pt>
              </c:numCache>
            </c:numRef>
          </c:val>
          <c:extLst>
            <c:ext xmlns:c16="http://schemas.microsoft.com/office/drawing/2014/chart" uri="{C3380CC4-5D6E-409C-BE32-E72D297353CC}">
              <c16:uniqueId val="{00000010-BF91-4045-B6E5-9D0A03B607EB}"/>
            </c:ext>
          </c:extLst>
        </c:ser>
        <c:dLbls>
          <c:showLegendKey val="0"/>
          <c:showVal val="0"/>
          <c:showCatName val="0"/>
          <c:showSerName val="0"/>
          <c:showPercent val="0"/>
          <c:showBubbleSize val="0"/>
        </c:dLbls>
        <c:axId val="166563840"/>
        <c:axId val="166565376"/>
      </c:areaChart>
      <c:lineChart>
        <c:grouping val="standard"/>
        <c:varyColors val="0"/>
        <c:ser>
          <c:idx val="1"/>
          <c:order val="1"/>
          <c:tx>
            <c:strRef>
              <c:f>'Ύψος Χρέους'!$G$38</c:f>
              <c:strCache>
                <c:ptCount val="1"/>
              </c:strCache>
            </c:strRef>
          </c:tx>
          <c:spPr>
            <a:ln w="28575" cap="rnd">
              <a:solidFill>
                <a:srgbClr val="C00000"/>
              </a:solidFill>
              <a:round/>
            </a:ln>
            <a:effectLst/>
          </c:spPr>
          <c:marker>
            <c:symbol val="none"/>
          </c:marker>
          <c:dLbls>
            <c:dLbl>
              <c:idx val="9"/>
              <c:layout>
                <c:manualLayout>
                  <c:x val="-5.2821128451380671E-2"/>
                  <c:y val="2.007168458781362E-2"/>
                </c:manualLayout>
              </c:layout>
              <c:spPr>
                <a:noFill/>
                <a:ln w="25400">
                  <a:noFill/>
                </a:ln>
              </c:spPr>
              <c:txPr>
                <a:bodyPr wrap="square" lIns="38100" tIns="19050" rIns="38100" bIns="19050" anchor="ctr">
                  <a:spAutoFit/>
                </a:bodyPr>
                <a:lstStyle/>
                <a:p>
                  <a:pPr>
                    <a:defRPr/>
                  </a:pPr>
                  <a:endParaRPr lang="el-G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F91-4045-B6E5-9D0A03B607EB}"/>
                </c:ext>
              </c:extLst>
            </c:dLbl>
            <c:dLbl>
              <c:idx val="10"/>
              <c:layout>
                <c:manualLayout>
                  <c:x val="-3.8415366146458581E-2"/>
                  <c:y val="-2.8673835125448029E-2"/>
                </c:manualLayout>
              </c:layout>
              <c:spPr>
                <a:noFill/>
                <a:ln w="25400">
                  <a:noFill/>
                </a:ln>
              </c:spPr>
              <c:txPr>
                <a:bodyPr wrap="square" lIns="38100" tIns="19050" rIns="38100" bIns="19050" anchor="ctr">
                  <a:spAutoFit/>
                </a:bodyPr>
                <a:lstStyle/>
                <a:p>
                  <a:pPr>
                    <a:defRPr/>
                  </a:pPr>
                  <a:endParaRPr lang="el-G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F91-4045-B6E5-9D0A03B607EB}"/>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'Ύψος Χρέους'!$H$36:$T$36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'Ύψος Χρέους'!$H$38:$T$38</c:f>
              <c:numCache>
                <c:formatCode>General</c:formatCode>
                <c:ptCount val="13"/>
              </c:numCache>
            </c:numRef>
          </c:val>
          <c:smooth val="0"/>
          <c:extLst>
            <c:ext xmlns:c16="http://schemas.microsoft.com/office/drawing/2014/chart" uri="{C3380CC4-5D6E-409C-BE32-E72D297353CC}">
              <c16:uniqueId val="{00000013-BF91-4045-B6E5-9D0A03B607EB}"/>
            </c:ext>
          </c:extLst>
        </c:ser>
        <c:ser>
          <c:idx val="2"/>
          <c:order val="2"/>
          <c:tx>
            <c:strRef>
              <c:f>'Ύψος Χρέους'!$G$39</c:f>
              <c:strCache>
                <c:ptCount val="1"/>
              </c:strCache>
            </c:strRef>
          </c:tx>
          <c:spPr>
            <a:ln w="28575" cap="rnd">
              <a:solidFill>
                <a:schemeClr val="accent1"/>
              </a:solidFill>
              <a:round/>
            </a:ln>
            <a:effectLst/>
          </c:spPr>
          <c:marker>
            <c:symbol val="none"/>
          </c:marker>
          <c:dLbls>
            <c:dLbl>
              <c:idx val="9"/>
              <c:layout>
                <c:manualLayout>
                  <c:x val="-5.6022408963585554E-2"/>
                  <c:y val="2.2939068100358423E-2"/>
                </c:manualLayout>
              </c:layout>
              <c:spPr>
                <a:solidFill>
                  <a:schemeClr val="accent1">
                    <a:lumMod val="60000"/>
                    <a:lumOff val="40000"/>
                  </a:schemeClr>
                </a:solidFill>
                <a:ln w="25400">
                  <a:noFill/>
                </a:ln>
              </c:spPr>
              <c:txPr>
                <a:bodyPr wrap="square" lIns="38100" tIns="19050" rIns="38100" bIns="19050" anchor="ctr">
                  <a:spAutoFit/>
                </a:bodyPr>
                <a:lstStyle/>
                <a:p>
                  <a:pPr>
                    <a:defRPr b="1"/>
                  </a:pPr>
                  <a:endParaRPr lang="el-G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F91-4045-B6E5-9D0A03B607EB}"/>
                </c:ext>
              </c:extLst>
            </c:dLbl>
            <c:dLbl>
              <c:idx val="10"/>
              <c:layout>
                <c:manualLayout>
                  <c:x val="-3.2012805122048939E-2"/>
                  <c:y val="-1.4336917562724014E-2"/>
                </c:manualLayout>
              </c:layout>
              <c:spPr>
                <a:noFill/>
                <a:ln w="25400">
                  <a:noFill/>
                </a:ln>
              </c:spPr>
              <c:txPr>
                <a:bodyPr wrap="square" lIns="38100" tIns="19050" rIns="38100" bIns="19050" anchor="ctr">
                  <a:spAutoFit/>
                </a:bodyPr>
                <a:lstStyle/>
                <a:p>
                  <a:pPr>
                    <a:defRPr/>
                  </a:pPr>
                  <a:endParaRPr lang="el-G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F91-4045-B6E5-9D0A03B607EB}"/>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'Ύψος Χρέους'!$H$36:$T$36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'Ύψος Χρέους'!$H$39:$T$39</c:f>
              <c:numCache>
                <c:formatCode>General</c:formatCode>
                <c:ptCount val="13"/>
              </c:numCache>
            </c:numRef>
          </c:val>
          <c:smooth val="0"/>
          <c:extLst>
            <c:ext xmlns:c16="http://schemas.microsoft.com/office/drawing/2014/chart" uri="{C3380CC4-5D6E-409C-BE32-E72D297353CC}">
              <c16:uniqueId val="{00000016-BF91-4045-B6E5-9D0A03B607EB}"/>
            </c:ext>
          </c:extLst>
        </c:ser>
        <c:ser>
          <c:idx val="3"/>
          <c:order val="3"/>
          <c:tx>
            <c:strRef>
              <c:f>'Ύψος Χρέους'!$G$40</c:f>
              <c:strCache>
                <c:ptCount val="1"/>
              </c:strCache>
            </c:strRef>
          </c:tx>
          <c:marker>
            <c:symbol val="none"/>
          </c:marker>
          <c:cat>
            <c:numRef>
              <c:f>'Ύψος Χρέους'!$H$36:$T$36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'Ύψος Χρέους'!$H$40:$T$40</c:f>
              <c:numCache>
                <c:formatCode>General</c:formatCode>
                <c:ptCount val="13"/>
              </c:numCache>
            </c:numRef>
          </c:val>
          <c:smooth val="0"/>
          <c:extLst>
            <c:ext xmlns:c16="http://schemas.microsoft.com/office/drawing/2014/chart" uri="{C3380CC4-5D6E-409C-BE32-E72D297353CC}">
              <c16:uniqueId val="{00000017-BF91-4045-B6E5-9D0A03B607EB}"/>
            </c:ext>
          </c:extLst>
        </c:ser>
        <c:ser>
          <c:idx val="4"/>
          <c:order val="4"/>
          <c:tx>
            <c:strRef>
              <c:f>'Ύψος Χρέους'!$G$41</c:f>
              <c:strCache>
                <c:ptCount val="1"/>
              </c:strCache>
            </c:strRef>
          </c:tx>
          <c:marker>
            <c:symbol val="none"/>
          </c:marker>
          <c:cat>
            <c:numRef>
              <c:f>'Ύψος Χρέους'!$H$36:$T$36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'Ύψος Χρέους'!$H$41:$T$41</c:f>
              <c:numCache>
                <c:formatCode>General</c:formatCode>
                <c:ptCount val="13"/>
              </c:numCache>
            </c:numRef>
          </c:val>
          <c:smooth val="0"/>
          <c:extLst>
            <c:ext xmlns:c16="http://schemas.microsoft.com/office/drawing/2014/chart" uri="{C3380CC4-5D6E-409C-BE32-E72D297353CC}">
              <c16:uniqueId val="{00000018-BF91-4045-B6E5-9D0A03B607EB}"/>
            </c:ext>
          </c:extLst>
        </c:ser>
        <c:ser>
          <c:idx val="5"/>
          <c:order val="5"/>
          <c:tx>
            <c:strRef>
              <c:f>'Ύψος Χρέους'!$G$42</c:f>
              <c:strCache>
                <c:ptCount val="1"/>
              </c:strCache>
            </c:strRef>
          </c:tx>
          <c:marker>
            <c:symbol val="none"/>
          </c:marker>
          <c:cat>
            <c:numRef>
              <c:f>'Ύψος Χρέους'!$H$36:$T$36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'Ύψος Χρέους'!$H$42:$T$42</c:f>
              <c:numCache>
                <c:formatCode>General</c:formatCode>
                <c:ptCount val="13"/>
              </c:numCache>
            </c:numRef>
          </c:val>
          <c:smooth val="0"/>
          <c:extLst>
            <c:ext xmlns:c16="http://schemas.microsoft.com/office/drawing/2014/chart" uri="{C3380CC4-5D6E-409C-BE32-E72D297353CC}">
              <c16:uniqueId val="{00000019-BF91-4045-B6E5-9D0A03B607EB}"/>
            </c:ext>
          </c:extLst>
        </c:ser>
        <c:dLbls>
          <c:showLegendKey val="0"/>
          <c:showVal val="0"/>
          <c:showCatName val="0"/>
          <c:showSerName val="0"/>
          <c:showPercent val="0"/>
          <c:showBubbleSize val="0"/>
        </c:dLbls>
        <c:marker val="1"/>
        <c:smooth val="0"/>
        <c:axId val="166563840"/>
        <c:axId val="166565376"/>
      </c:lineChart>
      <c:catAx>
        <c:axId val="16656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l-GR"/>
          </a:p>
        </c:txPr>
        <c:crossAx val="166565376"/>
        <c:crosses val="autoZero"/>
        <c:auto val="1"/>
        <c:lblAlgn val="ctr"/>
        <c:lblOffset val="100"/>
        <c:noMultiLvlLbl val="0"/>
      </c:catAx>
      <c:valAx>
        <c:axId val="166565376"/>
        <c:scaling>
          <c:orientation val="minMax"/>
          <c:min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6656384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Ελλάδα</c:v>
          </c:tx>
          <c:spPr>
            <a:ln w="28575" cap="rnd">
              <a:solidFill>
                <a:schemeClr val="accent1"/>
              </a:solidFill>
              <a:round/>
            </a:ln>
            <a:effectLst/>
          </c:spPr>
          <c:marker>
            <c:symbol val="none"/>
          </c:marker>
          <c:dLbls>
            <c:dLbl>
              <c:idx val="0"/>
              <c:layout>
                <c:manualLayout>
                  <c:x val="-1.5920398009950248E-2"/>
                  <c:y val="-2.2476961114857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E3-4602-A9BC-FC0B31264BA9}"/>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E3-4602-A9BC-FC0B31264BA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 Years bonds'!$A$7:$A$27</c:f>
              <c:strCache>
                <c:ptCount val="21"/>
                <c:pt idx="0">
                  <c:v>Νοε. '21</c:v>
                </c:pt>
                <c:pt idx="1">
                  <c:v>Οκτ. '21</c:v>
                </c:pt>
                <c:pt idx="2">
                  <c:v>Σεπ. '21</c:v>
                </c:pt>
                <c:pt idx="3">
                  <c:v>Αυγ. '21</c:v>
                </c:pt>
                <c:pt idx="4">
                  <c:v>Ιουλ. '21</c:v>
                </c:pt>
                <c:pt idx="5">
                  <c:v>Ιουν. '21</c:v>
                </c:pt>
                <c:pt idx="6">
                  <c:v>Μάιος '21</c:v>
                </c:pt>
                <c:pt idx="7">
                  <c:v>Απρ. '21</c:v>
                </c:pt>
                <c:pt idx="8">
                  <c:v>Μαρ. '21</c:v>
                </c:pt>
                <c:pt idx="9">
                  <c:v>Φεβ. '21</c:v>
                </c:pt>
                <c:pt idx="10">
                  <c:v>Ιαν. '21</c:v>
                </c:pt>
                <c:pt idx="11">
                  <c:v>Δεκ. '20</c:v>
                </c:pt>
                <c:pt idx="12">
                  <c:v>Νοε. '20</c:v>
                </c:pt>
                <c:pt idx="13">
                  <c:v>Οκτ. '20</c:v>
                </c:pt>
                <c:pt idx="14">
                  <c:v>Σεπ. '20</c:v>
                </c:pt>
                <c:pt idx="15">
                  <c:v>Αυγ. '20</c:v>
                </c:pt>
                <c:pt idx="16">
                  <c:v>Ιουλ. '20</c:v>
                </c:pt>
                <c:pt idx="17">
                  <c:v>Ιουν. '20</c:v>
                </c:pt>
                <c:pt idx="18">
                  <c:v>Μάιος '20</c:v>
                </c:pt>
                <c:pt idx="19">
                  <c:v>Απρ. '20</c:v>
                </c:pt>
                <c:pt idx="20">
                  <c:v>Μαρ. '20</c:v>
                </c:pt>
              </c:strCache>
            </c:strRef>
          </c:cat>
          <c:val>
            <c:numRef>
              <c:f>'10 Years bonds'!$B$7:$B$27</c:f>
              <c:numCache>
                <c:formatCode>0.00</c:formatCode>
                <c:ptCount val="21"/>
                <c:pt idx="0">
                  <c:v>1.0760000000000001</c:v>
                </c:pt>
                <c:pt idx="1">
                  <c:v>1.3380000000000001</c:v>
                </c:pt>
                <c:pt idx="2">
                  <c:v>0.83399999999999996</c:v>
                </c:pt>
                <c:pt idx="3">
                  <c:v>0.747</c:v>
                </c:pt>
                <c:pt idx="4">
                  <c:v>0.60399999999999998</c:v>
                </c:pt>
                <c:pt idx="5">
                  <c:v>0.81799999999999995</c:v>
                </c:pt>
                <c:pt idx="6">
                  <c:v>0.83399999999999996</c:v>
                </c:pt>
                <c:pt idx="7">
                  <c:v>0.97499999999999998</c:v>
                </c:pt>
                <c:pt idx="8">
                  <c:v>0.86899999999999999</c:v>
                </c:pt>
                <c:pt idx="9">
                  <c:v>1.113</c:v>
                </c:pt>
                <c:pt idx="10">
                  <c:v>0.68500000000000005</c:v>
                </c:pt>
                <c:pt idx="11">
                  <c:v>0.61799999999999999</c:v>
                </c:pt>
                <c:pt idx="12">
                  <c:v>0.64300000000000002</c:v>
                </c:pt>
                <c:pt idx="13">
                  <c:v>0.94399999999999995</c:v>
                </c:pt>
                <c:pt idx="14">
                  <c:v>1.022</c:v>
                </c:pt>
                <c:pt idx="15">
                  <c:v>1.113</c:v>
                </c:pt>
                <c:pt idx="16">
                  <c:v>1.091</c:v>
                </c:pt>
                <c:pt idx="17">
                  <c:v>1.226</c:v>
                </c:pt>
                <c:pt idx="18">
                  <c:v>1.512</c:v>
                </c:pt>
                <c:pt idx="19">
                  <c:v>2.169</c:v>
                </c:pt>
                <c:pt idx="20">
                  <c:v>1.643</c:v>
                </c:pt>
              </c:numCache>
            </c:numRef>
          </c:val>
          <c:smooth val="0"/>
          <c:extLst>
            <c:ext xmlns:c16="http://schemas.microsoft.com/office/drawing/2014/chart" uri="{C3380CC4-5D6E-409C-BE32-E72D297353CC}">
              <c16:uniqueId val="{00000002-4DE3-4602-A9BC-FC0B31264BA9}"/>
            </c:ext>
          </c:extLst>
        </c:ser>
        <c:ser>
          <c:idx val="1"/>
          <c:order val="1"/>
          <c:tx>
            <c:v>Ιταλία</c:v>
          </c:tx>
          <c:spPr>
            <a:ln w="28575" cap="rnd">
              <a:solidFill>
                <a:srgbClr val="4472C4">
                  <a:lumMod val="50000"/>
                </a:srgbClr>
              </a:solidFill>
              <a:round/>
            </a:ln>
            <a:effectLst/>
          </c:spPr>
          <c:marker>
            <c:symbol val="none"/>
          </c:marker>
          <c:dLbls>
            <c:dLbl>
              <c:idx val="0"/>
              <c:layout>
                <c:manualLayout>
                  <c:x val="-1.8674231377643617E-2"/>
                  <c:y val="3.1467745560800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E3-4602-A9BC-FC0B31264BA9}"/>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E3-4602-A9BC-FC0B31264BA9}"/>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 Years bonds'!$A$7:$A$27</c:f>
              <c:strCache>
                <c:ptCount val="21"/>
                <c:pt idx="0">
                  <c:v>Νοε. '21</c:v>
                </c:pt>
                <c:pt idx="1">
                  <c:v>Οκτ. '21</c:v>
                </c:pt>
                <c:pt idx="2">
                  <c:v>Σεπ. '21</c:v>
                </c:pt>
                <c:pt idx="3">
                  <c:v>Αυγ. '21</c:v>
                </c:pt>
                <c:pt idx="4">
                  <c:v>Ιουλ. '21</c:v>
                </c:pt>
                <c:pt idx="5">
                  <c:v>Ιουν. '21</c:v>
                </c:pt>
                <c:pt idx="6">
                  <c:v>Μάιος '21</c:v>
                </c:pt>
                <c:pt idx="7">
                  <c:v>Απρ. '21</c:v>
                </c:pt>
                <c:pt idx="8">
                  <c:v>Μαρ. '21</c:v>
                </c:pt>
                <c:pt idx="9">
                  <c:v>Φεβ. '21</c:v>
                </c:pt>
                <c:pt idx="10">
                  <c:v>Ιαν. '21</c:v>
                </c:pt>
                <c:pt idx="11">
                  <c:v>Δεκ. '20</c:v>
                </c:pt>
                <c:pt idx="12">
                  <c:v>Νοε. '20</c:v>
                </c:pt>
                <c:pt idx="13">
                  <c:v>Οκτ. '20</c:v>
                </c:pt>
                <c:pt idx="14">
                  <c:v>Σεπ. '20</c:v>
                </c:pt>
                <c:pt idx="15">
                  <c:v>Αυγ. '20</c:v>
                </c:pt>
                <c:pt idx="16">
                  <c:v>Ιουλ. '20</c:v>
                </c:pt>
                <c:pt idx="17">
                  <c:v>Ιουν. '20</c:v>
                </c:pt>
                <c:pt idx="18">
                  <c:v>Μάιος '20</c:v>
                </c:pt>
                <c:pt idx="19">
                  <c:v>Απρ. '20</c:v>
                </c:pt>
                <c:pt idx="20">
                  <c:v>Μαρ. '20</c:v>
                </c:pt>
              </c:strCache>
            </c:strRef>
          </c:cat>
          <c:val>
            <c:numRef>
              <c:f>'10 Years bonds'!$E$7:$E$27</c:f>
              <c:numCache>
                <c:formatCode>General</c:formatCode>
                <c:ptCount val="21"/>
                <c:pt idx="0">
                  <c:v>0.88800000000000001</c:v>
                </c:pt>
                <c:pt idx="1">
                  <c:v>1.1399999999999999</c:v>
                </c:pt>
                <c:pt idx="2">
                  <c:v>0.86699999999999999</c:v>
                </c:pt>
                <c:pt idx="3">
                  <c:v>0.70899999999999996</c:v>
                </c:pt>
                <c:pt idx="4">
                  <c:v>0.627</c:v>
                </c:pt>
                <c:pt idx="5">
                  <c:v>0.82699999999999996</c:v>
                </c:pt>
                <c:pt idx="6">
                  <c:v>0.91700000000000004</c:v>
                </c:pt>
                <c:pt idx="7">
                  <c:v>0.85799999999999998</c:v>
                </c:pt>
                <c:pt idx="8">
                  <c:v>0.66300000000000003</c:v>
                </c:pt>
                <c:pt idx="9">
                  <c:v>0.77100000000000002</c:v>
                </c:pt>
                <c:pt idx="10">
                  <c:v>0.65</c:v>
                </c:pt>
                <c:pt idx="11">
                  <c:v>0.52100000000000002</c:v>
                </c:pt>
                <c:pt idx="12">
                  <c:v>0.58499999999999996</c:v>
                </c:pt>
                <c:pt idx="13">
                  <c:v>0.71799999999999997</c:v>
                </c:pt>
                <c:pt idx="14">
                  <c:v>0.87</c:v>
                </c:pt>
                <c:pt idx="15">
                  <c:v>1.159</c:v>
                </c:pt>
                <c:pt idx="16">
                  <c:v>1.077</c:v>
                </c:pt>
                <c:pt idx="17">
                  <c:v>1.327</c:v>
                </c:pt>
                <c:pt idx="18">
                  <c:v>1.4910000000000001</c:v>
                </c:pt>
                <c:pt idx="19">
                  <c:v>1.7769999999999999</c:v>
                </c:pt>
                <c:pt idx="20">
                  <c:v>1.534</c:v>
                </c:pt>
              </c:numCache>
            </c:numRef>
          </c:val>
          <c:smooth val="0"/>
          <c:extLst>
            <c:ext xmlns:c16="http://schemas.microsoft.com/office/drawing/2014/chart" uri="{C3380CC4-5D6E-409C-BE32-E72D297353CC}">
              <c16:uniqueId val="{00000005-4DE3-4602-A9BC-FC0B31264BA9}"/>
            </c:ext>
          </c:extLst>
        </c:ser>
        <c:ser>
          <c:idx val="2"/>
          <c:order val="2"/>
          <c:tx>
            <c:v>Γερμανία</c:v>
          </c:tx>
          <c:spPr>
            <a:ln w="28575" cap="rnd">
              <a:solidFill>
                <a:schemeClr val="accent3"/>
              </a:solidFill>
              <a:round/>
            </a:ln>
            <a:effectLst/>
          </c:spPr>
          <c:marker>
            <c:symbol val="none"/>
          </c:marker>
          <c:dLbls>
            <c:dLbl>
              <c:idx val="0"/>
              <c:layout>
                <c:manualLayout>
                  <c:x val="-1.5203478353084653E-2"/>
                  <c:y val="4.0458530006743168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E3-4602-A9BC-FC0B31264BA9}"/>
                </c:ext>
              </c:extLst>
            </c:dLbl>
            <c:dLbl>
              <c:idx val="1"/>
              <c:layout>
                <c:manualLayout>
                  <c:x val="-3.780022446689113E-2"/>
                  <c:y val="4.2672599168529342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el-G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E3-4602-A9BC-FC0B31264B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 Years bonds'!$A$7:$A$27</c:f>
              <c:strCache>
                <c:ptCount val="21"/>
                <c:pt idx="0">
                  <c:v>Νοε. '21</c:v>
                </c:pt>
                <c:pt idx="1">
                  <c:v>Οκτ. '21</c:v>
                </c:pt>
                <c:pt idx="2">
                  <c:v>Σεπ. '21</c:v>
                </c:pt>
                <c:pt idx="3">
                  <c:v>Αυγ. '21</c:v>
                </c:pt>
                <c:pt idx="4">
                  <c:v>Ιουλ. '21</c:v>
                </c:pt>
                <c:pt idx="5">
                  <c:v>Ιουν. '21</c:v>
                </c:pt>
                <c:pt idx="6">
                  <c:v>Μάιος '21</c:v>
                </c:pt>
                <c:pt idx="7">
                  <c:v>Απρ. '21</c:v>
                </c:pt>
                <c:pt idx="8">
                  <c:v>Μαρ. '21</c:v>
                </c:pt>
                <c:pt idx="9">
                  <c:v>Φεβ. '21</c:v>
                </c:pt>
                <c:pt idx="10">
                  <c:v>Ιαν. '21</c:v>
                </c:pt>
                <c:pt idx="11">
                  <c:v>Δεκ. '20</c:v>
                </c:pt>
                <c:pt idx="12">
                  <c:v>Νοε. '20</c:v>
                </c:pt>
                <c:pt idx="13">
                  <c:v>Οκτ. '20</c:v>
                </c:pt>
                <c:pt idx="14">
                  <c:v>Σεπ. '20</c:v>
                </c:pt>
                <c:pt idx="15">
                  <c:v>Αυγ. '20</c:v>
                </c:pt>
                <c:pt idx="16">
                  <c:v>Ιουλ. '20</c:v>
                </c:pt>
                <c:pt idx="17">
                  <c:v>Ιουν. '20</c:v>
                </c:pt>
                <c:pt idx="18">
                  <c:v>Μάιος '20</c:v>
                </c:pt>
                <c:pt idx="19">
                  <c:v>Απρ. '20</c:v>
                </c:pt>
                <c:pt idx="20">
                  <c:v>Μαρ. '20</c:v>
                </c:pt>
              </c:strCache>
            </c:strRef>
          </c:cat>
          <c:val>
            <c:numRef>
              <c:f>'10 Years bonds'!$H$7:$H$27</c:f>
              <c:numCache>
                <c:formatCode>General</c:formatCode>
                <c:ptCount val="21"/>
                <c:pt idx="0">
                  <c:v>-0.26</c:v>
                </c:pt>
                <c:pt idx="1">
                  <c:v>-0.1065</c:v>
                </c:pt>
                <c:pt idx="2">
                  <c:v>-0.20549999999999999</c:v>
                </c:pt>
                <c:pt idx="3">
                  <c:v>-0.38</c:v>
                </c:pt>
                <c:pt idx="4">
                  <c:v>-0.45800000000000002</c:v>
                </c:pt>
                <c:pt idx="5">
                  <c:v>-0.20300000000000001</c:v>
                </c:pt>
                <c:pt idx="6">
                  <c:v>-0.183</c:v>
                </c:pt>
                <c:pt idx="7">
                  <c:v>-0.20599999999999999</c:v>
                </c:pt>
                <c:pt idx="8">
                  <c:v>-0.29199999999999998</c:v>
                </c:pt>
                <c:pt idx="9">
                  <c:v>-0.25700000000000001</c:v>
                </c:pt>
                <c:pt idx="10">
                  <c:v>-0.52</c:v>
                </c:pt>
                <c:pt idx="11">
                  <c:v>-0.57499999999999996</c:v>
                </c:pt>
                <c:pt idx="12">
                  <c:v>-0.57099999999999995</c:v>
                </c:pt>
                <c:pt idx="13">
                  <c:v>-0.625</c:v>
                </c:pt>
                <c:pt idx="14">
                  <c:v>-0.52100000000000002</c:v>
                </c:pt>
                <c:pt idx="15">
                  <c:v>-0.39800000000000002</c:v>
                </c:pt>
                <c:pt idx="16">
                  <c:v>-0.499</c:v>
                </c:pt>
                <c:pt idx="17">
                  <c:v>-0.45300000000000001</c:v>
                </c:pt>
                <c:pt idx="18">
                  <c:v>-0.44800000000000001</c:v>
                </c:pt>
                <c:pt idx="19">
                  <c:v>-0.58899999999999997</c:v>
                </c:pt>
                <c:pt idx="20">
                  <c:v>-0.46899999999999997</c:v>
                </c:pt>
              </c:numCache>
            </c:numRef>
          </c:val>
          <c:smooth val="0"/>
          <c:extLst>
            <c:ext xmlns:c16="http://schemas.microsoft.com/office/drawing/2014/chart" uri="{C3380CC4-5D6E-409C-BE32-E72D297353CC}">
              <c16:uniqueId val="{00000008-4DE3-4602-A9BC-FC0B31264BA9}"/>
            </c:ext>
          </c:extLst>
        </c:ser>
        <c:ser>
          <c:idx val="3"/>
          <c:order val="3"/>
          <c:tx>
            <c:v>Πορτογαλία</c:v>
          </c:tx>
          <c:spPr>
            <a:ln w="28575" cap="rnd">
              <a:solidFill>
                <a:schemeClr val="accent6">
                  <a:lumMod val="75000"/>
                </a:schemeClr>
              </a:solidFill>
              <a:round/>
            </a:ln>
            <a:effectLst/>
          </c:spPr>
          <c:marker>
            <c:symbol val="none"/>
          </c:marker>
          <c:dLbls>
            <c:dLbl>
              <c:idx val="0"/>
              <c:layout>
                <c:manualLayout>
                  <c:x val="-5.9701492537313433E-3"/>
                  <c:y val="1.3486176668914362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50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DE3-4602-A9BC-FC0B31264BA9}"/>
                </c:ext>
              </c:extLst>
            </c:dLbl>
            <c:dLbl>
              <c:idx val="1"/>
              <c:layout>
                <c:manualLayout>
                  <c:x val="-3.7037037037037202E-2"/>
                  <c:y val="4.2672599168529425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el-G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DE3-4602-A9BC-FC0B31264BA9}"/>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 Years bonds'!$A$7:$A$27</c:f>
              <c:strCache>
                <c:ptCount val="21"/>
                <c:pt idx="0">
                  <c:v>Νοε. '21</c:v>
                </c:pt>
                <c:pt idx="1">
                  <c:v>Οκτ. '21</c:v>
                </c:pt>
                <c:pt idx="2">
                  <c:v>Σεπ. '21</c:v>
                </c:pt>
                <c:pt idx="3">
                  <c:v>Αυγ. '21</c:v>
                </c:pt>
                <c:pt idx="4">
                  <c:v>Ιουλ. '21</c:v>
                </c:pt>
                <c:pt idx="5">
                  <c:v>Ιουν. '21</c:v>
                </c:pt>
                <c:pt idx="6">
                  <c:v>Μάιος '21</c:v>
                </c:pt>
                <c:pt idx="7">
                  <c:v>Απρ. '21</c:v>
                </c:pt>
                <c:pt idx="8">
                  <c:v>Μαρ. '21</c:v>
                </c:pt>
                <c:pt idx="9">
                  <c:v>Φεβ. '21</c:v>
                </c:pt>
                <c:pt idx="10">
                  <c:v>Ιαν. '21</c:v>
                </c:pt>
                <c:pt idx="11">
                  <c:v>Δεκ. '20</c:v>
                </c:pt>
                <c:pt idx="12">
                  <c:v>Νοε. '20</c:v>
                </c:pt>
                <c:pt idx="13">
                  <c:v>Οκτ. '20</c:v>
                </c:pt>
                <c:pt idx="14">
                  <c:v>Σεπ. '20</c:v>
                </c:pt>
                <c:pt idx="15">
                  <c:v>Αυγ. '20</c:v>
                </c:pt>
                <c:pt idx="16">
                  <c:v>Ιουλ. '20</c:v>
                </c:pt>
                <c:pt idx="17">
                  <c:v>Ιουν. '20</c:v>
                </c:pt>
                <c:pt idx="18">
                  <c:v>Μάιος '20</c:v>
                </c:pt>
                <c:pt idx="19">
                  <c:v>Απρ. '20</c:v>
                </c:pt>
                <c:pt idx="20">
                  <c:v>Μαρ. '20</c:v>
                </c:pt>
              </c:strCache>
            </c:strRef>
          </c:cat>
          <c:val>
            <c:numRef>
              <c:f>'10 Years bonds'!$N$7:$N$27</c:f>
              <c:numCache>
                <c:formatCode>General</c:formatCode>
                <c:ptCount val="21"/>
                <c:pt idx="0">
                  <c:v>0.32900000000000001</c:v>
                </c:pt>
                <c:pt idx="1">
                  <c:v>0.53100000000000003</c:v>
                </c:pt>
                <c:pt idx="2">
                  <c:v>0.37</c:v>
                </c:pt>
                <c:pt idx="3">
                  <c:v>0.218</c:v>
                </c:pt>
                <c:pt idx="4">
                  <c:v>0.182</c:v>
                </c:pt>
                <c:pt idx="5">
                  <c:v>0.40799999999999997</c:v>
                </c:pt>
                <c:pt idx="6">
                  <c:v>0.45700000000000002</c:v>
                </c:pt>
                <c:pt idx="7">
                  <c:v>0.47</c:v>
                </c:pt>
                <c:pt idx="8">
                  <c:v>0.22700000000000001</c:v>
                </c:pt>
                <c:pt idx="9">
                  <c:v>0.32200000000000001</c:v>
                </c:pt>
                <c:pt idx="10">
                  <c:v>4.3999999999999997E-2</c:v>
                </c:pt>
                <c:pt idx="11">
                  <c:v>6.0999999999999999E-2</c:v>
                </c:pt>
                <c:pt idx="12">
                  <c:v>3.5000000000000003E-2</c:v>
                </c:pt>
                <c:pt idx="13">
                  <c:v>0.115</c:v>
                </c:pt>
                <c:pt idx="14">
                  <c:v>0.27</c:v>
                </c:pt>
                <c:pt idx="15">
                  <c:v>0.441</c:v>
                </c:pt>
                <c:pt idx="16">
                  <c:v>0.35199999999999998</c:v>
                </c:pt>
                <c:pt idx="17">
                  <c:v>0.48699999999999999</c:v>
                </c:pt>
                <c:pt idx="18">
                  <c:v>0.52100000000000002</c:v>
                </c:pt>
                <c:pt idx="19">
                  <c:v>0.91500000000000004</c:v>
                </c:pt>
                <c:pt idx="20">
                  <c:v>0.67300000000000004</c:v>
                </c:pt>
              </c:numCache>
            </c:numRef>
          </c:val>
          <c:smooth val="0"/>
          <c:extLst>
            <c:ext xmlns:c16="http://schemas.microsoft.com/office/drawing/2014/chart" uri="{C3380CC4-5D6E-409C-BE32-E72D297353CC}">
              <c16:uniqueId val="{0000000B-4DE3-4602-A9BC-FC0B31264BA9}"/>
            </c:ext>
          </c:extLst>
        </c:ser>
        <c:dLbls>
          <c:showLegendKey val="0"/>
          <c:showVal val="0"/>
          <c:showCatName val="0"/>
          <c:showSerName val="0"/>
          <c:showPercent val="0"/>
          <c:showBubbleSize val="0"/>
        </c:dLbls>
        <c:smooth val="0"/>
        <c:axId val="830221599"/>
        <c:axId val="830222431"/>
      </c:lineChart>
      <c:catAx>
        <c:axId val="830221599"/>
        <c:scaling>
          <c:orientation val="maxMin"/>
        </c:scaling>
        <c:delete val="0"/>
        <c:axPos val="b"/>
        <c:numFmt formatCode="General" sourceLinked="1"/>
        <c:majorTickMark val="none"/>
        <c:minorTickMark val="none"/>
        <c:tickLblPos val="low"/>
        <c:spPr>
          <a:noFill/>
          <a:ln w="19050" cap="flat" cmpd="sng" algn="ctr">
            <a:solidFill>
              <a:schemeClr val="tx1"/>
            </a:solidFill>
            <a:prstDash val="sysDash"/>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830222431"/>
        <c:crosses val="autoZero"/>
        <c:auto val="1"/>
        <c:lblAlgn val="ctr"/>
        <c:lblOffset val="100"/>
        <c:noMultiLvlLbl val="0"/>
      </c:catAx>
      <c:valAx>
        <c:axId val="830222431"/>
        <c:scaling>
          <c:orientation val="minMax"/>
          <c:max val="3"/>
        </c:scaling>
        <c:delete val="0"/>
        <c:axPos val="r"/>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830221599"/>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967994672307758E-2"/>
          <c:y val="3.641781162059262E-2"/>
          <c:w val="0.87389724605319863"/>
          <c:h val="0.74400389986014204"/>
        </c:manualLayout>
      </c:layout>
      <c:areaChart>
        <c:grouping val="standard"/>
        <c:varyColors val="0"/>
        <c:ser>
          <c:idx val="1"/>
          <c:order val="1"/>
          <c:tx>
            <c:strRef>
              <c:f>Φύλλο1!$C$7</c:f>
              <c:strCache>
                <c:ptCount val="1"/>
                <c:pt idx="0">
                  <c:v>Χρέος Ευρωζώνης (19) ως ποσοστό στο ΑΕΠ</c:v>
                </c:pt>
              </c:strCache>
            </c:strRef>
          </c:tx>
          <c:spPr>
            <a:solidFill>
              <a:sysClr val="window" lastClr="FFFFFF">
                <a:lumMod val="95000"/>
              </a:sysClr>
            </a:solidFill>
            <a:ln>
              <a:solidFill>
                <a:sysClr val="window" lastClr="FFFFFF">
                  <a:lumMod val="95000"/>
                </a:sysClr>
              </a:solidFill>
            </a:ln>
            <a:effectLst/>
          </c:spPr>
          <c:dLbls>
            <c:dLbl>
              <c:idx val="0"/>
              <c:layout>
                <c:manualLayout>
                  <c:x val="-1.1171920504295423E-17"/>
                  <c:y val="-0.292428198433420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17-4916-AEE6-CB50E0FC0769}"/>
                </c:ext>
              </c:extLst>
            </c:dLbl>
            <c:dLbl>
              <c:idx val="1"/>
              <c:delete val="1"/>
              <c:extLst>
                <c:ext xmlns:c15="http://schemas.microsoft.com/office/drawing/2012/chart" uri="{CE6537A1-D6FC-4f65-9D91-7224C49458BB}"/>
                <c:ext xmlns:c16="http://schemas.microsoft.com/office/drawing/2014/chart" uri="{C3380CC4-5D6E-409C-BE32-E72D297353CC}">
                  <c16:uniqueId val="{00000003-6217-4916-AEE6-CB50E0FC0769}"/>
                </c:ext>
              </c:extLst>
            </c:dLbl>
            <c:dLbl>
              <c:idx val="2"/>
              <c:layout>
                <c:manualLayout>
                  <c:x val="-2.4375380865326022E-3"/>
                  <c:y val="-0.33072236727589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17-4916-AEE6-CB50E0FC0769}"/>
                </c:ext>
              </c:extLst>
            </c:dLbl>
            <c:dLbl>
              <c:idx val="3"/>
              <c:layout>
                <c:manualLayout>
                  <c:x val="-4.8750761730652487E-3"/>
                  <c:y val="-0.344647519582245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17-4916-AEE6-CB50E0FC0769}"/>
                </c:ext>
              </c:extLst>
            </c:dLbl>
            <c:dLbl>
              <c:idx val="4"/>
              <c:layout>
                <c:manualLayout>
                  <c:x val="7.3126142595977169E-3"/>
                  <c:y val="-0.31331592689295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217-4916-AEE6-CB50E0FC0769}"/>
                </c:ext>
              </c:extLst>
            </c:dLbl>
            <c:dLbl>
              <c:idx val="5"/>
              <c:layout>
                <c:manualLayout>
                  <c:x val="-2.4375380865326022E-3"/>
                  <c:y val="-0.302872062663185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217-4916-AEE6-CB50E0FC0769}"/>
                </c:ext>
              </c:extLst>
            </c:dLbl>
            <c:dLbl>
              <c:idx val="6"/>
              <c:layout>
                <c:manualLayout>
                  <c:x val="7.3126142595978955E-3"/>
                  <c:y val="-0.292428198433420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217-4916-AEE6-CB50E0FC0769}"/>
                </c:ext>
              </c:extLst>
            </c:dLbl>
            <c:dLbl>
              <c:idx val="7"/>
              <c:layout>
                <c:manualLayout>
                  <c:x val="-7.3126142595978955E-3"/>
                  <c:y val="-0.281984334203655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217-4916-AEE6-CB50E0FC0769}"/>
                </c:ext>
              </c:extLst>
            </c:dLbl>
            <c:dLbl>
              <c:idx val="8"/>
              <c:layout>
                <c:manualLayout>
                  <c:x val="-7.3126142595978062E-3"/>
                  <c:y val="-0.27154046997389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217-4916-AEE6-CB50E0FC0769}"/>
                </c:ext>
              </c:extLst>
            </c:dLbl>
            <c:spPr>
              <a:noFill/>
              <a:ln>
                <a:noFill/>
              </a:ln>
              <a:effectLst/>
            </c:spPr>
            <c:txPr>
              <a:bodyPr rot="0" spcFirstLastPara="1" vertOverflow="ellipsis" vert="horz" wrap="square" lIns="38100" tIns="19050" rIns="38100" bIns="19050" anchor="t" anchorCtr="0">
                <a:spAutoFit/>
              </a:bodyPr>
              <a:lstStyle/>
              <a:p>
                <a:pPr>
                  <a:defRPr sz="900" b="1" i="0" u="none" strike="noStrike" kern="1200" baseline="0">
                    <a:solidFill>
                      <a:schemeClr val="bg1">
                        <a:lumMod val="50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Φύλλο1!$D$5:$L$5</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Φύλλο1!$D$7:$L$7</c:f>
              <c:numCache>
                <c:formatCode>General</c:formatCode>
                <c:ptCount val="9"/>
                <c:pt idx="0">
                  <c:v>87.7</c:v>
                </c:pt>
                <c:pt idx="1">
                  <c:v>90.7</c:v>
                </c:pt>
                <c:pt idx="2">
                  <c:v>92.6</c:v>
                </c:pt>
                <c:pt idx="3">
                  <c:v>92.8</c:v>
                </c:pt>
                <c:pt idx="4">
                  <c:v>90.9</c:v>
                </c:pt>
                <c:pt idx="5">
                  <c:v>90.1</c:v>
                </c:pt>
                <c:pt idx="6">
                  <c:v>87.7</c:v>
                </c:pt>
                <c:pt idx="7">
                  <c:v>85.7</c:v>
                </c:pt>
                <c:pt idx="8">
                  <c:v>83.9</c:v>
                </c:pt>
              </c:numCache>
            </c:numRef>
          </c:val>
          <c:extLst>
            <c:ext xmlns:c16="http://schemas.microsoft.com/office/drawing/2014/chart" uri="{C3380CC4-5D6E-409C-BE32-E72D297353CC}">
              <c16:uniqueId val="{00000000-ED74-4CF0-8613-812FF7B8D62D}"/>
            </c:ext>
          </c:extLst>
        </c:ser>
        <c:dLbls>
          <c:showLegendKey val="0"/>
          <c:showVal val="0"/>
          <c:showCatName val="0"/>
          <c:showSerName val="0"/>
          <c:showPercent val="0"/>
          <c:showBubbleSize val="0"/>
        </c:dLbls>
        <c:axId val="673365487"/>
        <c:axId val="673361743"/>
      </c:areaChart>
      <c:lineChart>
        <c:grouping val="standard"/>
        <c:varyColors val="0"/>
        <c:ser>
          <c:idx val="0"/>
          <c:order val="0"/>
          <c:tx>
            <c:strRef>
              <c:f>Φύλλο1!$C$6</c:f>
              <c:strCache>
                <c:ptCount val="1"/>
                <c:pt idx="0">
                  <c:v>Έλλειμμα  Ευρωζώνης (19) ως ποσοστό στο ΑΕΠ</c:v>
                </c:pt>
              </c:strCache>
            </c:strRef>
          </c:tx>
          <c:spPr>
            <a:ln w="28575" cap="rnd">
              <a:solidFill>
                <a:srgbClr val="00B0F0"/>
              </a:solidFill>
              <a:round/>
            </a:ln>
            <a:effectLst/>
          </c:spPr>
          <c:marker>
            <c:symbol val="square"/>
            <c:size val="5"/>
            <c:spPr>
              <a:solidFill>
                <a:srgbClr val="00B0F0"/>
              </a:solidFill>
              <a:ln w="9525">
                <a:solidFill>
                  <a:srgbClr val="00B0F0"/>
                </a:solidFill>
              </a:ln>
              <a:effectLst/>
            </c:spPr>
          </c:marker>
          <c:dLbls>
            <c:dLbl>
              <c:idx val="4"/>
              <c:layout>
                <c:manualLayout>
                  <c:x val="-3.1687995124923825E-2"/>
                  <c:y val="4.4568245125348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17-4916-AEE6-CB50E0FC0769}"/>
                </c:ext>
              </c:extLst>
            </c:dLbl>
            <c:dLbl>
              <c:idx val="7"/>
              <c:layout>
                <c:manualLayout>
                  <c:x val="-3.6563071297989212E-2"/>
                  <c:y val="3.3426183844011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17-4916-AEE6-CB50E0FC076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7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Φύλλο1!$D$5:$L$5</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Φύλλο1!$D$6:$L$6</c:f>
              <c:numCache>
                <c:formatCode>General</c:formatCode>
                <c:ptCount val="9"/>
                <c:pt idx="0">
                  <c:v>4.2</c:v>
                </c:pt>
                <c:pt idx="1">
                  <c:v>3.7</c:v>
                </c:pt>
                <c:pt idx="2">
                  <c:v>3</c:v>
                </c:pt>
                <c:pt idx="3">
                  <c:v>2.5</c:v>
                </c:pt>
                <c:pt idx="4">
                  <c:v>2</c:v>
                </c:pt>
                <c:pt idx="5">
                  <c:v>1.5</c:v>
                </c:pt>
                <c:pt idx="6">
                  <c:v>0.9</c:v>
                </c:pt>
                <c:pt idx="7">
                  <c:v>0.5</c:v>
                </c:pt>
                <c:pt idx="8">
                  <c:v>0.6</c:v>
                </c:pt>
              </c:numCache>
            </c:numRef>
          </c:val>
          <c:smooth val="0"/>
          <c:extLst>
            <c:ext xmlns:c16="http://schemas.microsoft.com/office/drawing/2014/chart" uri="{C3380CC4-5D6E-409C-BE32-E72D297353CC}">
              <c16:uniqueId val="{00000001-ED74-4CF0-8613-812FF7B8D62D}"/>
            </c:ext>
          </c:extLst>
        </c:ser>
        <c:ser>
          <c:idx val="2"/>
          <c:order val="2"/>
          <c:tx>
            <c:strRef>
              <c:f>Φύλλο1!$C$8</c:f>
              <c:strCache>
                <c:ptCount val="1"/>
                <c:pt idx="0">
                  <c:v>Ρυθμός μεγέθυνσης (ΑΕΠ) Ευρωζώνης </c:v>
                </c:pt>
              </c:strCache>
            </c:strRef>
          </c:tx>
          <c:spPr>
            <a:ln w="28575" cap="rnd">
              <a:solidFill>
                <a:schemeClr val="accent6"/>
              </a:solidFill>
              <a:round/>
            </a:ln>
            <a:effectLst/>
          </c:spPr>
          <c:marker>
            <c:symbol val="square"/>
            <c:size val="5"/>
            <c:spPr>
              <a:solidFill>
                <a:srgbClr val="70AD47">
                  <a:lumMod val="75000"/>
                </a:srgbClr>
              </a:solidFill>
              <a:ln w="9525">
                <a:solidFill>
                  <a:srgbClr val="70AD47">
                    <a:lumMod val="75000"/>
                  </a:srgb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Φύλλο1!$D$5:$L$5</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Φύλλο1!$D$8:$L$8</c:f>
              <c:numCache>
                <c:formatCode>General</c:formatCode>
                <c:ptCount val="9"/>
                <c:pt idx="0">
                  <c:v>1.7</c:v>
                </c:pt>
                <c:pt idx="1">
                  <c:v>-0.9</c:v>
                </c:pt>
                <c:pt idx="2">
                  <c:v>-0.2</c:v>
                </c:pt>
                <c:pt idx="3">
                  <c:v>1.4</c:v>
                </c:pt>
                <c:pt idx="4">
                  <c:v>2</c:v>
                </c:pt>
                <c:pt idx="5">
                  <c:v>1.9</c:v>
                </c:pt>
                <c:pt idx="6">
                  <c:v>2.6</c:v>
                </c:pt>
                <c:pt idx="7">
                  <c:v>1.9</c:v>
                </c:pt>
                <c:pt idx="8">
                  <c:v>1.5</c:v>
                </c:pt>
              </c:numCache>
            </c:numRef>
          </c:val>
          <c:smooth val="0"/>
          <c:extLst>
            <c:ext xmlns:c16="http://schemas.microsoft.com/office/drawing/2014/chart" uri="{C3380CC4-5D6E-409C-BE32-E72D297353CC}">
              <c16:uniqueId val="{00000002-ED74-4CF0-8613-812FF7B8D62D}"/>
            </c:ext>
          </c:extLst>
        </c:ser>
        <c:dLbls>
          <c:showLegendKey val="0"/>
          <c:showVal val="0"/>
          <c:showCatName val="0"/>
          <c:showSerName val="0"/>
          <c:showPercent val="0"/>
          <c:showBubbleSize val="0"/>
        </c:dLbls>
        <c:marker val="1"/>
        <c:smooth val="0"/>
        <c:axId val="660187247"/>
        <c:axId val="673359663"/>
      </c:lineChart>
      <c:catAx>
        <c:axId val="673365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73361743"/>
        <c:crosses val="autoZero"/>
        <c:auto val="1"/>
        <c:lblAlgn val="ctr"/>
        <c:lblOffset val="100"/>
        <c:noMultiLvlLbl val="0"/>
      </c:catAx>
      <c:valAx>
        <c:axId val="673361743"/>
        <c:scaling>
          <c:orientation val="minMax"/>
          <c:max val="100"/>
          <c:min val="4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l-GR"/>
          </a:p>
        </c:txPr>
        <c:crossAx val="673365487"/>
        <c:crosses val="autoZero"/>
        <c:crossBetween val="between"/>
      </c:valAx>
      <c:valAx>
        <c:axId val="673359663"/>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l-GR"/>
          </a:p>
        </c:txPr>
        <c:crossAx val="660187247"/>
        <c:crosses val="max"/>
        <c:crossBetween val="between"/>
      </c:valAx>
      <c:catAx>
        <c:axId val="660187247"/>
        <c:scaling>
          <c:orientation val="minMax"/>
        </c:scaling>
        <c:delete val="1"/>
        <c:axPos val="b"/>
        <c:numFmt formatCode="General" sourceLinked="1"/>
        <c:majorTickMark val="out"/>
        <c:minorTickMark val="none"/>
        <c:tickLblPos val="nextTo"/>
        <c:crossAx val="673359663"/>
        <c:crosses val="autoZero"/>
        <c:auto val="1"/>
        <c:lblAlgn val="ctr"/>
        <c:lblOffset val="100"/>
        <c:noMultiLvlLbl val="0"/>
      </c:catAx>
      <c:spPr>
        <a:noFill/>
        <a:ln>
          <a:noFill/>
        </a:ln>
        <a:effectLst/>
      </c:spPr>
    </c:plotArea>
    <c:legend>
      <c:legendPos val="b"/>
      <c:layout>
        <c:manualLayout>
          <c:xMode val="edge"/>
          <c:yMode val="edge"/>
          <c:x val="2.5304579464880322E-2"/>
          <c:y val="0.85440133353804315"/>
          <c:w val="0.89963940141810628"/>
          <c:h val="0.13897718216977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tx>
            <c:strRef>
              <c:f>Φύλλο2!$E$10</c:f>
              <c:strCache>
                <c:ptCount val="1"/>
                <c:pt idx="0">
                  <c:v>Ευρωζώνη</c:v>
                </c:pt>
              </c:strCache>
            </c:strRef>
          </c:tx>
          <c:spPr>
            <a:solidFill>
              <a:srgbClr val="92D050"/>
            </a:solidFill>
            <a:ln w="25400">
              <a:noFill/>
            </a:ln>
            <a:effectLst/>
          </c:spPr>
          <c:invertIfNegative val="0"/>
          <c:dLbls>
            <c:dLbl>
              <c:idx val="0"/>
              <c:layout>
                <c:manualLayout>
                  <c:x val="0"/>
                  <c:y val="-6.8060281964025277E-2"/>
                </c:manualLayout>
              </c:layout>
              <c:spPr>
                <a:solidFill>
                  <a:srgbClr val="70AD47">
                    <a:lumMod val="20000"/>
                    <a:lumOff val="80000"/>
                  </a:srgbClr>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70-4080-972C-2B5317860C93}"/>
                </c:ext>
              </c:extLst>
            </c:dLbl>
            <c:dLbl>
              <c:idx val="1"/>
              <c:layout>
                <c:manualLayout>
                  <c:x val="1.63398692810457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D9-4F1F-8E46-FD35432A8DC6}"/>
                </c:ext>
              </c:extLst>
            </c:dLbl>
            <c:dLbl>
              <c:idx val="10"/>
              <c:layout>
                <c:manualLayout>
                  <c:x val="-1.7094017094017096E-2"/>
                  <c:y val="-6.48193161562145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70-4080-972C-2B5317860C93}"/>
                </c:ext>
              </c:extLst>
            </c:dLbl>
            <c:spPr>
              <a:solidFill>
                <a:srgbClr val="70AD47">
                  <a:lumMod val="20000"/>
                  <a:lumOff val="8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Φύλλο2!$B$11:$B$21</c:f>
              <c:strCache>
                <c:ptCount val="11"/>
                <c:pt idx="0">
                  <c:v>ΣΥΝΟΛΟ</c:v>
                </c:pt>
                <c:pt idx="1">
                  <c:v>Γεωργία…</c:v>
                </c:pt>
                <c:pt idx="2">
                  <c:v>Βιομηχανία (πλην κατασκευών)</c:v>
                </c:pt>
                <c:pt idx="3">
                  <c:v>Κατασκευές</c:v>
                </c:pt>
                <c:pt idx="4">
                  <c:v>Εμπόριο, μεταφορές, διαμονή &amp; εστίαση</c:v>
                </c:pt>
                <c:pt idx="5">
                  <c:v>Πληροφορίες &amp; τηλεπικοινωνίες</c:v>
                </c:pt>
                <c:pt idx="6">
                  <c:v>Τραπεζικές &amp; ασφ. δραστηριότητες</c:v>
                </c:pt>
                <c:pt idx="7">
                  <c:v>Διαχείριση ακίνησης περιουσίας</c:v>
                </c:pt>
                <c:pt idx="8">
                  <c:v>Επιστημονικές δραστηριότητες</c:v>
                </c:pt>
                <c:pt idx="9">
                  <c:v>Δημόσια Διοίκηση, Εκπαίδευση, Υγεία, Άμυνα, Ασφάλεια</c:v>
                </c:pt>
                <c:pt idx="10">
                  <c:v>Τέχνες &amp; Πολιτισμός</c:v>
                </c:pt>
              </c:strCache>
            </c:strRef>
          </c:cat>
          <c:val>
            <c:numRef>
              <c:f>Φύλλο2!$E$11:$E$21</c:f>
              <c:numCache>
                <c:formatCode>0.0%</c:formatCode>
                <c:ptCount val="11"/>
                <c:pt idx="0">
                  <c:v>-3.0911217695943072E-2</c:v>
                </c:pt>
                <c:pt idx="1">
                  <c:v>-2.0969278287634396E-2</c:v>
                </c:pt>
                <c:pt idx="2">
                  <c:v>-2.8932641061441E-3</c:v>
                </c:pt>
                <c:pt idx="3">
                  <c:v>-1.2603092783505132E-2</c:v>
                </c:pt>
                <c:pt idx="4">
                  <c:v>-0.11828064634933388</c:v>
                </c:pt>
                <c:pt idx="5">
                  <c:v>7.325081117834209E-2</c:v>
                </c:pt>
                <c:pt idx="6">
                  <c:v>1.598521164009048E-2</c:v>
                </c:pt>
                <c:pt idx="7">
                  <c:v>4.5189681113824154E-3</c:v>
                </c:pt>
                <c:pt idx="8">
                  <c:v>-4.269586233113587E-2</c:v>
                </c:pt>
                <c:pt idx="9">
                  <c:v>-2.0259415180488016E-3</c:v>
                </c:pt>
                <c:pt idx="10">
                  <c:v>-0.19684064712816085</c:v>
                </c:pt>
              </c:numCache>
            </c:numRef>
          </c:val>
          <c:extLst>
            <c:ext xmlns:c16="http://schemas.microsoft.com/office/drawing/2014/chart" uri="{C3380CC4-5D6E-409C-BE32-E72D297353CC}">
              <c16:uniqueId val="{00000002-3170-4080-972C-2B5317860C93}"/>
            </c:ext>
          </c:extLst>
        </c:ser>
        <c:ser>
          <c:idx val="3"/>
          <c:order val="1"/>
          <c:tx>
            <c:strRef>
              <c:f>Φύλλο2!$F$10</c:f>
              <c:strCache>
                <c:ptCount val="1"/>
                <c:pt idx="0">
                  <c:v>Ελλάδα</c:v>
                </c:pt>
              </c:strCache>
            </c:strRef>
          </c:tx>
          <c:spPr>
            <a:solidFill>
              <a:schemeClr val="accent1"/>
            </a:solidFill>
            <a:ln w="25400">
              <a:noFill/>
            </a:ln>
            <a:effectLst/>
          </c:spPr>
          <c:invertIfNegative val="0"/>
          <c:dLbls>
            <c:dLbl>
              <c:idx val="0"/>
              <c:spPr>
                <a:solidFill>
                  <a:srgbClr val="5B9BD5">
                    <a:lumMod val="20000"/>
                    <a:lumOff val="80000"/>
                  </a:srgbClr>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6="http://schemas.microsoft.com/office/drawing/2014/chart" uri="{C3380CC4-5D6E-409C-BE32-E72D297353CC}">
                  <c16:uniqueId val="{00000000-2BD9-4F1F-8E46-FD35432A8DC6}"/>
                </c:ext>
              </c:extLst>
            </c:dLbl>
            <c:dLbl>
              <c:idx val="4"/>
              <c:layout>
                <c:manualLayout>
                  <c:x val="2.1367521367520585E-3"/>
                  <c:y val="-2.91686922702964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70-4080-972C-2B5317860C93}"/>
                </c:ext>
              </c:extLst>
            </c:dLbl>
            <c:dLbl>
              <c:idx val="5"/>
              <c:layout>
                <c:manualLayout>
                  <c:x val="1.0683760683760684E-2"/>
                  <c:y val="-3.24096580781073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70-4080-972C-2B5317860C93}"/>
                </c:ext>
              </c:extLst>
            </c:dLbl>
            <c:dLbl>
              <c:idx val="7"/>
              <c:layout>
                <c:manualLayout>
                  <c:x val="1.9230769230769232E-2"/>
                  <c:y val="-1.2963863231242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70-4080-972C-2B5317860C93}"/>
                </c:ext>
              </c:extLst>
            </c:dLbl>
            <c:dLbl>
              <c:idx val="8"/>
              <c:layout>
                <c:manualLayout>
                  <c:x val="2.136752136752137E-3"/>
                  <c:y val="-5.8337384540593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170-4080-972C-2B5317860C93}"/>
                </c:ext>
              </c:extLst>
            </c:dLbl>
            <c:spPr>
              <a:solidFill>
                <a:srgbClr val="5B9BD5">
                  <a:lumMod val="20000"/>
                  <a:lumOff val="8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Φύλλο2!$B$11:$B$21</c:f>
              <c:strCache>
                <c:ptCount val="11"/>
                <c:pt idx="0">
                  <c:v>ΣΥΝΟΛΟ</c:v>
                </c:pt>
                <c:pt idx="1">
                  <c:v>Γεωργία…</c:v>
                </c:pt>
                <c:pt idx="2">
                  <c:v>Βιομηχανία (πλην κατασκευών)</c:v>
                </c:pt>
                <c:pt idx="3">
                  <c:v>Κατασκευές</c:v>
                </c:pt>
                <c:pt idx="4">
                  <c:v>Εμπόριο, μεταφορές, διαμονή &amp; εστίαση</c:v>
                </c:pt>
                <c:pt idx="5">
                  <c:v>Πληροφορίες &amp; τηλεπικοινωνίες</c:v>
                </c:pt>
                <c:pt idx="6">
                  <c:v>Τραπεζικές &amp; ασφ. δραστηριότητες</c:v>
                </c:pt>
                <c:pt idx="7">
                  <c:v>Διαχείριση ακίνησης περιουσίας</c:v>
                </c:pt>
                <c:pt idx="8">
                  <c:v>Επιστημονικές δραστηριότητες</c:v>
                </c:pt>
                <c:pt idx="9">
                  <c:v>Δημόσια Διοίκηση, Εκπαίδευση, Υγεία, Άμυνα, Ασφάλεια</c:v>
                </c:pt>
                <c:pt idx="10">
                  <c:v>Τέχνες &amp; Πολιτισμός</c:v>
                </c:pt>
              </c:strCache>
            </c:strRef>
          </c:cat>
          <c:val>
            <c:numRef>
              <c:f>Φύλλο2!$F$11:$F$21</c:f>
              <c:numCache>
                <c:formatCode>0.0%</c:formatCode>
                <c:ptCount val="11"/>
                <c:pt idx="0">
                  <c:v>-2.8188721407806483E-2</c:v>
                </c:pt>
                <c:pt idx="1">
                  <c:v>2.1227004078914424E-2</c:v>
                </c:pt>
                <c:pt idx="2">
                  <c:v>4.2740189917609417E-2</c:v>
                </c:pt>
                <c:pt idx="3">
                  <c:v>0.33214383749656884</c:v>
                </c:pt>
                <c:pt idx="4">
                  <c:v>-0.13608089978205429</c:v>
                </c:pt>
                <c:pt idx="5">
                  <c:v>8.8780619840303165E-2</c:v>
                </c:pt>
                <c:pt idx="6">
                  <c:v>-0.12034560302994424</c:v>
                </c:pt>
                <c:pt idx="7">
                  <c:v>4.3616291042236632E-4</c:v>
                </c:pt>
                <c:pt idx="8">
                  <c:v>-2.5424675905230232E-2</c:v>
                </c:pt>
                <c:pt idx="9">
                  <c:v>4.4964560902507111E-2</c:v>
                </c:pt>
                <c:pt idx="10">
                  <c:v>-0.30600499511347579</c:v>
                </c:pt>
              </c:numCache>
            </c:numRef>
          </c:val>
          <c:extLst>
            <c:ext xmlns:c16="http://schemas.microsoft.com/office/drawing/2014/chart" uri="{C3380CC4-5D6E-409C-BE32-E72D297353CC}">
              <c16:uniqueId val="{00000007-3170-4080-972C-2B5317860C93}"/>
            </c:ext>
          </c:extLst>
        </c:ser>
        <c:dLbls>
          <c:showLegendKey val="0"/>
          <c:showVal val="0"/>
          <c:showCatName val="0"/>
          <c:showSerName val="0"/>
          <c:showPercent val="0"/>
          <c:showBubbleSize val="0"/>
        </c:dLbls>
        <c:gapWidth val="51"/>
        <c:axId val="323074511"/>
        <c:axId val="323074927"/>
      </c:barChart>
      <c:catAx>
        <c:axId val="323074511"/>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l-GR"/>
          </a:p>
        </c:txPr>
        <c:crossAx val="323074927"/>
        <c:crosses val="autoZero"/>
        <c:auto val="1"/>
        <c:lblAlgn val="ctr"/>
        <c:lblOffset val="100"/>
        <c:noMultiLvlLbl val="0"/>
      </c:catAx>
      <c:valAx>
        <c:axId val="323074927"/>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23074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Φύλλο3!$C$10</c:f>
              <c:strCache>
                <c:ptCount val="1"/>
                <c:pt idx="0">
                  <c:v>2019A</c:v>
                </c:pt>
              </c:strCache>
            </c:strRef>
          </c:tx>
          <c:spPr>
            <a:solidFill>
              <a:schemeClr val="accent1"/>
            </a:solidFill>
            <a:ln>
              <a:noFill/>
            </a:ln>
            <a:effectLst/>
          </c:spPr>
          <c:invertIfNegative val="0"/>
          <c:cat>
            <c:strRef>
              <c:f>Φύλλο3!$B$11:$B$20</c:f>
              <c:strCache>
                <c:ptCount val="10"/>
                <c:pt idx="0">
                  <c:v>Γεωργία…</c:v>
                </c:pt>
                <c:pt idx="1">
                  <c:v>Βιομηχανία (πλην κατασκευών)</c:v>
                </c:pt>
                <c:pt idx="2">
                  <c:v>Κατασκευές</c:v>
                </c:pt>
                <c:pt idx="3">
                  <c:v>Εμπόριο, μεταφορές, διαμονή &amp; εστίαση</c:v>
                </c:pt>
                <c:pt idx="4">
                  <c:v>Πληροφορίες &amp; τηλεπικοινωνίες</c:v>
                </c:pt>
                <c:pt idx="5">
                  <c:v>Τραπεζικές &amp; ασφ. δραστηριότητες</c:v>
                </c:pt>
                <c:pt idx="6">
                  <c:v>Διαχείριση ακίνησης περιουσίας</c:v>
                </c:pt>
                <c:pt idx="7">
                  <c:v>Επιστημονικές δραστηριότητες</c:v>
                </c:pt>
                <c:pt idx="8">
                  <c:v>Δημόσια Διοίκηση, Εκπαίδευση, Υγεία, Άμυνα, Ασφάλεια</c:v>
                </c:pt>
                <c:pt idx="9">
                  <c:v>Τέχνες &amp; Πολιτισμός</c:v>
                </c:pt>
              </c:strCache>
            </c:strRef>
          </c:cat>
          <c:val>
            <c:numRef>
              <c:f>Φύλλο3!$C$11:$C$20</c:f>
              <c:numCache>
                <c:formatCode>0.0%</c:formatCode>
                <c:ptCount val="10"/>
                <c:pt idx="0">
                  <c:v>1.4711878518564611E-2</c:v>
                </c:pt>
                <c:pt idx="1">
                  <c:v>0.20344216612189761</c:v>
                </c:pt>
                <c:pt idx="2">
                  <c:v>4.7547509312787291E-2</c:v>
                </c:pt>
                <c:pt idx="3">
                  <c:v>0.18874813570813403</c:v>
                </c:pt>
                <c:pt idx="4">
                  <c:v>5.1278692187335065E-2</c:v>
                </c:pt>
                <c:pt idx="5">
                  <c:v>4.7495546225830479E-2</c:v>
                </c:pt>
                <c:pt idx="6">
                  <c:v>0.11101736628503281</c:v>
                </c:pt>
                <c:pt idx="7">
                  <c:v>0.11589446468997558</c:v>
                </c:pt>
                <c:pt idx="8">
                  <c:v>0.18540544065181994</c:v>
                </c:pt>
                <c:pt idx="9">
                  <c:v>3.4458800298622715E-2</c:v>
                </c:pt>
              </c:numCache>
            </c:numRef>
          </c:val>
          <c:extLst>
            <c:ext xmlns:c16="http://schemas.microsoft.com/office/drawing/2014/chart" uri="{C3380CC4-5D6E-409C-BE32-E72D297353CC}">
              <c16:uniqueId val="{00000000-1975-48CD-9363-F6F95F146474}"/>
            </c:ext>
          </c:extLst>
        </c:ser>
        <c:ser>
          <c:idx val="1"/>
          <c:order val="1"/>
          <c:tx>
            <c:strRef>
              <c:f>Φύλλο3!$D$10</c:f>
              <c:strCache>
                <c:ptCount val="1"/>
                <c:pt idx="0">
                  <c:v>2020A</c:v>
                </c:pt>
              </c:strCache>
            </c:strRef>
          </c:tx>
          <c:spPr>
            <a:solidFill>
              <a:srgbClr val="00B050"/>
            </a:solidFill>
            <a:ln>
              <a:solidFill>
                <a:srgbClr val="00B050"/>
              </a:solidFill>
            </a:ln>
            <a:effectLst/>
          </c:spPr>
          <c:invertIfNegative val="0"/>
          <c:cat>
            <c:strRef>
              <c:f>Φύλλο3!$B$11:$B$20</c:f>
              <c:strCache>
                <c:ptCount val="10"/>
                <c:pt idx="0">
                  <c:v>Γεωργία…</c:v>
                </c:pt>
                <c:pt idx="1">
                  <c:v>Βιομηχανία (πλην κατασκευών)</c:v>
                </c:pt>
                <c:pt idx="2">
                  <c:v>Κατασκευές</c:v>
                </c:pt>
                <c:pt idx="3">
                  <c:v>Εμπόριο, μεταφορές, διαμονή &amp; εστίαση</c:v>
                </c:pt>
                <c:pt idx="4">
                  <c:v>Πληροφορίες &amp; τηλεπικοινωνίες</c:v>
                </c:pt>
                <c:pt idx="5">
                  <c:v>Τραπεζικές &amp; ασφ. δραστηριότητες</c:v>
                </c:pt>
                <c:pt idx="6">
                  <c:v>Διαχείριση ακίνησης περιουσίας</c:v>
                </c:pt>
                <c:pt idx="7">
                  <c:v>Επιστημονικές δραστηριότητες</c:v>
                </c:pt>
                <c:pt idx="8">
                  <c:v>Δημόσια Διοίκηση, Εκπαίδευση, Υγεία, Άμυνα, Ασφάλεια</c:v>
                </c:pt>
                <c:pt idx="9">
                  <c:v>Τέχνες &amp; Πολιτισμός</c:v>
                </c:pt>
              </c:strCache>
            </c:strRef>
          </c:cat>
          <c:val>
            <c:numRef>
              <c:f>Φύλλο3!$D$11:$D$20</c:f>
              <c:numCache>
                <c:formatCode>0.0%</c:formatCode>
                <c:ptCount val="10"/>
                <c:pt idx="0">
                  <c:v>1.5969615056421357E-2</c:v>
                </c:pt>
                <c:pt idx="1">
                  <c:v>0.198433331853865</c:v>
                </c:pt>
                <c:pt idx="2">
                  <c:v>4.7104408635823408E-2</c:v>
                </c:pt>
                <c:pt idx="3">
                  <c:v>0.17241154181979326</c:v>
                </c:pt>
                <c:pt idx="4">
                  <c:v>5.606675915618145E-2</c:v>
                </c:pt>
                <c:pt idx="5">
                  <c:v>5.1289874351982588E-2</c:v>
                </c:pt>
                <c:pt idx="6">
                  <c:v>0.1201563956148559</c:v>
                </c:pt>
                <c:pt idx="7">
                  <c:v>0.11475228555653559</c:v>
                </c:pt>
                <c:pt idx="8">
                  <c:v>0.19272687305618061</c:v>
                </c:pt>
                <c:pt idx="9">
                  <c:v>3.1088914898360853E-2</c:v>
                </c:pt>
              </c:numCache>
            </c:numRef>
          </c:val>
          <c:extLst>
            <c:ext xmlns:c16="http://schemas.microsoft.com/office/drawing/2014/chart" uri="{C3380CC4-5D6E-409C-BE32-E72D297353CC}">
              <c16:uniqueId val="{00000001-1975-48CD-9363-F6F95F146474}"/>
            </c:ext>
          </c:extLst>
        </c:ser>
        <c:ser>
          <c:idx val="2"/>
          <c:order val="2"/>
          <c:tx>
            <c:strRef>
              <c:f>Φύλλο3!$E$10</c:f>
              <c:strCache>
                <c:ptCount val="1"/>
                <c:pt idx="0">
                  <c:v>2021A</c:v>
                </c:pt>
              </c:strCache>
            </c:strRef>
          </c:tx>
          <c:spPr>
            <a:solidFill>
              <a:schemeClr val="accent3"/>
            </a:solidFill>
            <a:ln>
              <a:noFill/>
            </a:ln>
            <a:effectLst/>
          </c:spPr>
          <c:invertIfNegative val="0"/>
          <c:cat>
            <c:strRef>
              <c:f>Φύλλο3!$B$11:$B$20</c:f>
              <c:strCache>
                <c:ptCount val="10"/>
                <c:pt idx="0">
                  <c:v>Γεωργία…</c:v>
                </c:pt>
                <c:pt idx="1">
                  <c:v>Βιομηχανία (πλην κατασκευών)</c:v>
                </c:pt>
                <c:pt idx="2">
                  <c:v>Κατασκευές</c:v>
                </c:pt>
                <c:pt idx="3">
                  <c:v>Εμπόριο, μεταφορές, διαμονή &amp; εστίαση</c:v>
                </c:pt>
                <c:pt idx="4">
                  <c:v>Πληροφορίες &amp; τηλεπικοινωνίες</c:v>
                </c:pt>
                <c:pt idx="5">
                  <c:v>Τραπεζικές &amp; ασφ. δραστηριότητες</c:v>
                </c:pt>
                <c:pt idx="6">
                  <c:v>Διαχείριση ακίνησης περιουσίας</c:v>
                </c:pt>
                <c:pt idx="7">
                  <c:v>Επιστημονικές δραστηριότητες</c:v>
                </c:pt>
                <c:pt idx="8">
                  <c:v>Δημόσια Διοίκηση, Εκπαίδευση, Υγεία, Άμυνα, Ασφάλεια</c:v>
                </c:pt>
                <c:pt idx="9">
                  <c:v>Τέχνες &amp; Πολιτισμός</c:v>
                </c:pt>
              </c:strCache>
            </c:strRef>
          </c:cat>
          <c:val>
            <c:numRef>
              <c:f>Φύλλο3!$E$11:$E$20</c:f>
              <c:numCache>
                <c:formatCode>0.0%</c:formatCode>
                <c:ptCount val="10"/>
                <c:pt idx="0">
                  <c:v>1.4862808554578666E-2</c:v>
                </c:pt>
                <c:pt idx="1">
                  <c:v>0.20932401438254861</c:v>
                </c:pt>
                <c:pt idx="2">
                  <c:v>4.8445781747335701E-2</c:v>
                </c:pt>
                <c:pt idx="3">
                  <c:v>0.17173130806825093</c:v>
                </c:pt>
                <c:pt idx="4">
                  <c:v>5.6790357076854876E-2</c:v>
                </c:pt>
                <c:pt idx="5">
                  <c:v>4.9793964665945212E-2</c:v>
                </c:pt>
                <c:pt idx="6">
                  <c:v>0.11507619555552219</c:v>
                </c:pt>
                <c:pt idx="7">
                  <c:v>0.11448512520891167</c:v>
                </c:pt>
                <c:pt idx="8">
                  <c:v>0.1909317530557042</c:v>
                </c:pt>
                <c:pt idx="9">
                  <c:v>2.8558691684347954E-2</c:v>
                </c:pt>
              </c:numCache>
            </c:numRef>
          </c:val>
          <c:extLst>
            <c:ext xmlns:c16="http://schemas.microsoft.com/office/drawing/2014/chart" uri="{C3380CC4-5D6E-409C-BE32-E72D297353CC}">
              <c16:uniqueId val="{00000002-1975-48CD-9363-F6F95F146474}"/>
            </c:ext>
          </c:extLst>
        </c:ser>
        <c:dLbls>
          <c:showLegendKey val="0"/>
          <c:showVal val="0"/>
          <c:showCatName val="0"/>
          <c:showSerName val="0"/>
          <c:showPercent val="0"/>
          <c:showBubbleSize val="0"/>
        </c:dLbls>
        <c:gapWidth val="219"/>
        <c:overlap val="-27"/>
        <c:axId val="323070767"/>
        <c:axId val="323072015"/>
      </c:barChart>
      <c:catAx>
        <c:axId val="323070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l-GR"/>
          </a:p>
        </c:txPr>
        <c:crossAx val="323072015"/>
        <c:crosses val="autoZero"/>
        <c:auto val="1"/>
        <c:lblAlgn val="ctr"/>
        <c:lblOffset val="100"/>
        <c:noMultiLvlLbl val="0"/>
      </c:catAx>
      <c:valAx>
        <c:axId val="32307201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23070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Φύλλο3!$C$10</c:f>
              <c:strCache>
                <c:ptCount val="1"/>
                <c:pt idx="0">
                  <c:v>2019A</c:v>
                </c:pt>
              </c:strCache>
            </c:strRef>
          </c:tx>
          <c:spPr>
            <a:solidFill>
              <a:schemeClr val="accent1"/>
            </a:solidFill>
            <a:ln>
              <a:noFill/>
            </a:ln>
            <a:effectLst/>
          </c:spPr>
          <c:invertIfNegative val="0"/>
          <c:cat>
            <c:strRef>
              <c:f>Φύλλο3!$B$22:$B$31</c:f>
              <c:strCache>
                <c:ptCount val="10"/>
                <c:pt idx="0">
                  <c:v>Γεωργία…</c:v>
                </c:pt>
                <c:pt idx="1">
                  <c:v>Βιομηχανία (πλην κατασκευών)</c:v>
                </c:pt>
                <c:pt idx="2">
                  <c:v>Κατασκευές</c:v>
                </c:pt>
                <c:pt idx="3">
                  <c:v>Εμπόριο, μεταφορές, διαμονή &amp; εστίαση</c:v>
                </c:pt>
                <c:pt idx="4">
                  <c:v>Πληροφορίες &amp; τηλεπικοινωνίες</c:v>
                </c:pt>
                <c:pt idx="5">
                  <c:v>Τραπεζικές &amp; ασφ. δραστηριότητες</c:v>
                </c:pt>
                <c:pt idx="6">
                  <c:v>Διαχείριση ακίνησης περιουσίας</c:v>
                </c:pt>
                <c:pt idx="7">
                  <c:v>Επιστημονικές δραστηριότητες</c:v>
                </c:pt>
                <c:pt idx="8">
                  <c:v>Δημόσια Διοίκηση, Εκπαίδευση, Υγεία, Άμυνα, Ασφάλεια</c:v>
                </c:pt>
                <c:pt idx="9">
                  <c:v>Τέχνες &amp; Πολιτισμός</c:v>
                </c:pt>
              </c:strCache>
            </c:strRef>
          </c:cat>
          <c:val>
            <c:numRef>
              <c:f>Φύλλο3!$C$22:$C$31</c:f>
              <c:numCache>
                <c:formatCode>0.0%</c:formatCode>
                <c:ptCount val="10"/>
                <c:pt idx="0">
                  <c:v>4.6604887183041774E-2</c:v>
                </c:pt>
                <c:pt idx="1">
                  <c:v>0.14816730635933831</c:v>
                </c:pt>
                <c:pt idx="2">
                  <c:v>1.4133156081563404E-2</c:v>
                </c:pt>
                <c:pt idx="3">
                  <c:v>0.24386645079194302</c:v>
                </c:pt>
                <c:pt idx="4">
                  <c:v>2.8665904553025524E-2</c:v>
                </c:pt>
                <c:pt idx="5">
                  <c:v>5.4630357641654866E-2</c:v>
                </c:pt>
                <c:pt idx="6">
                  <c:v>0.18085887793422373</c:v>
                </c:pt>
                <c:pt idx="7">
                  <c:v>4.6285471906973859E-2</c:v>
                </c:pt>
                <c:pt idx="8">
                  <c:v>0.20106092426107738</c:v>
                </c:pt>
                <c:pt idx="9">
                  <c:v>3.5726663287158213E-2</c:v>
                </c:pt>
              </c:numCache>
            </c:numRef>
          </c:val>
          <c:extLst>
            <c:ext xmlns:c16="http://schemas.microsoft.com/office/drawing/2014/chart" uri="{C3380CC4-5D6E-409C-BE32-E72D297353CC}">
              <c16:uniqueId val="{00000000-5438-4B4D-B31F-33FE4B3EC795}"/>
            </c:ext>
          </c:extLst>
        </c:ser>
        <c:ser>
          <c:idx val="1"/>
          <c:order val="1"/>
          <c:tx>
            <c:strRef>
              <c:f>Φύλλο3!$D$10</c:f>
              <c:strCache>
                <c:ptCount val="1"/>
                <c:pt idx="0">
                  <c:v>2020A</c:v>
                </c:pt>
              </c:strCache>
            </c:strRef>
          </c:tx>
          <c:spPr>
            <a:solidFill>
              <a:srgbClr val="00B050"/>
            </a:solidFill>
            <a:ln>
              <a:solidFill>
                <a:srgbClr val="00B050"/>
              </a:solidFill>
            </a:ln>
            <a:effectLst/>
          </c:spPr>
          <c:invertIfNegative val="0"/>
          <c:cat>
            <c:strRef>
              <c:f>Φύλλο3!$B$22:$B$31</c:f>
              <c:strCache>
                <c:ptCount val="10"/>
                <c:pt idx="0">
                  <c:v>Γεωργία…</c:v>
                </c:pt>
                <c:pt idx="1">
                  <c:v>Βιομηχανία (πλην κατασκευών)</c:v>
                </c:pt>
                <c:pt idx="2">
                  <c:v>Κατασκευές</c:v>
                </c:pt>
                <c:pt idx="3">
                  <c:v>Εμπόριο, μεταφορές, διαμονή &amp; εστίαση</c:v>
                </c:pt>
                <c:pt idx="4">
                  <c:v>Πληροφορίες &amp; τηλεπικοινωνίες</c:v>
                </c:pt>
                <c:pt idx="5">
                  <c:v>Τραπεζικές &amp; ασφ. δραστηριότητες</c:v>
                </c:pt>
                <c:pt idx="6">
                  <c:v>Διαχείριση ακίνησης περιουσίας</c:v>
                </c:pt>
                <c:pt idx="7">
                  <c:v>Επιστημονικές δραστηριότητες</c:v>
                </c:pt>
                <c:pt idx="8">
                  <c:v>Δημόσια Διοίκηση, Εκπαίδευση, Υγεία, Άμυνα, Ασφάλεια</c:v>
                </c:pt>
                <c:pt idx="9">
                  <c:v>Τέχνες &amp; Πολιτισμός</c:v>
                </c:pt>
              </c:strCache>
            </c:strRef>
          </c:cat>
          <c:val>
            <c:numRef>
              <c:f>Φύλλο3!$D$22:$D$31</c:f>
              <c:numCache>
                <c:formatCode>0.0%</c:formatCode>
                <c:ptCount val="10"/>
                <c:pt idx="0">
                  <c:v>5.0841981704392178E-2</c:v>
                </c:pt>
                <c:pt idx="1">
                  <c:v>0.15120682163193208</c:v>
                </c:pt>
                <c:pt idx="2">
                  <c:v>1.8690639443343999E-2</c:v>
                </c:pt>
                <c:pt idx="3">
                  <c:v>0.20486340370539666</c:v>
                </c:pt>
                <c:pt idx="4">
                  <c:v>3.0478101139384088E-2</c:v>
                </c:pt>
                <c:pt idx="5">
                  <c:v>5.4638517841321434E-2</c:v>
                </c:pt>
                <c:pt idx="6">
                  <c:v>0.19606830661226513</c:v>
                </c:pt>
                <c:pt idx="7">
                  <c:v>4.3643941061280687E-2</c:v>
                </c:pt>
                <c:pt idx="8">
                  <c:v>0.22194287842619398</c:v>
                </c:pt>
                <c:pt idx="9">
                  <c:v>2.7625408434489643E-2</c:v>
                </c:pt>
              </c:numCache>
            </c:numRef>
          </c:val>
          <c:extLst>
            <c:ext xmlns:c16="http://schemas.microsoft.com/office/drawing/2014/chart" uri="{C3380CC4-5D6E-409C-BE32-E72D297353CC}">
              <c16:uniqueId val="{00000001-5438-4B4D-B31F-33FE4B3EC795}"/>
            </c:ext>
          </c:extLst>
        </c:ser>
        <c:ser>
          <c:idx val="2"/>
          <c:order val="2"/>
          <c:tx>
            <c:strRef>
              <c:f>Φύλλο3!$E$10</c:f>
              <c:strCache>
                <c:ptCount val="1"/>
                <c:pt idx="0">
                  <c:v>2021A</c:v>
                </c:pt>
              </c:strCache>
            </c:strRef>
          </c:tx>
          <c:spPr>
            <a:solidFill>
              <a:schemeClr val="accent3"/>
            </a:solidFill>
            <a:ln>
              <a:noFill/>
            </a:ln>
            <a:effectLst/>
          </c:spPr>
          <c:invertIfNegative val="0"/>
          <c:cat>
            <c:strRef>
              <c:f>Φύλλο3!$B$22:$B$31</c:f>
              <c:strCache>
                <c:ptCount val="10"/>
                <c:pt idx="0">
                  <c:v>Γεωργία…</c:v>
                </c:pt>
                <c:pt idx="1">
                  <c:v>Βιομηχανία (πλην κατασκευών)</c:v>
                </c:pt>
                <c:pt idx="2">
                  <c:v>Κατασκευές</c:v>
                </c:pt>
                <c:pt idx="3">
                  <c:v>Εμπόριο, μεταφορές, διαμονή &amp; εστίαση</c:v>
                </c:pt>
                <c:pt idx="4">
                  <c:v>Πληροφορίες &amp; τηλεπικοινωνίες</c:v>
                </c:pt>
                <c:pt idx="5">
                  <c:v>Τραπεζικές &amp; ασφ. δραστηριότητες</c:v>
                </c:pt>
                <c:pt idx="6">
                  <c:v>Διαχείριση ακίνησης περιουσίας</c:v>
                </c:pt>
                <c:pt idx="7">
                  <c:v>Επιστημονικές δραστηριότητες</c:v>
                </c:pt>
                <c:pt idx="8">
                  <c:v>Δημόσια Διοίκηση, Εκπαίδευση, Υγεία, Άμυνα, Ασφάλεια</c:v>
                </c:pt>
                <c:pt idx="9">
                  <c:v>Τέχνες &amp; Πολιτισμός</c:v>
                </c:pt>
              </c:strCache>
            </c:strRef>
          </c:cat>
          <c:val>
            <c:numRef>
              <c:f>Φύλλο3!$E$22:$E$31</c:f>
              <c:numCache>
                <c:formatCode>0.0%</c:formatCode>
                <c:ptCount val="10"/>
                <c:pt idx="0">
                  <c:v>4.8974703588870107E-2</c:v>
                </c:pt>
                <c:pt idx="1">
                  <c:v>0.15898149010632209</c:v>
                </c:pt>
                <c:pt idx="2">
                  <c:v>1.9373511290902076E-2</c:v>
                </c:pt>
                <c:pt idx="3">
                  <c:v>0.21679197327975092</c:v>
                </c:pt>
                <c:pt idx="4">
                  <c:v>3.2116195824295729E-2</c:v>
                </c:pt>
                <c:pt idx="5">
                  <c:v>4.9449759810509794E-2</c:v>
                </c:pt>
                <c:pt idx="6">
                  <c:v>0.18618611026094825</c:v>
                </c:pt>
                <c:pt idx="7">
                  <c:v>4.6417117992255383E-2</c:v>
                </c:pt>
                <c:pt idx="8">
                  <c:v>0.21619582429573247</c:v>
                </c:pt>
                <c:pt idx="9">
                  <c:v>2.5513313550413183E-2</c:v>
                </c:pt>
              </c:numCache>
            </c:numRef>
          </c:val>
          <c:extLst>
            <c:ext xmlns:c16="http://schemas.microsoft.com/office/drawing/2014/chart" uri="{C3380CC4-5D6E-409C-BE32-E72D297353CC}">
              <c16:uniqueId val="{00000002-5438-4B4D-B31F-33FE4B3EC795}"/>
            </c:ext>
          </c:extLst>
        </c:ser>
        <c:dLbls>
          <c:showLegendKey val="0"/>
          <c:showVal val="0"/>
          <c:showCatName val="0"/>
          <c:showSerName val="0"/>
          <c:showPercent val="0"/>
          <c:showBubbleSize val="0"/>
        </c:dLbls>
        <c:gapWidth val="219"/>
        <c:overlap val="-27"/>
        <c:axId val="323070767"/>
        <c:axId val="323072015"/>
      </c:barChart>
      <c:catAx>
        <c:axId val="323070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l-GR"/>
          </a:p>
        </c:txPr>
        <c:crossAx val="323072015"/>
        <c:crosses val="autoZero"/>
        <c:auto val="1"/>
        <c:lblAlgn val="ctr"/>
        <c:lblOffset val="100"/>
        <c:noMultiLvlLbl val="0"/>
      </c:catAx>
      <c:valAx>
        <c:axId val="32307201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23070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341207349081364E-2"/>
          <c:y val="2.8751229105211402E-2"/>
          <c:w val="0.85494395330547579"/>
          <c:h val="0.69602892558784135"/>
        </c:manualLayout>
      </c:layout>
      <c:barChart>
        <c:barDir val="col"/>
        <c:grouping val="clustered"/>
        <c:varyColors val="0"/>
        <c:ser>
          <c:idx val="0"/>
          <c:order val="0"/>
          <c:tx>
            <c:strRef>
              <c:f>'2019_8'!$D$2</c:f>
              <c:strCache>
                <c:ptCount val="1"/>
                <c:pt idx="0">
                  <c:v>Εν.ΔΤΚ (2015=100)</c:v>
                </c:pt>
              </c:strCache>
            </c:strRef>
          </c:tx>
          <c:spPr>
            <a:solidFill>
              <a:srgbClr val="00B0F0"/>
            </a:solidFill>
            <a:ln>
              <a:solidFill>
                <a:srgbClr val="00B0F0"/>
              </a:solidFill>
            </a:ln>
            <a:effectLst/>
          </c:spPr>
          <c:invertIfNegative val="0"/>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93-4888-93A4-3886950CFBF3}"/>
                </c:ext>
              </c:extLst>
            </c:dLbl>
            <c:dLbl>
              <c:idx val="1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93-4888-93A4-3886950CFBF3}"/>
                </c:ext>
              </c:extLst>
            </c:dLbl>
            <c:dLbl>
              <c:idx val="19"/>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93-4888-93A4-3886950CFBF3}"/>
                </c:ext>
              </c:extLst>
            </c:dLbl>
            <c:spPr>
              <a:solidFill>
                <a:srgbClr val="92D050"/>
              </a:solidFill>
            </c:spPr>
            <c:txPr>
              <a:bodyPr/>
              <a:lstStyle/>
              <a:p>
                <a:pPr>
                  <a:defRPr b="1"/>
                </a:pPr>
                <a:endParaRPr lang="el-GR"/>
              </a:p>
            </c:txPr>
            <c:dLblPos val="outEnd"/>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'2019_8'!$B$5:$C$24</c:f>
              <c:multiLvlStrCache>
                <c:ptCount val="20"/>
                <c:lvl>
                  <c:pt idx="0">
                    <c:v>Μάρ.</c:v>
                  </c:pt>
                  <c:pt idx="1">
                    <c:v>Απρ.</c:v>
                  </c:pt>
                  <c:pt idx="2">
                    <c:v>Μάϊος</c:v>
                  </c:pt>
                  <c:pt idx="3">
                    <c:v>Ιούν.</c:v>
                  </c:pt>
                  <c:pt idx="4">
                    <c:v>Ιούλ.</c:v>
                  </c:pt>
                  <c:pt idx="5">
                    <c:v>Αύγ.</c:v>
                  </c:pt>
                  <c:pt idx="6">
                    <c:v>Σεπ.</c:v>
                  </c:pt>
                  <c:pt idx="7">
                    <c:v>Οκτ.</c:v>
                  </c:pt>
                  <c:pt idx="8">
                    <c:v>Νοέμ.</c:v>
                  </c:pt>
                  <c:pt idx="9">
                    <c:v>Δεκ.</c:v>
                  </c:pt>
                  <c:pt idx="10">
                    <c:v>Ιαν.</c:v>
                  </c:pt>
                  <c:pt idx="11">
                    <c:v>Φεβ.</c:v>
                  </c:pt>
                  <c:pt idx="12">
                    <c:v>Μάρ.</c:v>
                  </c:pt>
                  <c:pt idx="13">
                    <c:v>Απρ.</c:v>
                  </c:pt>
                  <c:pt idx="14">
                    <c:v>Μάϊος</c:v>
                  </c:pt>
                  <c:pt idx="15">
                    <c:v>Ιούν.</c:v>
                  </c:pt>
                  <c:pt idx="16">
                    <c:v>Ιούλ.</c:v>
                  </c:pt>
                  <c:pt idx="17">
                    <c:v>Αύγ.</c:v>
                  </c:pt>
                  <c:pt idx="18">
                    <c:v>Σεπ.</c:v>
                  </c:pt>
                  <c:pt idx="19">
                    <c:v>Οκτ.</c:v>
                  </c:pt>
                </c:lvl>
                <c:lvl>
                  <c:pt idx="0">
                    <c:v>2020</c:v>
                  </c:pt>
                  <c:pt idx="10">
                    <c:v>2021</c:v>
                  </c:pt>
                </c:lvl>
              </c:multiLvlStrCache>
            </c:multiLvlStrRef>
          </c:cat>
          <c:val>
            <c:numRef>
              <c:f>'2019_8'!$D$5:$D$24</c:f>
              <c:numCache>
                <c:formatCode>0.00</c:formatCode>
                <c:ptCount val="20"/>
                <c:pt idx="0">
                  <c:v>102.51</c:v>
                </c:pt>
                <c:pt idx="1">
                  <c:v>102.39</c:v>
                </c:pt>
                <c:pt idx="2">
                  <c:v>102.23</c:v>
                </c:pt>
                <c:pt idx="3">
                  <c:v>101.56</c:v>
                </c:pt>
                <c:pt idx="4">
                  <c:v>100.17</c:v>
                </c:pt>
                <c:pt idx="5">
                  <c:v>99.45</c:v>
                </c:pt>
                <c:pt idx="6">
                  <c:v>100.91</c:v>
                </c:pt>
                <c:pt idx="7">
                  <c:v>101.13</c:v>
                </c:pt>
                <c:pt idx="8">
                  <c:v>100.31</c:v>
                </c:pt>
                <c:pt idx="9">
                  <c:v>100.49</c:v>
                </c:pt>
                <c:pt idx="10">
                  <c:v>99.2</c:v>
                </c:pt>
                <c:pt idx="11">
                  <c:v>99.39</c:v>
                </c:pt>
                <c:pt idx="12">
                  <c:v>100.43</c:v>
                </c:pt>
                <c:pt idx="13">
                  <c:v>101.29</c:v>
                </c:pt>
                <c:pt idx="14">
                  <c:v>100.98</c:v>
                </c:pt>
                <c:pt idx="15">
                  <c:v>102.17</c:v>
                </c:pt>
                <c:pt idx="16">
                  <c:v>100.83</c:v>
                </c:pt>
                <c:pt idx="17">
                  <c:v>100.68</c:v>
                </c:pt>
                <c:pt idx="18">
                  <c:v>102.83</c:v>
                </c:pt>
                <c:pt idx="19">
                  <c:v>104</c:v>
                </c:pt>
              </c:numCache>
            </c:numRef>
          </c:val>
          <c:extLst>
            <c:ext xmlns:c16="http://schemas.microsoft.com/office/drawing/2014/chart" uri="{C3380CC4-5D6E-409C-BE32-E72D297353CC}">
              <c16:uniqueId val="{00000003-5993-4888-93A4-3886950CFBF3}"/>
            </c:ext>
          </c:extLst>
        </c:ser>
        <c:dLbls>
          <c:showLegendKey val="0"/>
          <c:showVal val="0"/>
          <c:showCatName val="0"/>
          <c:showSerName val="0"/>
          <c:showPercent val="0"/>
          <c:showBubbleSize val="0"/>
        </c:dLbls>
        <c:gapWidth val="219"/>
        <c:overlap val="-27"/>
        <c:axId val="108159744"/>
        <c:axId val="108161280"/>
      </c:barChart>
      <c:lineChart>
        <c:grouping val="standard"/>
        <c:varyColors val="0"/>
        <c:ser>
          <c:idx val="1"/>
          <c:order val="1"/>
          <c:tx>
            <c:strRef>
              <c:f>'2019_8'!$E$2</c:f>
              <c:strCache>
                <c:ptCount val="1"/>
                <c:pt idx="0">
                  <c:v>Μεταβολή έναντι αντίστοιχου δείκτη προηγούμενου έτους (%)</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18"/>
              <c:numFmt formatCode="#,##0.0_ ;[Red]\-#,##0.0\ " sourceLinked="0"/>
              <c:spPr/>
              <c:txPr>
                <a:bodyPr/>
                <a:lstStyle/>
                <a:p>
                  <a:pPr>
                    <a:defRPr b="0"/>
                  </a:pPr>
                  <a:endParaRPr lang="el-GR"/>
                </a:p>
              </c:txPr>
              <c:dLblPos val="t"/>
              <c:showLegendKey val="0"/>
              <c:showVal val="1"/>
              <c:showCatName val="0"/>
              <c:showSerName val="0"/>
              <c:showPercent val="0"/>
              <c:showBubbleSize val="0"/>
              <c:extLst>
                <c:ext xmlns:c16="http://schemas.microsoft.com/office/drawing/2014/chart" uri="{C3380CC4-5D6E-409C-BE32-E72D297353CC}">
                  <c16:uniqueId val="{00000004-5993-4888-93A4-3886950CFBF3}"/>
                </c:ext>
              </c:extLst>
            </c:dLbl>
            <c:dLbl>
              <c:idx val="19"/>
              <c:layout>
                <c:manualLayout>
                  <c:x val="-2.8264379979949156E-2"/>
                  <c:y val="-3.3801817998357624E-2"/>
                </c:manualLayout>
              </c:layout>
              <c:numFmt formatCode="#,##0.0_ ;[Red]\-#,##0.0\ " sourceLinked="0"/>
              <c:spPr/>
              <c:txPr>
                <a:bodyPr/>
                <a:lstStyle/>
                <a:p>
                  <a:pPr>
                    <a:defRPr b="1"/>
                  </a:pPr>
                  <a:endParaRPr lang="el-G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93-4888-93A4-3886950CFBF3}"/>
                </c:ext>
              </c:extLst>
            </c:dLbl>
            <c:numFmt formatCode="#,##0.0_ ;[Red]\-#,##0.0\ "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'2019_8'!$B$8:$C$24</c:f>
              <c:multiLvlStrCache>
                <c:ptCount val="17"/>
                <c:lvl>
                  <c:pt idx="0">
                    <c:v>Ιούν.</c:v>
                  </c:pt>
                  <c:pt idx="1">
                    <c:v>Ιούλ.</c:v>
                  </c:pt>
                  <c:pt idx="2">
                    <c:v>Αύγ.</c:v>
                  </c:pt>
                  <c:pt idx="3">
                    <c:v>Σεπ.</c:v>
                  </c:pt>
                  <c:pt idx="4">
                    <c:v>Οκτ.</c:v>
                  </c:pt>
                  <c:pt idx="5">
                    <c:v>Νοέμ.</c:v>
                  </c:pt>
                  <c:pt idx="6">
                    <c:v>Δεκ.</c:v>
                  </c:pt>
                  <c:pt idx="7">
                    <c:v>Ιαν.</c:v>
                  </c:pt>
                  <c:pt idx="8">
                    <c:v>Φεβ.</c:v>
                  </c:pt>
                  <c:pt idx="9">
                    <c:v>Μάρ.</c:v>
                  </c:pt>
                  <c:pt idx="10">
                    <c:v>Απρ.</c:v>
                  </c:pt>
                  <c:pt idx="11">
                    <c:v>Μάϊος</c:v>
                  </c:pt>
                  <c:pt idx="12">
                    <c:v>Ιούν.</c:v>
                  </c:pt>
                  <c:pt idx="13">
                    <c:v>Ιούλ.</c:v>
                  </c:pt>
                  <c:pt idx="14">
                    <c:v>Αύγ.</c:v>
                  </c:pt>
                  <c:pt idx="15">
                    <c:v>Σεπ.</c:v>
                  </c:pt>
                  <c:pt idx="16">
                    <c:v>Οκτ.</c:v>
                  </c:pt>
                </c:lvl>
                <c:lvl>
                  <c:pt idx="7">
                    <c:v>2021</c:v>
                  </c:pt>
                </c:lvl>
              </c:multiLvlStrCache>
            </c:multiLvlStrRef>
          </c:cat>
          <c:val>
            <c:numRef>
              <c:f>'2019_8'!$F$5:$F$24</c:f>
              <c:numCache>
                <c:formatCode>General</c:formatCode>
                <c:ptCount val="20"/>
                <c:pt idx="0">
                  <c:v>0.18569194683347531</c:v>
                </c:pt>
                <c:pt idx="1">
                  <c:v>-0.90970676473434409</c:v>
                </c:pt>
                <c:pt idx="2">
                  <c:v>-0.68007383658797516</c:v>
                </c:pt>
                <c:pt idx="3">
                  <c:v>-1.9123044234112458</c:v>
                </c:pt>
                <c:pt idx="4">
                  <c:v>-2.1012509773260279</c:v>
                </c:pt>
                <c:pt idx="5">
                  <c:v>-2.2508354629447536</c:v>
                </c:pt>
                <c:pt idx="6">
                  <c:v>-2.3136495643756056</c:v>
                </c:pt>
                <c:pt idx="7">
                  <c:v>-2.0342923568730105</c:v>
                </c:pt>
                <c:pt idx="8">
                  <c:v>-2.1461320846746688</c:v>
                </c:pt>
                <c:pt idx="9">
                  <c:v>-2.3895094706168121</c:v>
                </c:pt>
                <c:pt idx="10">
                  <c:v>-2.3910262717701394</c:v>
                </c:pt>
                <c:pt idx="11">
                  <c:v>-1.8564234225338161</c:v>
                </c:pt>
                <c:pt idx="12">
                  <c:v>-2.0290703346015007</c:v>
                </c:pt>
                <c:pt idx="13">
                  <c:v>-1.074323664420348</c:v>
                </c:pt>
                <c:pt idx="14">
                  <c:v>-1.2227330529198865</c:v>
                </c:pt>
                <c:pt idx="15">
                  <c:v>0.60063016935801439</c:v>
                </c:pt>
                <c:pt idx="16">
                  <c:v>0.65887990416291964</c:v>
                </c:pt>
                <c:pt idx="17">
                  <c:v>1.2368024132730056</c:v>
                </c:pt>
                <c:pt idx="18">
                  <c:v>1.9026855613913405</c:v>
                </c:pt>
                <c:pt idx="19">
                  <c:v>2.8379313754573401</c:v>
                </c:pt>
              </c:numCache>
            </c:numRef>
          </c:val>
          <c:smooth val="0"/>
          <c:extLst>
            <c:ext xmlns:c16="http://schemas.microsoft.com/office/drawing/2014/chart" uri="{C3380CC4-5D6E-409C-BE32-E72D297353CC}">
              <c16:uniqueId val="{00000006-5993-4888-93A4-3886950CFBF3}"/>
            </c:ext>
          </c:extLst>
        </c:ser>
        <c:dLbls>
          <c:showLegendKey val="0"/>
          <c:showVal val="0"/>
          <c:showCatName val="0"/>
          <c:showSerName val="0"/>
          <c:showPercent val="0"/>
          <c:showBubbleSize val="0"/>
        </c:dLbls>
        <c:marker val="1"/>
        <c:smooth val="0"/>
        <c:axId val="108177280"/>
        <c:axId val="108175360"/>
      </c:lineChart>
      <c:catAx>
        <c:axId val="10815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08161280"/>
        <c:crosses val="autoZero"/>
        <c:auto val="1"/>
        <c:lblAlgn val="ctr"/>
        <c:lblOffset val="100"/>
        <c:noMultiLvlLbl val="0"/>
      </c:catAx>
      <c:valAx>
        <c:axId val="108161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08159744"/>
        <c:crosses val="autoZero"/>
        <c:crossBetween val="between"/>
      </c:valAx>
      <c:valAx>
        <c:axId val="108175360"/>
        <c:scaling>
          <c:orientation val="minMax"/>
        </c:scaling>
        <c:delete val="0"/>
        <c:axPos val="r"/>
        <c:title>
          <c:tx>
            <c:rich>
              <a:bodyPr rot="0" vert="horz"/>
              <a:lstStyle/>
              <a:p>
                <a:pPr>
                  <a:defRPr b="0"/>
                </a:pPr>
                <a:r>
                  <a:rPr lang="el-GR" b="0"/>
                  <a:t>%</a:t>
                </a:r>
                <a:endParaRPr lang="en-US" b="0"/>
              </a:p>
            </c:rich>
          </c:tx>
          <c:layout>
            <c:manualLayout>
              <c:xMode val="edge"/>
              <c:yMode val="edge"/>
              <c:x val="0.95874645388530766"/>
              <c:y val="0.4143465857748182"/>
            </c:manualLayout>
          </c:layout>
          <c:overlay val="0"/>
        </c:title>
        <c:numFmt formatCode="#,##0.0_ ;[Red]\-#,##0.0\ " sourceLinked="0"/>
        <c:majorTickMark val="none"/>
        <c:minorTickMark val="none"/>
        <c:tickLblPos val="nextTo"/>
        <c:spPr>
          <a:solidFill>
            <a:schemeClr val="accent1"/>
          </a:solidFill>
          <a:ln>
            <a:solidFill>
              <a:schemeClr val="accent1"/>
            </a:solidFill>
          </a:ln>
          <a:effectLst>
            <a:softEdge rad="228600"/>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l-GR"/>
          </a:p>
        </c:txPr>
        <c:crossAx val="108177280"/>
        <c:crosses val="max"/>
        <c:crossBetween val="between"/>
      </c:valAx>
      <c:catAx>
        <c:axId val="108177280"/>
        <c:scaling>
          <c:orientation val="minMax"/>
        </c:scaling>
        <c:delete val="1"/>
        <c:axPos val="b"/>
        <c:numFmt formatCode="General" sourceLinked="1"/>
        <c:majorTickMark val="none"/>
        <c:minorTickMark val="none"/>
        <c:tickLblPos val="nextTo"/>
        <c:crossAx val="108175360"/>
        <c:crossesAt val="0"/>
        <c:auto val="1"/>
        <c:lblAlgn val="ctr"/>
        <c:lblOffset val="100"/>
        <c:noMultiLvlLbl val="0"/>
      </c:catAx>
      <c:spPr>
        <a:noFill/>
        <a:ln>
          <a:noFill/>
        </a:ln>
        <a:effectLst/>
      </c:spPr>
    </c:plotArea>
    <c:legend>
      <c:legendPos val="b"/>
      <c:layout>
        <c:manualLayout>
          <c:xMode val="edge"/>
          <c:yMode val="edge"/>
          <c:x val="3.4079043368676398E-2"/>
          <c:y val="0.92334607063560215"/>
          <c:w val="0.93906194036214785"/>
          <c:h val="5.91331258244779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l-G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v>Ετήσιες % μεταβολές Εν.ΔΤΚ</c:v>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'monthly+constant'!$A$197:$A$208</c:f>
              <c:strCache>
                <c:ptCount val="12"/>
                <c:pt idx="0">
                  <c:v>Επικοινωνίες </c:v>
                </c:pt>
                <c:pt idx="1">
                  <c:v>Άλλα αγαθά &amp; υπηρεσίες </c:v>
                </c:pt>
                <c:pt idx="2">
                  <c:v>Αναψυχή - Πολιτιστικές δραστηριότητες </c:v>
                </c:pt>
                <c:pt idx="3">
                  <c:v>Υγεία </c:v>
                </c:pt>
                <c:pt idx="4">
                  <c:v>Αλκοολούχα ποτά &amp; καπνός </c:v>
                </c:pt>
                <c:pt idx="5">
                  <c:v>Ένδυση &amp; υπόδηση </c:v>
                </c:pt>
                <c:pt idx="6">
                  <c:v>Διαρκή αγαθά - Είδη νοικοκυριού &amp; υπηρεσίες </c:v>
                </c:pt>
                <c:pt idx="7">
                  <c:v>Εκπαίδευση </c:v>
                </c:pt>
                <c:pt idx="8">
                  <c:v>Ξενοδοχεία - Καφέ - Εστιατόρια </c:v>
                </c:pt>
                <c:pt idx="9">
                  <c:v>Διατροφή &amp; μη αλκοολούχα ποτά </c:v>
                </c:pt>
                <c:pt idx="10">
                  <c:v>Μεταφορές </c:v>
                </c:pt>
                <c:pt idx="11">
                  <c:v>Στέγαση - Ύδρευση - Ηλεκτρισμός - Αέριο</c:v>
                </c:pt>
              </c:strCache>
            </c:strRef>
          </c:cat>
          <c:val>
            <c:numRef>
              <c:f>'monthly+constant'!$B$197:$B$208</c:f>
              <c:numCache>
                <c:formatCode>0.0%</c:formatCode>
                <c:ptCount val="12"/>
                <c:pt idx="0">
                  <c:v>-2.4E-2</c:v>
                </c:pt>
                <c:pt idx="1">
                  <c:v>-9.0000000000000011E-3</c:v>
                </c:pt>
                <c:pt idx="2">
                  <c:v>-2E-3</c:v>
                </c:pt>
                <c:pt idx="3">
                  <c:v>0</c:v>
                </c:pt>
                <c:pt idx="4">
                  <c:v>1E-3</c:v>
                </c:pt>
                <c:pt idx="5">
                  <c:v>2E-3</c:v>
                </c:pt>
                <c:pt idx="6">
                  <c:v>8.0000000000000002E-3</c:v>
                </c:pt>
                <c:pt idx="7">
                  <c:v>9.0000000000000011E-3</c:v>
                </c:pt>
                <c:pt idx="8">
                  <c:v>1.4999999999999999E-2</c:v>
                </c:pt>
                <c:pt idx="9">
                  <c:v>2.8999999999999998E-2</c:v>
                </c:pt>
                <c:pt idx="10">
                  <c:v>5.7999999999999996E-2</c:v>
                </c:pt>
                <c:pt idx="11">
                  <c:v>0.11900000000000001</c:v>
                </c:pt>
              </c:numCache>
            </c:numRef>
          </c:val>
          <c:extLst>
            <c:ext xmlns:c16="http://schemas.microsoft.com/office/drawing/2014/chart" uri="{C3380CC4-5D6E-409C-BE32-E72D297353CC}">
              <c16:uniqueId val="{00000000-5527-4002-8703-42CBED19A5EB}"/>
            </c:ext>
          </c:extLst>
        </c:ser>
        <c:dLbls>
          <c:showLegendKey val="0"/>
          <c:showVal val="0"/>
          <c:showCatName val="0"/>
          <c:showSerName val="0"/>
          <c:showPercent val="0"/>
          <c:showBubbleSize val="0"/>
        </c:dLbls>
        <c:gapWidth val="50"/>
        <c:axId val="108202240"/>
        <c:axId val="108204032"/>
      </c:barChart>
      <c:catAx>
        <c:axId val="10820224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08204032"/>
        <c:crosses val="autoZero"/>
        <c:auto val="1"/>
        <c:lblAlgn val="ctr"/>
        <c:lblOffset val="100"/>
        <c:noMultiLvlLbl val="0"/>
      </c:catAx>
      <c:valAx>
        <c:axId val="1082040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08202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l-G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585471170942344E-2"/>
          <c:y val="6.2288115884248658E-2"/>
          <c:w val="0.89011304092403609"/>
          <c:h val="0.64907591298862133"/>
        </c:manualLayout>
      </c:layout>
      <c:lineChart>
        <c:grouping val="standard"/>
        <c:varyColors val="0"/>
        <c:ser>
          <c:idx val="0"/>
          <c:order val="0"/>
          <c:tx>
            <c:v>Ελλάδα</c:v>
          </c:tx>
          <c:spPr>
            <a:ln>
              <a:solidFill>
                <a:srgbClr val="00B0F0"/>
              </a:solidFill>
            </a:ln>
          </c:spPr>
          <c:marker>
            <c:symbol val="square"/>
            <c:size val="5"/>
            <c:spPr>
              <a:solidFill>
                <a:srgbClr val="00B0F0"/>
              </a:solidFill>
              <a:ln>
                <a:solidFill>
                  <a:srgbClr val="00B0F0"/>
                </a:solidFill>
              </a:ln>
            </c:spPr>
          </c:marker>
          <c:dLbls>
            <c:dLbl>
              <c:idx val="7"/>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31-43CE-9064-85CAE72A9CDA}"/>
                </c:ext>
              </c:extLst>
            </c:dLbl>
            <c:dLbl>
              <c:idx val="12"/>
              <c:numFmt formatCode="#,##0.0_ ;[Red]\-#,##0.0\ " sourceLinked="0"/>
              <c:spPr/>
              <c:txPr>
                <a:bodyPr/>
                <a:lstStyle/>
                <a:p>
                  <a:pPr>
                    <a:defRPr b="1"/>
                  </a:pPr>
                  <a:endParaRPr lang="el-GR"/>
                </a:p>
              </c:txPr>
              <c:dLblPos val="b"/>
              <c:showLegendKey val="0"/>
              <c:showVal val="1"/>
              <c:showCatName val="0"/>
              <c:showSerName val="0"/>
              <c:showPercent val="0"/>
              <c:showBubbleSize val="0"/>
              <c:extLst>
                <c:ext xmlns:c16="http://schemas.microsoft.com/office/drawing/2014/chart" uri="{C3380CC4-5D6E-409C-BE32-E72D297353CC}">
                  <c16:uniqueId val="{00000001-D131-43CE-9064-85CAE72A9CDA}"/>
                </c:ext>
              </c:extLst>
            </c:dLbl>
            <c:dLbl>
              <c:idx val="19"/>
              <c:numFmt formatCode="#,##0.0_ ;[Red]\-#,##0.0\ " sourceLinked="0"/>
              <c:spPr/>
              <c:txPr>
                <a:bodyPr/>
                <a:lstStyle/>
                <a:p>
                  <a:pPr>
                    <a:defRPr b="1"/>
                  </a:pPr>
                  <a:endParaRPr lang="el-GR"/>
                </a:p>
              </c:txPr>
              <c:dLblPos val="b"/>
              <c:showLegendKey val="0"/>
              <c:showVal val="1"/>
              <c:showCatName val="0"/>
              <c:showSerName val="0"/>
              <c:showPercent val="0"/>
              <c:showBubbleSize val="0"/>
              <c:extLst>
                <c:ext xmlns:c16="http://schemas.microsoft.com/office/drawing/2014/chart" uri="{C3380CC4-5D6E-409C-BE32-E72D297353CC}">
                  <c16:uniqueId val="{00000002-D131-43CE-9064-85CAE72A9CDA}"/>
                </c:ext>
              </c:extLst>
            </c:dLbl>
            <c:numFmt formatCode="#,##0.0_ ;[Red]\-#,##0.0\ " sourceLinked="0"/>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'monthly+constant'!$C$8:$V$9</c:f>
              <c:multiLvlStrCache>
                <c:ptCount val="20"/>
                <c:lvl>
                  <c:pt idx="0">
                    <c:v>Μάρ.</c:v>
                  </c:pt>
                  <c:pt idx="1">
                    <c:v>Απρ.</c:v>
                  </c:pt>
                  <c:pt idx="2">
                    <c:v>Μάιος</c:v>
                  </c:pt>
                  <c:pt idx="3">
                    <c:v>Ιούν.</c:v>
                  </c:pt>
                  <c:pt idx="4">
                    <c:v>Ιούλ.</c:v>
                  </c:pt>
                  <c:pt idx="5">
                    <c:v>Αύγ.</c:v>
                  </c:pt>
                  <c:pt idx="6">
                    <c:v>Σεπ.</c:v>
                  </c:pt>
                  <c:pt idx="7">
                    <c:v>Οκτ.</c:v>
                  </c:pt>
                  <c:pt idx="8">
                    <c:v>Νοέμ.</c:v>
                  </c:pt>
                  <c:pt idx="9">
                    <c:v>Δεκ.</c:v>
                  </c:pt>
                  <c:pt idx="10">
                    <c:v>Ιαν.</c:v>
                  </c:pt>
                  <c:pt idx="11">
                    <c:v>Φεβ.</c:v>
                  </c:pt>
                  <c:pt idx="12">
                    <c:v>Μάρ.</c:v>
                  </c:pt>
                  <c:pt idx="13">
                    <c:v>Απρ.</c:v>
                  </c:pt>
                  <c:pt idx="14">
                    <c:v>Μάιος</c:v>
                  </c:pt>
                  <c:pt idx="15">
                    <c:v>Ιούν.</c:v>
                  </c:pt>
                  <c:pt idx="16">
                    <c:v>Ιούλ.</c:v>
                  </c:pt>
                  <c:pt idx="17">
                    <c:v>Αύγ.</c:v>
                  </c:pt>
                  <c:pt idx="18">
                    <c:v>Σεπ.</c:v>
                  </c:pt>
                  <c:pt idx="19">
                    <c:v>Οκτ.</c:v>
                  </c:pt>
                </c:lvl>
                <c:lvl>
                  <c:pt idx="0">
                    <c:v>2020</c:v>
                  </c:pt>
                  <c:pt idx="10">
                    <c:v>2021</c:v>
                  </c:pt>
                </c:lvl>
              </c:multiLvlStrCache>
            </c:multiLvlStrRef>
          </c:cat>
          <c:val>
            <c:numRef>
              <c:f>'monthly+constant'!$C$168:$V$168</c:f>
              <c:numCache>
                <c:formatCode>#,##0.0</c:formatCode>
                <c:ptCount val="20"/>
                <c:pt idx="0">
                  <c:v>0.9</c:v>
                </c:pt>
                <c:pt idx="1">
                  <c:v>0</c:v>
                </c:pt>
                <c:pt idx="2">
                  <c:v>0.3</c:v>
                </c:pt>
                <c:pt idx="3">
                  <c:v>-2.4</c:v>
                </c:pt>
                <c:pt idx="4">
                  <c:v>-2.2000000000000002</c:v>
                </c:pt>
                <c:pt idx="5">
                  <c:v>-2.4</c:v>
                </c:pt>
                <c:pt idx="6">
                  <c:v>-2.6</c:v>
                </c:pt>
                <c:pt idx="7">
                  <c:v>-2.2000000000000002</c:v>
                </c:pt>
                <c:pt idx="8">
                  <c:v>-2.2999999999999998</c:v>
                </c:pt>
                <c:pt idx="9">
                  <c:v>-2.5</c:v>
                </c:pt>
                <c:pt idx="10">
                  <c:v>-2.2999999999999998</c:v>
                </c:pt>
                <c:pt idx="11">
                  <c:v>-2.1</c:v>
                </c:pt>
                <c:pt idx="12">
                  <c:v>-3.2</c:v>
                </c:pt>
                <c:pt idx="13">
                  <c:v>-2.2999999999999998</c:v>
                </c:pt>
                <c:pt idx="14">
                  <c:v>-3</c:v>
                </c:pt>
                <c:pt idx="15">
                  <c:v>-0.7</c:v>
                </c:pt>
                <c:pt idx="16">
                  <c:v>-1.1000000000000001</c:v>
                </c:pt>
                <c:pt idx="17">
                  <c:v>-0.7</c:v>
                </c:pt>
                <c:pt idx="18">
                  <c:v>0.2</c:v>
                </c:pt>
                <c:pt idx="19">
                  <c:v>0.5</c:v>
                </c:pt>
              </c:numCache>
            </c:numRef>
          </c:val>
          <c:smooth val="0"/>
          <c:extLst>
            <c:ext xmlns:c16="http://schemas.microsoft.com/office/drawing/2014/chart" uri="{C3380CC4-5D6E-409C-BE32-E72D297353CC}">
              <c16:uniqueId val="{00000003-D131-43CE-9064-85CAE72A9CDA}"/>
            </c:ext>
          </c:extLst>
        </c:ser>
        <c:ser>
          <c:idx val="5"/>
          <c:order val="1"/>
          <c:tx>
            <c:v>Ευρωζώνη</c:v>
          </c:tx>
          <c:spPr>
            <a:ln>
              <a:solidFill>
                <a:srgbClr val="92D050"/>
              </a:solidFill>
            </a:ln>
          </c:spPr>
          <c:marker>
            <c:symbol val="circle"/>
            <c:size val="5"/>
            <c:spPr>
              <a:solidFill>
                <a:srgbClr val="92D050"/>
              </a:solidFill>
              <a:ln>
                <a:solidFill>
                  <a:srgbClr val="92D050"/>
                </a:solidFill>
              </a:ln>
            </c:spPr>
          </c:marker>
          <c:dLbls>
            <c:dLbl>
              <c:idx val="11"/>
              <c:numFmt formatCode="#,##0.0_ ;[Red]\-#,##0.0\ " sourceLinked="0"/>
              <c:spPr/>
              <c:txPr>
                <a:bodyPr/>
                <a:lstStyle/>
                <a:p>
                  <a:pPr>
                    <a:defRPr b="0"/>
                  </a:pPr>
                  <a:endParaRPr lang="el-GR"/>
                </a:p>
              </c:txPr>
              <c:dLblPos val="t"/>
              <c:showLegendKey val="0"/>
              <c:showVal val="1"/>
              <c:showCatName val="0"/>
              <c:showSerName val="0"/>
              <c:showPercent val="0"/>
              <c:showBubbleSize val="0"/>
              <c:extLst>
                <c:ext xmlns:c16="http://schemas.microsoft.com/office/drawing/2014/chart" uri="{C3380CC4-5D6E-409C-BE32-E72D297353CC}">
                  <c16:uniqueId val="{00000004-D131-43CE-9064-85CAE72A9CDA}"/>
                </c:ext>
              </c:extLst>
            </c:dLbl>
            <c:dLbl>
              <c:idx val="12"/>
              <c:numFmt formatCode="#,##0.0_ ;[Red]\-#,##0.0\ " sourceLinked="0"/>
              <c:spPr/>
              <c:txPr>
                <a:bodyPr/>
                <a:lstStyle/>
                <a:p>
                  <a:pPr>
                    <a:defRPr b="1"/>
                  </a:pPr>
                  <a:endParaRPr lang="el-GR"/>
                </a:p>
              </c:txPr>
              <c:dLblPos val="t"/>
              <c:showLegendKey val="0"/>
              <c:showVal val="1"/>
              <c:showCatName val="0"/>
              <c:showSerName val="0"/>
              <c:showPercent val="0"/>
              <c:showBubbleSize val="0"/>
              <c:extLst>
                <c:ext xmlns:c16="http://schemas.microsoft.com/office/drawing/2014/chart" uri="{C3380CC4-5D6E-409C-BE32-E72D297353CC}">
                  <c16:uniqueId val="{00000005-D131-43CE-9064-85CAE72A9CDA}"/>
                </c:ext>
              </c:extLst>
            </c:dLbl>
            <c:dLbl>
              <c:idx val="19"/>
              <c:numFmt formatCode="#,##0.0_ ;[Red]\-#,##0.0\ " sourceLinked="0"/>
              <c:spPr/>
              <c:txPr>
                <a:bodyPr/>
                <a:lstStyle/>
                <a:p>
                  <a:pPr>
                    <a:defRPr b="1"/>
                  </a:pPr>
                  <a:endParaRPr lang="el-GR"/>
                </a:p>
              </c:txPr>
              <c:dLblPos val="t"/>
              <c:showLegendKey val="0"/>
              <c:showVal val="1"/>
              <c:showCatName val="0"/>
              <c:showSerName val="0"/>
              <c:showPercent val="0"/>
              <c:showBubbleSize val="0"/>
              <c:extLst>
                <c:ext xmlns:c16="http://schemas.microsoft.com/office/drawing/2014/chart" uri="{C3380CC4-5D6E-409C-BE32-E72D297353CC}">
                  <c16:uniqueId val="{00000006-D131-43CE-9064-85CAE72A9CDA}"/>
                </c:ext>
              </c:extLst>
            </c:dLbl>
            <c:numFmt formatCode="#,##0.0_ ;[Red]\-#,##0.0\ "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'monthly+constant'!$C$8:$V$9</c:f>
              <c:multiLvlStrCache>
                <c:ptCount val="20"/>
                <c:lvl>
                  <c:pt idx="0">
                    <c:v>Μάρ.</c:v>
                  </c:pt>
                  <c:pt idx="1">
                    <c:v>Απρ.</c:v>
                  </c:pt>
                  <c:pt idx="2">
                    <c:v>Μάιος</c:v>
                  </c:pt>
                  <c:pt idx="3">
                    <c:v>Ιούν.</c:v>
                  </c:pt>
                  <c:pt idx="4">
                    <c:v>Ιούλ.</c:v>
                  </c:pt>
                  <c:pt idx="5">
                    <c:v>Αύγ.</c:v>
                  </c:pt>
                  <c:pt idx="6">
                    <c:v>Σεπ.</c:v>
                  </c:pt>
                  <c:pt idx="7">
                    <c:v>Οκτ.</c:v>
                  </c:pt>
                  <c:pt idx="8">
                    <c:v>Νοέμ.</c:v>
                  </c:pt>
                  <c:pt idx="9">
                    <c:v>Δεκ.</c:v>
                  </c:pt>
                  <c:pt idx="10">
                    <c:v>Ιαν.</c:v>
                  </c:pt>
                  <c:pt idx="11">
                    <c:v>Φεβ.</c:v>
                  </c:pt>
                  <c:pt idx="12">
                    <c:v>Μάρ.</c:v>
                  </c:pt>
                  <c:pt idx="13">
                    <c:v>Απρ.</c:v>
                  </c:pt>
                  <c:pt idx="14">
                    <c:v>Μάιος</c:v>
                  </c:pt>
                  <c:pt idx="15">
                    <c:v>Ιούν.</c:v>
                  </c:pt>
                  <c:pt idx="16">
                    <c:v>Ιούλ.</c:v>
                  </c:pt>
                  <c:pt idx="17">
                    <c:v>Αύγ.</c:v>
                  </c:pt>
                  <c:pt idx="18">
                    <c:v>Σεπ.</c:v>
                  </c:pt>
                  <c:pt idx="19">
                    <c:v>Οκτ.</c:v>
                  </c:pt>
                </c:lvl>
                <c:lvl>
                  <c:pt idx="0">
                    <c:v>2020</c:v>
                  </c:pt>
                  <c:pt idx="10">
                    <c:v>2021</c:v>
                  </c:pt>
                </c:lvl>
              </c:multiLvlStrCache>
            </c:multiLvlStrRef>
          </c:cat>
          <c:val>
            <c:numRef>
              <c:f>'monthly+constant'!$C$167:$V$167</c:f>
              <c:numCache>
                <c:formatCode>#,##0.0</c:formatCode>
                <c:ptCount val="20"/>
                <c:pt idx="0">
                  <c:v>1</c:v>
                </c:pt>
                <c:pt idx="1">
                  <c:v>0.9</c:v>
                </c:pt>
                <c:pt idx="2">
                  <c:v>0.9</c:v>
                </c:pt>
                <c:pt idx="3">
                  <c:v>0.8</c:v>
                </c:pt>
                <c:pt idx="4">
                  <c:v>1.2</c:v>
                </c:pt>
                <c:pt idx="5">
                  <c:v>0.4</c:v>
                </c:pt>
                <c:pt idx="6">
                  <c:v>0.2</c:v>
                </c:pt>
                <c:pt idx="7">
                  <c:v>0.2</c:v>
                </c:pt>
                <c:pt idx="8">
                  <c:v>0.2</c:v>
                </c:pt>
                <c:pt idx="9">
                  <c:v>0.2</c:v>
                </c:pt>
                <c:pt idx="10">
                  <c:v>1.4</c:v>
                </c:pt>
                <c:pt idx="11">
                  <c:v>1.1000000000000001</c:v>
                </c:pt>
                <c:pt idx="12">
                  <c:v>0.9</c:v>
                </c:pt>
                <c:pt idx="13">
                  <c:v>0.7</c:v>
                </c:pt>
                <c:pt idx="14">
                  <c:v>1</c:v>
                </c:pt>
                <c:pt idx="15">
                  <c:v>0.9</c:v>
                </c:pt>
                <c:pt idx="16">
                  <c:v>0.7</c:v>
                </c:pt>
                <c:pt idx="17">
                  <c:v>1.6</c:v>
                </c:pt>
                <c:pt idx="18">
                  <c:v>1.9</c:v>
                </c:pt>
                <c:pt idx="19">
                  <c:v>2.1</c:v>
                </c:pt>
              </c:numCache>
            </c:numRef>
          </c:val>
          <c:smooth val="0"/>
          <c:extLst>
            <c:ext xmlns:c16="http://schemas.microsoft.com/office/drawing/2014/chart" uri="{C3380CC4-5D6E-409C-BE32-E72D297353CC}">
              <c16:uniqueId val="{00000007-D131-43CE-9064-85CAE72A9CDA}"/>
            </c:ext>
          </c:extLst>
        </c:ser>
        <c:dLbls>
          <c:showLegendKey val="0"/>
          <c:showVal val="0"/>
          <c:showCatName val="0"/>
          <c:showSerName val="0"/>
          <c:showPercent val="0"/>
          <c:showBubbleSize val="0"/>
        </c:dLbls>
        <c:marker val="1"/>
        <c:smooth val="0"/>
        <c:axId val="108297600"/>
        <c:axId val="108319872"/>
      </c:lineChart>
      <c:catAx>
        <c:axId val="108297600"/>
        <c:scaling>
          <c:orientation val="minMax"/>
        </c:scaling>
        <c:delete val="0"/>
        <c:axPos val="b"/>
        <c:numFmt formatCode="#,##0.0_ ;[Red]\-#,##0.0\ " sourceLinked="0"/>
        <c:majorTickMark val="none"/>
        <c:minorTickMark val="none"/>
        <c:tickLblPos val="low"/>
        <c:spPr>
          <a:noFill/>
          <a:ln w="22225">
            <a:solidFill>
              <a:srgbClr val="FF0000"/>
            </a:solidFill>
            <a:prstDash val="lgDas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08319872"/>
        <c:crossesAt val="0"/>
        <c:auto val="1"/>
        <c:lblAlgn val="ctr"/>
        <c:lblOffset val="100"/>
        <c:noMultiLvlLbl val="0"/>
      </c:catAx>
      <c:valAx>
        <c:axId val="108319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a:t>
                </a:r>
              </a:p>
            </c:rich>
          </c:tx>
          <c:overlay val="0"/>
          <c:spPr>
            <a:noFill/>
            <a:ln>
              <a:noFill/>
            </a:ln>
            <a:effectLst/>
          </c:spPr>
        </c:title>
        <c:numFmt formatCode="#,##0.0_ ;[Red]\-#,##0.0\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08297600"/>
        <c:crosses val="autoZero"/>
        <c:crossBetween val="between"/>
      </c:valAx>
      <c:spPr>
        <a:noFill/>
        <a:ln>
          <a:noFill/>
        </a:ln>
        <a:effectLst/>
      </c:spPr>
    </c:plotArea>
    <c:legend>
      <c:legendPos val="b"/>
      <c:layout>
        <c:manualLayout>
          <c:xMode val="edge"/>
          <c:yMode val="edge"/>
          <c:x val="6.9944190189222738E-2"/>
          <c:y val="0.92356363466436131"/>
          <c:w val="0.89999993295857172"/>
          <c:h val="5.03359227747538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l-GR"/>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0.27354</cdr:x>
      <cdr:y>0.07129</cdr:y>
    </cdr:from>
    <cdr:to>
      <cdr:x>0.35505</cdr:x>
      <cdr:y>0.15197</cdr:y>
    </cdr:to>
    <cdr:sp macro="" textlink="">
      <cdr:nvSpPr>
        <cdr:cNvPr id="2" name="TextBox 1"/>
        <cdr:cNvSpPr txBox="1"/>
      </cdr:nvSpPr>
      <cdr:spPr>
        <a:xfrm xmlns:a="http://schemas.openxmlformats.org/drawingml/2006/main">
          <a:off x="1918047" y="314739"/>
          <a:ext cx="571500" cy="35615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l-GR" sz="1100"/>
        </a:p>
      </cdr:txBody>
    </cdr:sp>
  </cdr:relSizeAnchor>
</c:userShapes>
</file>

<file path=word/drawings/drawing2.xml><?xml version="1.0" encoding="utf-8"?>
<c:userShapes xmlns:c="http://schemas.openxmlformats.org/drawingml/2006/chart">
  <cdr:relSizeAnchor xmlns:cdr="http://schemas.openxmlformats.org/drawingml/2006/chartDrawing">
    <cdr:from>
      <cdr:x>0.26908</cdr:x>
      <cdr:y>0.00812</cdr:y>
    </cdr:from>
    <cdr:to>
      <cdr:x>0.2698</cdr:x>
      <cdr:y>0.66206</cdr:y>
    </cdr:to>
    <cdr:cxnSp macro="">
      <cdr:nvCxnSpPr>
        <cdr:cNvPr id="3" name="Ευθεία γραμμή σύνδεσης 2"/>
        <cdr:cNvCxnSpPr/>
      </cdr:nvCxnSpPr>
      <cdr:spPr>
        <a:xfrm xmlns:a="http://schemas.openxmlformats.org/drawingml/2006/main" flipV="1">
          <a:off x="1419225" y="19050"/>
          <a:ext cx="3786" cy="1533525"/>
        </a:xfrm>
        <a:prstGeom xmlns:a="http://schemas.openxmlformats.org/drawingml/2006/main" prst="line">
          <a:avLst/>
        </a:prstGeom>
        <a:ln xmlns:a="http://schemas.openxmlformats.org/drawingml/2006/main" w="9525" cap="flat" cmpd="sng" algn="ctr">
          <a:solidFill>
            <a:schemeClr val="dk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0.10024</cdr:x>
      <cdr:y>0.06267</cdr:y>
    </cdr:from>
    <cdr:to>
      <cdr:x>0.20588</cdr:x>
      <cdr:y>0.17465</cdr:y>
    </cdr:to>
    <cdr:sp macro="" textlink="">
      <cdr:nvSpPr>
        <cdr:cNvPr id="4" name="Στρογγυλεμένο ορθογώνιο 3"/>
        <cdr:cNvSpPr/>
      </cdr:nvSpPr>
      <cdr:spPr>
        <a:xfrm xmlns:a="http://schemas.openxmlformats.org/drawingml/2006/main">
          <a:off x="528711" y="146973"/>
          <a:ext cx="557139" cy="262602"/>
        </a:xfrm>
        <a:prstGeom xmlns:a="http://schemas.openxmlformats.org/drawingml/2006/main" prst="roundRect">
          <a:avLst/>
        </a:prstGeom>
        <a:solidFill xmlns:a="http://schemas.openxmlformats.org/drawingml/2006/main">
          <a:schemeClr val="bg1">
            <a:lumMod val="85000"/>
          </a:schemeClr>
        </a:solidFill>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b="1">
              <a:solidFill>
                <a:schemeClr val="accent6">
                  <a:lumMod val="50000"/>
                </a:schemeClr>
              </a:solidFill>
            </a:rPr>
            <a:t>2020</a:t>
          </a:r>
          <a:endParaRPr lang="el-GR" b="1">
            <a:solidFill>
              <a:schemeClr val="accent6">
                <a:lumMod val="50000"/>
              </a:schemeClr>
            </a:solidFill>
          </a:endParaRPr>
        </a:p>
      </cdr:txBody>
    </cdr:sp>
  </cdr:relSizeAnchor>
  <cdr:relSizeAnchor xmlns:cdr="http://schemas.openxmlformats.org/drawingml/2006/chartDrawing">
    <cdr:from>
      <cdr:x>0.56216</cdr:x>
      <cdr:y>0.44534</cdr:y>
    </cdr:from>
    <cdr:to>
      <cdr:x>0.66639</cdr:x>
      <cdr:y>0.56052</cdr:y>
    </cdr:to>
    <cdr:sp macro="" textlink="">
      <cdr:nvSpPr>
        <cdr:cNvPr id="5" name="Στρογγυλεμένο ορθογώνιο 4"/>
        <cdr:cNvSpPr/>
      </cdr:nvSpPr>
      <cdr:spPr>
        <a:xfrm xmlns:a="http://schemas.openxmlformats.org/drawingml/2006/main">
          <a:off x="2965015" y="1044341"/>
          <a:ext cx="549710" cy="270110"/>
        </a:xfrm>
        <a:prstGeom xmlns:a="http://schemas.openxmlformats.org/drawingml/2006/main" prst="roundRect">
          <a:avLst/>
        </a:prstGeom>
        <a:solidFill xmlns:a="http://schemas.openxmlformats.org/drawingml/2006/main">
          <a:schemeClr val="bg1">
            <a:lumMod val="85000"/>
          </a:schemeClr>
        </a:solidFill>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b="1">
              <a:solidFill>
                <a:schemeClr val="accent6">
                  <a:lumMod val="50000"/>
                </a:schemeClr>
              </a:solidFill>
            </a:rPr>
            <a:t>2021</a:t>
          </a:r>
          <a:endParaRPr lang="el-GR" b="1">
            <a:solidFill>
              <a:schemeClr val="accent6">
                <a:lumMod val="50000"/>
              </a:schemeClr>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0.04817</cdr:x>
      <cdr:y>0.59318</cdr:y>
    </cdr:from>
    <cdr:to>
      <cdr:x>0.97693</cdr:x>
      <cdr:y>0.59318</cdr:y>
    </cdr:to>
    <cdr:cxnSp macro="">
      <cdr:nvCxnSpPr>
        <cdr:cNvPr id="3" name="Ευθεία γραμμή σύνδεσης 2"/>
        <cdr:cNvCxnSpPr/>
      </cdr:nvCxnSpPr>
      <cdr:spPr>
        <a:xfrm xmlns:a="http://schemas.openxmlformats.org/drawingml/2006/main">
          <a:off x="254087" y="2158683"/>
          <a:ext cx="4898568" cy="0"/>
        </a:xfrm>
        <a:prstGeom xmlns:a="http://schemas.openxmlformats.org/drawingml/2006/main" prst="line">
          <a:avLst/>
        </a:prstGeom>
        <a:ln xmlns:a="http://schemas.openxmlformats.org/drawingml/2006/main" w="9525" cap="flat" cmpd="sng" algn="ctr">
          <a:solidFill>
            <a:schemeClr val="dk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68444-2979-420C-820B-D7C3E40D1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19143</Words>
  <Characters>103373</Characters>
  <Application>Microsoft Office Word</Application>
  <DocSecurity>0</DocSecurity>
  <Lines>861</Lines>
  <Paragraphs>244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ΦΘΙΝΟΠΩΡΙΝΗ ΕΚΘΕΣΗ 2021</vt:lpstr>
      <vt:lpstr>ΦΘΙΝΟΠΩΡΙΝΗ ΕΚΘΕΣΗ 2017</vt:lpstr>
    </vt:vector>
  </TitlesOfParts>
  <Company>Microsoft</Company>
  <LinksUpToDate>false</LinksUpToDate>
  <CharactersWithSpaces>122272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ΦΘΙΝΟΠΩΡΙΝΗ ΕΚΘΕΣΗ 2021</dc:title>
  <dc:creator>research@hfisc.gr</dc:creator>
  <cp:lastModifiedBy>Maria Koutroubi</cp:lastModifiedBy>
  <cp:revision>2</cp:revision>
  <cp:lastPrinted>2021-11-30T12:01:00Z</cp:lastPrinted>
  <dcterms:created xsi:type="dcterms:W3CDTF">2021-12-01T07:23:00Z</dcterms:created>
  <dcterms:modified xsi:type="dcterms:W3CDTF">2021-12-01T07:23:00Z</dcterms:modified>
</cp:coreProperties>
</file>